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689610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Date of Report (date of earliest event reported):</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June 10, 2026</w:t>
      </w:r>
    </w:p>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1"/>
          <w:szCs w:val="41"/>
          <w:b w:val="1"/>
          <w:bCs w:val="1"/>
          <w:color w:val="auto"/>
        </w:rPr>
        <w:t>CANNAE HOLDINGS, INC.</w:t>
      </w:r>
    </w:p>
    <w:p>
      <w:pPr>
        <w:spacing w:after="0" w:line="7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1-38300</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(Commission File Number)</w:t>
      </w:r>
    </w:p>
    <w:p>
      <w:pPr>
        <w:sectPr>
          <w:pgSz w:w="11900" w:h="16838" w:orient="portrait"/>
          <w:cols w:equalWidth="0" w:num="1">
            <w:col w:w="11100"/>
          </w:cols>
          <w:pgMar w:left="320" w:top="1175" w:right="479" w:bottom="1440" w:gutter="0" w:footer="0" w:header="0"/>
        </w:sectPr>
      </w:pPr>
    </w:p>
    <w:p>
      <w:pPr>
        <w:spacing w:after="0" w:line="10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Nevada</w:t>
      </w:r>
    </w:p>
    <w:p>
      <w:pPr>
        <w:spacing w:after="0" w:line="3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color w:val="auto"/>
        </w:rPr>
        <w:t>(State or Other Jurisdiction of</w:t>
      </w:r>
    </w:p>
    <w:p>
      <w:pPr>
        <w:ind w:left="18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82-1273460</w:t>
      </w:r>
    </w:p>
    <w:p>
      <w:pPr>
        <w:spacing w:after="0" w:line="3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76" w:lineRule="exact"/>
        <w:rPr>
          <w:sz w:val="24"/>
          <w:szCs w:val="24"/>
          <w:color w:val="auto"/>
        </w:rPr>
      </w:pPr>
    </w:p>
    <w:p>
      <w:pPr>
        <w:sectPr>
          <w:pgSz w:w="11900" w:h="16838" w:orient="portrait"/>
          <w:cols w:equalWidth="0" w:num="2">
            <w:col w:w="6240" w:space="720"/>
            <w:col w:w="4140"/>
          </w:cols>
          <w:pgMar w:left="320" w:top="117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1701 Village Center Circle</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Las Vegas, Nevada 89134</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(Addresses of Principal Executive Offices)</w:t>
      </w:r>
    </w:p>
    <w:p>
      <w:pPr>
        <w:sectPr>
          <w:pgSz w:w="11900" w:h="16838" w:orient="portrait"/>
          <w:cols w:equalWidth="0" w:num="1">
            <w:col w:w="11100"/>
          </w:cols>
          <w:pgMar w:left="320" w:top="1175" w:right="479" w:bottom="1440" w:gutter="0" w:footer="0" w:header="0"/>
          <w:type w:val="continuous"/>
        </w:sectPr>
      </w:pP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(702) 323-7330</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27" w:lineRule="exact"/>
        <w:rPr>
          <w:sz w:val="24"/>
          <w:szCs w:val="24"/>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840" w:hanging="4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4" w:lineRule="exact"/>
        <w:rPr>
          <w:rFonts w:ascii="MS PGothic" w:cs="MS PGothic" w:eastAsia="MS PGothic" w:hAnsi="MS PGothic"/>
          <w:sz w:val="17"/>
          <w:szCs w:val="17"/>
          <w:color w:val="auto"/>
        </w:rPr>
      </w:pPr>
    </w:p>
    <w:p>
      <w:pPr>
        <w:ind w:left="840" w:hanging="4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840" w:hanging="4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840" w:hanging="424"/>
        <w:spacing w:after="0"/>
        <w:tabs>
          <w:tab w:leader="none" w:pos="8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2"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500" w:type="dxa"/>
            <w:vAlign w:val="bottom"/>
          </w:tcPr>
          <w:p>
            <w:pPr>
              <w:spacing w:after="0"/>
              <w:rPr>
                <w:sz w:val="16"/>
                <w:szCs w:val="16"/>
                <w:color w:val="auto"/>
              </w:rPr>
            </w:pPr>
          </w:p>
        </w:tc>
        <w:tc>
          <w:tcPr>
            <w:tcW w:w="22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5"/>
              </w:rPr>
              <w:t>Trading Symbol</w:t>
            </w:r>
          </w:p>
        </w:tc>
        <w:tc>
          <w:tcPr>
            <w:tcW w:w="3600" w:type="dxa"/>
            <w:vAlign w:val="bottom"/>
            <w:gridSpan w:val="2"/>
          </w:tcPr>
          <w:p>
            <w:pPr>
              <w:jc w:val="center"/>
              <w:ind w:left="642"/>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9"/>
        </w:trPr>
        <w:tc>
          <w:tcPr>
            <w:tcW w:w="366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Cannae Common Stock, $0.0001 par value</w:t>
            </w:r>
          </w:p>
        </w:tc>
        <w:tc>
          <w:tcPr>
            <w:tcW w:w="540" w:type="dxa"/>
            <w:vAlign w:val="bottom"/>
          </w:tcPr>
          <w:p>
            <w:pPr>
              <w:spacing w:after="0"/>
              <w:rPr>
                <w:sz w:val="20"/>
                <w:szCs w:val="20"/>
                <w:color w:val="auto"/>
              </w:rPr>
            </w:pPr>
          </w:p>
        </w:tc>
        <w:tc>
          <w:tcPr>
            <w:tcW w:w="1720" w:type="dxa"/>
            <w:vAlign w:val="bottom"/>
            <w:gridSpan w:val="2"/>
          </w:tcPr>
          <w:p>
            <w:pPr>
              <w:jc w:val="center"/>
              <w:ind w:right="720"/>
              <w:spacing w:after="0"/>
              <w:rPr>
                <w:sz w:val="20"/>
                <w:szCs w:val="20"/>
                <w:color w:val="auto"/>
              </w:rPr>
            </w:pPr>
            <w:r>
              <w:rPr>
                <w:rFonts w:ascii="Times New Roman" w:cs="Times New Roman" w:eastAsia="Times New Roman" w:hAnsi="Times New Roman"/>
                <w:sz w:val="17"/>
                <w:szCs w:val="17"/>
                <w:b w:val="1"/>
                <w:bCs w:val="1"/>
                <w:color w:val="auto"/>
                <w:w w:val="99"/>
              </w:rPr>
              <w:t>CNNE</w:t>
            </w:r>
          </w:p>
        </w:tc>
        <w:tc>
          <w:tcPr>
            <w:tcW w:w="72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72" w:lineRule="exact"/>
        <w:rPr>
          <w:sz w:val="24"/>
          <w:szCs w:val="24"/>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4"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695960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107315</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00"/>
          </w:cols>
          <w:pgMar w:left="320" w:top="1175" w:right="479" w:bottom="1440" w:gutter="0" w:footer="0" w:header="0"/>
          <w:type w:val="continuous"/>
        </w:sectPr>
      </w:pPr>
    </w:p>
    <w:bookmarkStart w:id="1" w:name="page2"/>
    <w:bookmarkEnd w:id="1"/>
    <w:p>
      <w:pPr>
        <w:ind w:left="1840" w:hanging="1205"/>
        <w:spacing w:after="0" w:line="278" w:lineRule="auto"/>
        <w:tabs>
          <w:tab w:leader="none" w:pos="1820" w:val="left"/>
        </w:tabs>
        <w:rPr>
          <w:sz w:val="20"/>
          <w:szCs w:val="20"/>
          <w:color w:val="auto"/>
        </w:rPr>
      </w:pPr>
      <w:r>
        <w:rPr>
          <w:rFonts w:ascii="Times New Roman" w:cs="Times New Roman" w:eastAsia="Times New Roman" w:hAnsi="Times New Roman"/>
          <w:sz w:val="17"/>
          <w:szCs w:val="17"/>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 Certain Officers.</w:t>
      </w:r>
    </w:p>
    <w:p>
      <w:pPr>
        <w:spacing w:after="0" w:line="314" w:lineRule="exact"/>
        <w:rPr>
          <w:sz w:val="20"/>
          <w:szCs w:val="20"/>
          <w:color w:val="auto"/>
        </w:rPr>
      </w:pPr>
    </w:p>
    <w:p>
      <w:pPr>
        <w:jc w:val="both"/>
        <w:ind w:right="100" w:firstLine="622"/>
        <w:spacing w:after="0" w:line="292" w:lineRule="auto"/>
        <w:rPr>
          <w:sz w:val="20"/>
          <w:szCs w:val="20"/>
          <w:color w:val="auto"/>
        </w:rPr>
      </w:pPr>
      <w:r>
        <w:rPr>
          <w:rFonts w:ascii="Times New Roman" w:cs="Times New Roman" w:eastAsia="Times New Roman" w:hAnsi="Times New Roman"/>
          <w:sz w:val="17"/>
          <w:szCs w:val="17"/>
          <w:color w:val="auto"/>
        </w:rPr>
        <w:t>On June 10, 2026, Bryan D. Coy resigned from his position as Executive Vice President and Chief Financial Officer of Cannae Holdings, Inc. (the "Company" or "Cannae"). Mr. Coy’s resignation is not due to any disagreement with the Company or the Board of Directors.</w:t>
      </w:r>
    </w:p>
    <w:p>
      <w:pPr>
        <w:spacing w:after="0" w:line="173" w:lineRule="exact"/>
        <w:rPr>
          <w:sz w:val="20"/>
          <w:szCs w:val="20"/>
          <w:color w:val="auto"/>
        </w:rPr>
      </w:pPr>
    </w:p>
    <w:p>
      <w:pPr>
        <w:jc w:val="both"/>
        <w:ind w:right="100" w:firstLine="622"/>
        <w:spacing w:after="0" w:line="262" w:lineRule="auto"/>
        <w:rPr>
          <w:sz w:val="20"/>
          <w:szCs w:val="20"/>
          <w:color w:val="auto"/>
        </w:rPr>
      </w:pPr>
      <w:r>
        <w:rPr>
          <w:rFonts w:ascii="Times New Roman" w:cs="Times New Roman" w:eastAsia="Times New Roman" w:hAnsi="Times New Roman"/>
          <w:sz w:val="17"/>
          <w:szCs w:val="17"/>
          <w:color w:val="auto"/>
        </w:rPr>
        <w:t>In connection with Mr. Coy’s resignation, the Company has agreed to (i) accelerate the vesting of 21,327 restricted shares of the Company’s common stock; and (ii) pay Mr. Coy up to six months of base salary (the "Transition Payments"), provided, however, that if Mr. Coy finds other employment during the six month period then the Transition Payments will cease and Mr. Coy will repay any overpayments of his base salary for any period that occurs after such new employment commences. Mr. Coy has agreed that, during the period he is receiving the Transition Payments, he will cooperate and be reasonably available to the Company in the event his assistance is needed. In consideration of the acceleration of his restricted Cannae shares and the Transition Payments, Mr. Coy has agreed to release any and all claims he may have against the Company.</w:t>
      </w:r>
    </w:p>
    <w:p>
      <w:pPr>
        <w:spacing w:after="0" w:line="198" w:lineRule="exact"/>
        <w:rPr>
          <w:sz w:val="20"/>
          <w:szCs w:val="20"/>
          <w:color w:val="auto"/>
        </w:rPr>
      </w:pPr>
    </w:p>
    <w:p>
      <w:pPr>
        <w:jc w:val="both"/>
        <w:ind w:right="100" w:firstLine="622"/>
        <w:spacing w:after="0" w:line="264" w:lineRule="auto"/>
        <w:rPr>
          <w:sz w:val="20"/>
          <w:szCs w:val="20"/>
          <w:color w:val="auto"/>
        </w:rPr>
      </w:pPr>
      <w:r>
        <w:rPr>
          <w:rFonts w:ascii="Times New Roman" w:cs="Times New Roman" w:eastAsia="Times New Roman" w:hAnsi="Times New Roman"/>
          <w:sz w:val="17"/>
          <w:szCs w:val="17"/>
          <w:color w:val="auto"/>
        </w:rPr>
        <w:t>Also on June 10, 2026, the Board appointed Brett A. Correia to serve as interim Chief Financial Officer of the Company. In this role, Mr. Correia will serve as the Company’s principal financial and accounting officer. Mr. Correia, who is age 39, has served as Cannae’s Chief Accounting Officer since August 2019. He also served as Chief Financial Officer of Foley Family Wines &amp; Spirits and Minden Mill Distilling from November 2024 to June 2026. Prior to joining Cannae, Mr. Correia served in accounting and financial reporting roles at Fidelity National Financial, Inc. (NYSE: FNF) from March 2015 to August 2019 and served in the audit practice at Deloitte from October 2010 to March 2015.</w:t>
      </w:r>
    </w:p>
    <w:p>
      <w:pPr>
        <w:spacing w:after="0" w:line="195" w:lineRule="exact"/>
        <w:rPr>
          <w:sz w:val="20"/>
          <w:szCs w:val="20"/>
          <w:color w:val="auto"/>
        </w:rPr>
      </w:pPr>
    </w:p>
    <w:p>
      <w:pPr>
        <w:jc w:val="both"/>
        <w:ind w:right="100" w:firstLine="622"/>
        <w:spacing w:after="0" w:line="292" w:lineRule="auto"/>
        <w:rPr>
          <w:sz w:val="20"/>
          <w:szCs w:val="20"/>
          <w:color w:val="auto"/>
        </w:rPr>
      </w:pPr>
      <w:r>
        <w:rPr>
          <w:rFonts w:ascii="Times New Roman" w:cs="Times New Roman" w:eastAsia="Times New Roman" w:hAnsi="Times New Roman"/>
          <w:sz w:val="17"/>
          <w:szCs w:val="17"/>
          <w:color w:val="auto"/>
        </w:rPr>
        <w:t>Mr. Correia is not a party to any related party transactions and has not entered into an employment agreement with the Company. He will receive a base salary of $300,000 and shall be eligible to receive other customary benefits paid to our employees.</w:t>
      </w:r>
    </w:p>
    <w:p>
      <w:pPr>
        <w:spacing w:after="0" w:line="26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Exhibits</w:t>
      </w:r>
    </w:p>
    <w:p>
      <w:pPr>
        <w:spacing w:after="0" w:line="28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17"/>
          <w:szCs w:val="17"/>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20320</wp:posOffset>
            </wp:positionV>
            <wp:extent cx="6734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4175" cy="8255"/>
                    </a:xfrm>
                    <a:prstGeom prst="rect">
                      <a:avLst/>
                    </a:prstGeom>
                    <a:noFill/>
                  </pic:spPr>
                </pic:pic>
              </a:graphicData>
            </a:graphic>
          </wp:anchor>
        </w:drawing>
      </w:r>
    </w:p>
    <w:p>
      <w:pPr>
        <w:spacing w:after="0" w:line="20" w:lineRule="exact"/>
        <w:rPr>
          <w:sz w:val="20"/>
          <w:szCs w:val="20"/>
          <w:color w:val="auto"/>
        </w:rPr>
      </w:pPr>
    </w:p>
    <w:p>
      <w:pPr>
        <w:ind w:left="960"/>
        <w:spacing w:after="0"/>
        <w:tabs>
          <w:tab w:leader="none" w:pos="16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739140</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89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22"/>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580" w:type="dxa"/>
            <w:vAlign w:val="bottom"/>
            <w:gridSpan w:val="3"/>
          </w:tcPr>
          <w:p>
            <w:pPr>
              <w:ind w:left="1520"/>
              <w:spacing w:after="0"/>
              <w:rPr>
                <w:sz w:val="20"/>
                <w:szCs w:val="20"/>
                <w:color w:val="auto"/>
              </w:rPr>
            </w:pPr>
            <w:r>
              <w:rPr>
                <w:rFonts w:ascii="Times New Roman" w:cs="Times New Roman" w:eastAsia="Times New Roman" w:hAnsi="Times New Roman"/>
                <w:sz w:val="17"/>
                <w:szCs w:val="17"/>
                <w:b w:val="1"/>
                <w:bCs w:val="1"/>
                <w:color w:val="auto"/>
              </w:rPr>
              <w:t>Cannae Holdings, Inc.</w:t>
            </w:r>
          </w:p>
        </w:tc>
      </w:tr>
      <w:tr>
        <w:trPr>
          <w:trHeight w:val="402"/>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June 11, 2026</w:t>
            </w:r>
          </w:p>
        </w:tc>
        <w:tc>
          <w:tcPr>
            <w:tcW w:w="2040" w:type="dxa"/>
            <w:vAlign w:val="bottom"/>
          </w:tcPr>
          <w:p>
            <w:pPr>
              <w:ind w:left="1520"/>
              <w:spacing w:after="0"/>
              <w:rPr>
                <w:sz w:val="20"/>
                <w:szCs w:val="20"/>
                <w:color w:val="auto"/>
              </w:rPr>
            </w:pPr>
            <w:r>
              <w:rPr>
                <w:rFonts w:ascii="Times New Roman" w:cs="Times New Roman" w:eastAsia="Times New Roman" w:hAnsi="Times New Roman"/>
                <w:sz w:val="17"/>
                <w:szCs w:val="17"/>
                <w:color w:val="auto"/>
              </w:rPr>
              <w:t>By:</w:t>
            </w:r>
          </w:p>
        </w:tc>
        <w:tc>
          <w:tcPr>
            <w:tcW w:w="5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/s/ Michael L. Gravelle</w:t>
            </w:r>
          </w:p>
        </w:tc>
      </w:tr>
      <w:tr>
        <w:trPr>
          <w:trHeight w:val="208"/>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Michael L. Gravelle</w:t>
            </w:r>
          </w:p>
        </w:tc>
      </w:tr>
      <w:tr>
        <w:trPr>
          <w:trHeight w:val="174"/>
        </w:trPr>
        <w:tc>
          <w:tcPr>
            <w:tcW w:w="5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0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Title:</w:t>
            </w:r>
          </w:p>
        </w:tc>
        <w:tc>
          <w:tcPr>
            <w:tcW w:w="4840" w:type="dxa"/>
            <w:vAlign w:val="bottom"/>
          </w:tcPr>
          <w:p>
            <w:pPr>
              <w:ind w:left="240"/>
              <w:spacing w:after="0" w:line="174" w:lineRule="exact"/>
              <w:rPr>
                <w:sz w:val="20"/>
                <w:szCs w:val="20"/>
                <w:color w:val="auto"/>
              </w:rPr>
            </w:pPr>
            <w:r>
              <w:rPr>
                <w:rFonts w:ascii="Times New Roman" w:cs="Times New Roman" w:eastAsia="Times New Roman" w:hAnsi="Times New Roman"/>
                <w:sz w:val="17"/>
                <w:szCs w:val="17"/>
                <w:color w:val="auto"/>
              </w:rPr>
              <w:t>Executive Vice President, General Counsel, and Corporate</w:t>
            </w:r>
          </w:p>
        </w:tc>
      </w:tr>
      <w:tr>
        <w:trPr>
          <w:trHeight w:val="226"/>
        </w:trPr>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Secretary</w:t>
            </w:r>
          </w:p>
        </w:tc>
      </w:tr>
    </w:tbl>
    <w:p>
      <w:pPr>
        <w:spacing w:after="0" w:line="1" w:lineRule="exact"/>
        <w:rPr>
          <w:sz w:val="20"/>
          <w:szCs w:val="20"/>
          <w:color w:val="auto"/>
        </w:rPr>
      </w:pP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2026-06-12T05:03:30Z</dcterms:created>
  <dcterms:modified xsi:type="dcterms:W3CDTF">2026-06-12T05:03:30Z</dcterms:modified>
</cp:coreProperties>
</file>