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20" w:after="12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1-38300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CANNAE HOLDINGS, INC.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______________________________________________________________________________________________________________________________________________________</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555" w:type="dxa"/>
        <w:jc w:val="center"/>
        <w:tblInd w:w="0" w:type="dxa"/>
        <w:tblLayout w:type="fixed"/>
        <w:tblCellMar>
          <w:top w:w="28" w:type="dxa"/>
          <w:left w:w="28" w:type="dxa"/>
          <w:bottom w:w="28" w:type="dxa"/>
          <w:right w:w="28" w:type="dxa"/>
        </w:tblCellMar>
      </w:tblPr>
      <w:tblGrid>
        <w:gridCol w:w="878"/>
        <w:gridCol w:w="772"/>
        <w:gridCol w:w="779"/>
        <w:gridCol w:w="170"/>
        <w:gridCol w:w="170"/>
        <w:gridCol w:w="170"/>
        <w:gridCol w:w="339"/>
        <w:gridCol w:w="339"/>
        <w:gridCol w:w="341"/>
        <w:gridCol w:w="170"/>
        <w:gridCol w:w="170"/>
        <w:gridCol w:w="170"/>
        <w:gridCol w:w="250"/>
        <w:gridCol w:w="250"/>
        <w:gridCol w:w="251"/>
        <w:gridCol w:w="109"/>
        <w:gridCol w:w="109"/>
        <w:gridCol w:w="109"/>
        <w:gridCol w:w="586"/>
        <w:gridCol w:w="586"/>
        <w:gridCol w:w="837"/>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21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82-1273460</w:t>
            </w:r>
          </w:p>
        </w:tc>
      </w:tr>
      <w:tr>
        <w:trPr/>
        <w:tc>
          <w:tcPr>
            <w:tcW w:w="52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Number)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1701 Village Center Circle,</w:t>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w:t>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89134</w:t>
            </w:r>
          </w:p>
        </w:tc>
      </w:tr>
      <w:tr>
        <w:trPr/>
        <w:tc>
          <w:tcPr>
            <w:tcW w:w="52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(702) 323-7330 </w:t>
      </w:r>
    </w:p>
    <w:p>
      <w:pPr>
        <w:pStyle w:val="TextBody"/>
        <w:bidi w:val="0"/>
        <w:spacing w:lineRule="auto" w:line="288" w:before="2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w:t>
      </w:r>
    </w:p>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20" w:after="283"/>
        <w:jc w:val="center"/>
        <w:rPr/>
      </w:pPr>
      <w:r>
        <w:rPr/>
      </w:r>
    </w:p>
    <w:p>
      <w:pPr>
        <w:pStyle w:val="TextBody"/>
        <w:bidi w:val="0"/>
        <w:spacing w:lineRule="auto" w:line="288" w:before="0" w:after="12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pursuant to Section 12(b) of the Act:</w:t>
      </w:r>
    </w:p>
    <w:tbl>
      <w:tblPr>
        <w:tblW w:w="9052" w:type="dxa"/>
        <w:jc w:val="left"/>
        <w:tblInd w:w="0" w:type="dxa"/>
        <w:tblLayout w:type="fixed"/>
        <w:tblCellMar>
          <w:top w:w="28" w:type="dxa"/>
          <w:left w:w="28" w:type="dxa"/>
          <w:bottom w:w="28" w:type="dxa"/>
          <w:right w:w="28" w:type="dxa"/>
        </w:tblCellMar>
      </w:tblPr>
      <w:tblGrid>
        <w:gridCol w:w="1347"/>
        <w:gridCol w:w="1178"/>
        <w:gridCol w:w="1194"/>
        <w:gridCol w:w="109"/>
        <w:gridCol w:w="109"/>
        <w:gridCol w:w="109"/>
        <w:gridCol w:w="419"/>
        <w:gridCol w:w="419"/>
        <w:gridCol w:w="421"/>
        <w:gridCol w:w="109"/>
        <w:gridCol w:w="109"/>
        <w:gridCol w:w="109"/>
        <w:gridCol w:w="1002"/>
        <w:gridCol w:w="1002"/>
        <w:gridCol w:w="1416"/>
      </w:tblGrid>
      <w:tr>
        <w:trPr/>
        <w:tc>
          <w:tcPr>
            <w:tcW w:w="13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Cannae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CNNE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before="0" w:after="0"/>
        <w:jc w:val="center"/>
        <w:rPr/>
      </w:pPr>
      <w:r>
        <w:rPr/>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tbl>
      <w:tblPr>
        <w:tblW w:w="10205" w:type="dxa"/>
        <w:jc w:val="center"/>
        <w:tblInd w:w="0" w:type="dxa"/>
        <w:tblLayout w:type="fixed"/>
        <w:tblCellMar>
          <w:top w:w="28" w:type="dxa"/>
          <w:left w:w="28" w:type="dxa"/>
          <w:bottom w:w="28" w:type="dxa"/>
          <w:right w:w="28" w:type="dxa"/>
        </w:tblCellMar>
      </w:tblPr>
      <w:tblGrid>
        <w:gridCol w:w="627"/>
        <w:gridCol w:w="551"/>
        <w:gridCol w:w="555"/>
        <w:gridCol w:w="109"/>
        <w:gridCol w:w="109"/>
        <w:gridCol w:w="109"/>
        <w:gridCol w:w="442"/>
        <w:gridCol w:w="442"/>
        <w:gridCol w:w="444"/>
        <w:gridCol w:w="109"/>
        <w:gridCol w:w="109"/>
        <w:gridCol w:w="109"/>
        <w:gridCol w:w="562"/>
        <w:gridCol w:w="562"/>
        <w:gridCol w:w="564"/>
        <w:gridCol w:w="109"/>
        <w:gridCol w:w="109"/>
        <w:gridCol w:w="109"/>
        <w:gridCol w:w="625"/>
        <w:gridCol w:w="625"/>
        <w:gridCol w:w="628"/>
        <w:gridCol w:w="109"/>
        <w:gridCol w:w="109"/>
        <w:gridCol w:w="109"/>
        <w:gridCol w:w="630"/>
        <w:gridCol w:w="630"/>
        <w:gridCol w:w="632"/>
        <w:gridCol w:w="109"/>
        <w:gridCol w:w="109"/>
        <w:gridCol w:w="160"/>
      </w:tblGrid>
      <w:tr>
        <w:trPr/>
        <w:tc>
          <w:tcPr>
            <w:tcW w:w="6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31, 2024 there were 62,734,645 shares of the Registrant's common stock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QUARTER ENDED JUNE 30,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10"/>
        <w:gridCol w:w="3088"/>
        <w:gridCol w:w="3095"/>
        <w:gridCol w:w="149"/>
        <w:gridCol w:w="149"/>
        <w:gridCol w:w="214"/>
      </w:tblGrid>
      <w:tr>
        <w:trPr/>
        <w:tc>
          <w:tcPr>
            <w:tcW w:w="3510"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13">
              <w:r>
                <w:rPr>
                  <w:rStyle w:val="InternetLink"/>
                  <w:rFonts w:ascii="Times New Roman;sans-serif" w:hAnsi="Times New Roman;sans-serif"/>
                  <w:b w:val="false"/>
                  <w:color w:val="0000FF"/>
                  <w:sz w:val="20"/>
                  <w:u w:val="single"/>
                </w:rPr>
                <w:t>Part I: FINANCIAL INFORMATION</w:t>
              </w:r>
            </w:hyperlink>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16">
              <w:r>
                <w:rPr>
                  <w:rStyle w:val="InternetLink"/>
                  <w:rFonts w:ascii="Times New Roman;sans-serif" w:hAnsi="Times New Roman;sans-serif"/>
                  <w:b w:val="false"/>
                  <w:color w:val="0000FF"/>
                  <w:sz w:val="20"/>
                  <w:u w:val="single"/>
                </w:rPr>
                <w:t>Item 1. Unaudited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19">
              <w:r>
                <w:rPr>
                  <w:rStyle w:val="InternetLink"/>
                  <w:rFonts w:ascii="Times New Roman;sans-serif" w:hAnsi="Times New Roman;sans-serif"/>
                  <w:b w:val="false"/>
                  <w:color w:val="000080"/>
                  <w:sz w:val="20"/>
                  <w:u w:val="single"/>
                </w:rPr>
                <w:t xml:space="preserve">A. Condensed Consolidated Balance Sheets as of </w:t>
              </w:r>
            </w:hyperlink>
            <w:hyperlink w:anchor="i1e27eb5680b94295bdce77097ef841ca_19">
              <w:r>
                <w:rPr>
                  <w:rStyle w:val="InternetLink"/>
                  <w:rFonts w:ascii="Times New Roman;sans-serif" w:hAnsi="Times New Roman;sans-serif"/>
                  <w:b w:val="false"/>
                  <w:color w:val="000080"/>
                  <w:sz w:val="20"/>
                  <w:u w:val="single"/>
                </w:rPr>
                <w:t>June 30</w:t>
              </w:r>
            </w:hyperlink>
            <w:hyperlink w:anchor="i1e27eb5680b94295bdce77097ef841ca_19">
              <w:r>
                <w:rPr>
                  <w:rStyle w:val="InternetLink"/>
                  <w:rFonts w:ascii="Times New Roman;sans-serif" w:hAnsi="Times New Roman;sans-serif"/>
                  <w:b w:val="false"/>
                  <w:color w:val="000080"/>
                  <w:sz w:val="20"/>
                  <w:u w:val="single"/>
                </w:rPr>
                <w:t>, 2024 and December 31, 2023</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19">
              <w:r>
                <w:rPr>
                  <w:rStyle w:val="InternetLink"/>
                  <w:rFonts w:ascii="Times New Roman;sans-serif" w:hAnsi="Times New Roman;sans-serif"/>
                  <w:b w:val="false"/>
                  <w:color w:val="0000FF"/>
                  <w:sz w:val="20"/>
                  <w:u w:val="single"/>
                </w:rPr>
                <w:t>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22">
              <w:r>
                <w:rPr>
                  <w:rStyle w:val="InternetLink"/>
                  <w:rFonts w:ascii="Times New Roman;sans-serif" w:hAnsi="Times New Roman;sans-serif"/>
                  <w:b w:val="false"/>
                  <w:color w:val="000080"/>
                  <w:sz w:val="20"/>
                  <w:u w:val="single"/>
                </w:rPr>
                <w:t>B. Condensed Consolidated Statements of Operations for the three</w:t>
              </w:r>
            </w:hyperlink>
            <w:hyperlink w:anchor="i1e27eb5680b94295bdce77097ef841ca_22">
              <w:r>
                <w:rPr>
                  <w:rStyle w:val="InternetLink"/>
                  <w:rFonts w:ascii="Times New Roman;sans-serif" w:hAnsi="Times New Roman;sans-serif"/>
                  <w:b w:val="false"/>
                  <w:color w:val="000080"/>
                  <w:sz w:val="20"/>
                  <w:u w:val="single"/>
                </w:rPr>
                <w:t xml:space="preserve"> and six</w:t>
              </w:r>
            </w:hyperlink>
            <w:hyperlink w:anchor="i1e27eb5680b94295bdce77097ef841ca_22">
              <w:r>
                <w:rPr>
                  <w:rStyle w:val="InternetLink"/>
                  <w:rFonts w:ascii="Times New Roman;sans-serif" w:hAnsi="Times New Roman;sans-serif"/>
                  <w:b w:val="false"/>
                  <w:color w:val="000080"/>
                  <w:sz w:val="20"/>
                  <w:u w:val="single"/>
                </w:rPr>
                <w:t xml:space="preserve">-month periods ended </w:t>
              </w:r>
            </w:hyperlink>
          </w:p>
          <w:p>
            <w:pPr>
              <w:pStyle w:val="TableContents"/>
              <w:bidi w:val="0"/>
              <w:spacing w:lineRule="auto" w:line="240" w:before="0" w:after="0"/>
              <w:jc w:val="left"/>
              <w:rPr/>
            </w:pPr>
            <w:hyperlink w:anchor="i1e27eb5680b94295bdce77097ef841ca_22">
              <w:r>
                <w:rPr>
                  <w:rStyle w:val="InternetLink"/>
                  <w:rFonts w:ascii="Times New Roman;sans-serif" w:hAnsi="Times New Roman;sans-serif"/>
                  <w:b w:val="false"/>
                  <w:color w:val="000080"/>
                  <w:sz w:val="20"/>
                  <w:u w:val="single"/>
                </w:rPr>
                <w:t>June 30</w:t>
              </w:r>
            </w:hyperlink>
            <w:hyperlink w:anchor="i1e27eb5680b94295bdce77097ef841ca_22">
              <w:r>
                <w:rPr>
                  <w:rStyle w:val="InternetLink"/>
                  <w:rFonts w:ascii="Times New Roman;sans-serif" w:hAnsi="Times New Roman;sans-serif"/>
                  <w:b w:val="false"/>
                  <w:color w:val="000080"/>
                  <w:sz w:val="20"/>
                  <w:u w:val="single"/>
                </w:rPr>
                <w:t>, 2024 and 2023</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22">
              <w:r>
                <w:rPr>
                  <w:rStyle w:val="InternetLink"/>
                  <w:rFonts w:ascii="Times New Roman;sans-serif" w:hAnsi="Times New Roman;sans-serif"/>
                  <w:b w:val="false"/>
                  <w:color w:val="0000FF"/>
                  <w:sz w:val="20"/>
                  <w:u w:val="single"/>
                </w:rPr>
                <w:t>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25">
              <w:r>
                <w:rPr>
                  <w:rStyle w:val="InternetLink"/>
                  <w:rFonts w:ascii="Times New Roman;sans-serif" w:hAnsi="Times New Roman;sans-serif"/>
                  <w:b w:val="false"/>
                  <w:color w:val="000080"/>
                  <w:sz w:val="20"/>
                  <w:u w:val="single"/>
                </w:rPr>
                <w:t>C. Condensed Consolidated Statements of Comprehensive (Loss) Earnings for the three</w:t>
              </w:r>
            </w:hyperlink>
            <w:hyperlink w:anchor="i1e27eb5680b94295bdce77097ef841ca_25">
              <w:r>
                <w:rPr>
                  <w:rStyle w:val="InternetLink"/>
                  <w:rFonts w:ascii="Times New Roman;sans-serif" w:hAnsi="Times New Roman;sans-serif"/>
                  <w:b w:val="false"/>
                  <w:color w:val="000080"/>
                  <w:sz w:val="20"/>
                  <w:u w:val="single"/>
                </w:rPr>
                <w:t xml:space="preserve"> and six</w:t>
              </w:r>
            </w:hyperlink>
            <w:hyperlink w:anchor="i1e27eb5680b94295bdce77097ef841ca_25">
              <w:r>
                <w:rPr>
                  <w:rStyle w:val="InternetLink"/>
                  <w:rFonts w:ascii="Times New Roman;sans-serif" w:hAnsi="Times New Roman;sans-serif"/>
                  <w:b w:val="false"/>
                  <w:color w:val="000080"/>
                  <w:sz w:val="20"/>
                  <w:u w:val="single"/>
                </w:rPr>
                <w:t>-month periods e</w:t>
              </w:r>
            </w:hyperlink>
            <w:hyperlink w:anchor="i1e27eb5680b94295bdce77097ef841ca_25">
              <w:r>
                <w:rPr>
                  <w:rStyle w:val="InternetLink"/>
                  <w:rFonts w:ascii="Times New Roman;sans-serif" w:hAnsi="Times New Roman;sans-serif"/>
                  <w:b w:val="false"/>
                  <w:color w:val="000080"/>
                  <w:sz w:val="20"/>
                  <w:u w:val="single"/>
                </w:rPr>
                <w:t>n</w:t>
              </w:r>
            </w:hyperlink>
            <w:hyperlink w:anchor="i1e27eb5680b94295bdce77097ef841ca_25">
              <w:r>
                <w:rPr>
                  <w:rStyle w:val="InternetLink"/>
                  <w:rFonts w:ascii="Times New Roman;sans-serif" w:hAnsi="Times New Roman;sans-serif"/>
                  <w:b w:val="false"/>
                  <w:color w:val="000080"/>
                  <w:sz w:val="20"/>
                  <w:u w:val="single"/>
                </w:rPr>
                <w:t>d</w:t>
              </w:r>
            </w:hyperlink>
            <w:hyperlink w:anchor="i1e27eb5680b94295bdce77097ef841ca_25">
              <w:r>
                <w:rPr>
                  <w:rStyle w:val="InternetLink"/>
                  <w:rFonts w:ascii="Times New Roman;sans-serif" w:hAnsi="Times New Roman;sans-serif"/>
                  <w:b w:val="false"/>
                  <w:color w:val="000080"/>
                  <w:sz w:val="20"/>
                  <w:u w:val="single"/>
                </w:rPr>
                <w:t>e</w:t>
              </w:r>
            </w:hyperlink>
            <w:hyperlink w:anchor="i1e27eb5680b94295bdce77097ef841ca_25">
              <w:r>
                <w:rPr>
                  <w:rStyle w:val="InternetLink"/>
                  <w:rFonts w:ascii="Times New Roman;sans-serif" w:hAnsi="Times New Roman;sans-serif"/>
                  <w:b w:val="false"/>
                  <w:color w:val="000080"/>
                  <w:sz w:val="20"/>
                  <w:u w:val="single"/>
                </w:rPr>
                <w:t>d</w:t>
              </w:r>
            </w:hyperlink>
            <w:hyperlink w:anchor="i1e27eb5680b94295bdce77097ef841ca_25">
              <w:r>
                <w:rPr>
                  <w:rStyle w:val="InternetLink"/>
                  <w:rFonts w:ascii="Times New Roman;sans-serif" w:hAnsi="Times New Roman;sans-serif"/>
                  <w:b w:val="false"/>
                  <w:color w:val="000080"/>
                  <w:sz w:val="20"/>
                  <w:u w:val="single"/>
                </w:rPr>
                <w:t xml:space="preserve"> </w:t>
              </w:r>
            </w:hyperlink>
            <w:hyperlink w:anchor="i1e27eb5680b94295bdce77097ef841ca_22">
              <w:r>
                <w:rPr>
                  <w:rStyle w:val="InternetLink"/>
                  <w:rFonts w:ascii="Times New Roman;sans-serif" w:hAnsi="Times New Roman;sans-serif"/>
                  <w:b w:val="false"/>
                  <w:color w:val="000080"/>
                  <w:sz w:val="20"/>
                  <w:u w:val="single"/>
                </w:rPr>
                <w:t xml:space="preserve">June </w:t>
              </w:r>
            </w:hyperlink>
            <w:hyperlink w:anchor="i1e27eb5680b94295bdce77097ef841ca_22">
              <w:r>
                <w:rPr>
                  <w:rStyle w:val="InternetLink"/>
                  <w:rFonts w:ascii="Times New Roman;sans-serif" w:hAnsi="Times New Roman;sans-serif"/>
                  <w:b w:val="false"/>
                  <w:color w:val="000080"/>
                  <w:sz w:val="20"/>
                  <w:u w:val="single"/>
                </w:rPr>
                <w:t>30</w:t>
              </w:r>
            </w:hyperlink>
            <w:hyperlink w:anchor="i1e27eb5680b94295bdce77097ef841ca_22">
              <w:r>
                <w:rPr>
                  <w:rStyle w:val="InternetLink"/>
                  <w:rFonts w:ascii="Times New Roman;sans-serif" w:hAnsi="Times New Roman;sans-serif"/>
                  <w:b w:val="false"/>
                  <w:color w:val="000080"/>
                  <w:sz w:val="20"/>
                  <w:u w:val="single"/>
                </w:rPr>
                <w:t>, 2024 and 2023</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25">
              <w:r>
                <w:rPr>
                  <w:rStyle w:val="InternetLink"/>
                  <w:rFonts w:ascii="Times New Roman;sans-serif" w:hAnsi="Times New Roman;sans-serif"/>
                  <w:b w:val="false"/>
                  <w:color w:val="0000FF"/>
                  <w:sz w:val="20"/>
                  <w:u w:val="single"/>
                </w:rPr>
                <w:t>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28">
              <w:r>
                <w:rPr>
                  <w:rStyle w:val="InternetLink"/>
                  <w:rFonts w:ascii="Times New Roman;sans-serif" w:hAnsi="Times New Roman;sans-serif"/>
                  <w:b w:val="false"/>
                  <w:color w:val="000080"/>
                  <w:sz w:val="20"/>
                  <w:u w:val="single"/>
                </w:rPr>
                <w:t>D. Condensed Consolidated Statements of Equity for the three</w:t>
              </w:r>
            </w:hyperlink>
            <w:hyperlink w:anchor="i1e27eb5680b94295bdce77097ef841ca_28">
              <w:r>
                <w:rPr>
                  <w:rStyle w:val="InternetLink"/>
                  <w:rFonts w:ascii="Times New Roman;sans-serif" w:hAnsi="Times New Roman;sans-serif"/>
                  <w:b w:val="false"/>
                  <w:color w:val="000080"/>
                  <w:sz w:val="20"/>
                  <w:u w:val="single"/>
                </w:rPr>
                <w:t xml:space="preserve"> and </w:t>
              </w:r>
            </w:hyperlink>
            <w:hyperlink w:anchor="i1e27eb5680b94295bdce77097ef841ca_28">
              <w:r>
                <w:rPr>
                  <w:rStyle w:val="InternetLink"/>
                  <w:rFonts w:ascii="Times New Roman;sans-serif" w:hAnsi="Times New Roman;sans-serif"/>
                  <w:b w:val="false"/>
                  <w:color w:val="000080"/>
                  <w:sz w:val="20"/>
                  <w:u w:val="single"/>
                </w:rPr>
                <w:t>six</w:t>
              </w:r>
            </w:hyperlink>
            <w:hyperlink w:anchor="i1e27eb5680b94295bdce77097ef841ca_28">
              <w:r>
                <w:rPr>
                  <w:rStyle w:val="InternetLink"/>
                  <w:rFonts w:ascii="Times New Roman;sans-serif" w:hAnsi="Times New Roman;sans-serif"/>
                  <w:b w:val="false"/>
                  <w:color w:val="000080"/>
                  <w:sz w:val="20"/>
                  <w:u w:val="single"/>
                </w:rPr>
                <w:t xml:space="preserve">-month periods ended </w:t>
              </w:r>
            </w:hyperlink>
          </w:p>
          <w:p>
            <w:pPr>
              <w:pStyle w:val="TableContents"/>
              <w:bidi w:val="0"/>
              <w:spacing w:lineRule="auto" w:line="240" w:before="0" w:after="0"/>
              <w:jc w:val="left"/>
              <w:rPr/>
            </w:pPr>
            <w:hyperlink w:anchor="i1e27eb5680b94295bdce77097ef841ca_22">
              <w:r>
                <w:rPr>
                  <w:rStyle w:val="InternetLink"/>
                  <w:rFonts w:ascii="Times New Roman;sans-serif" w:hAnsi="Times New Roman;sans-serif"/>
                  <w:b w:val="false"/>
                  <w:color w:val="000080"/>
                  <w:sz w:val="20"/>
                  <w:u w:val="single"/>
                </w:rPr>
                <w:t>June 30</w:t>
              </w:r>
            </w:hyperlink>
            <w:hyperlink w:anchor="i1e27eb5680b94295bdce77097ef841ca_22">
              <w:r>
                <w:rPr>
                  <w:rStyle w:val="InternetLink"/>
                  <w:rFonts w:ascii="Times New Roman;sans-serif" w:hAnsi="Times New Roman;sans-serif"/>
                  <w:b w:val="false"/>
                  <w:color w:val="000080"/>
                  <w:sz w:val="20"/>
                  <w:u w:val="single"/>
                </w:rPr>
                <w:t>, 2024 and 2023</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28">
              <w:r>
                <w:rPr>
                  <w:rStyle w:val="InternetLink"/>
                  <w:rFonts w:ascii="Times New Roman;sans-serif" w:hAnsi="Times New Roman;sans-serif"/>
                  <w:b w:val="false"/>
                  <w:color w:val="0000FF"/>
                  <w:sz w:val="20"/>
                  <w:u w:val="single"/>
                </w:rPr>
                <w:t>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34">
              <w:r>
                <w:rPr>
                  <w:rStyle w:val="InternetLink"/>
                  <w:rFonts w:ascii="Times New Roman;sans-serif" w:hAnsi="Times New Roman;sans-serif"/>
                  <w:b w:val="false"/>
                  <w:color w:val="000080"/>
                  <w:sz w:val="20"/>
                  <w:u w:val="single"/>
                </w:rPr>
                <w:t>E. Condensed Consolidated Statements of Cash Flows for the three</w:t>
              </w:r>
            </w:hyperlink>
            <w:hyperlink w:anchor="i1e27eb5680b94295bdce77097ef841ca_34">
              <w:r>
                <w:rPr>
                  <w:rStyle w:val="InternetLink"/>
                  <w:rFonts w:ascii="Times New Roman;sans-serif" w:hAnsi="Times New Roman;sans-serif"/>
                  <w:b w:val="false"/>
                  <w:color w:val="000080"/>
                  <w:sz w:val="20"/>
                  <w:u w:val="single"/>
                </w:rPr>
                <w:t xml:space="preserve"> and six</w:t>
              </w:r>
            </w:hyperlink>
            <w:hyperlink w:anchor="i1e27eb5680b94295bdce77097ef841ca_34">
              <w:r>
                <w:rPr>
                  <w:rStyle w:val="InternetLink"/>
                  <w:rFonts w:ascii="Times New Roman;sans-serif" w:hAnsi="Times New Roman;sans-serif"/>
                  <w:b w:val="false"/>
                  <w:color w:val="000080"/>
                  <w:sz w:val="20"/>
                  <w:u w:val="single"/>
                </w:rPr>
                <w:t xml:space="preserve">-month periods ended </w:t>
              </w:r>
            </w:hyperlink>
          </w:p>
          <w:p>
            <w:pPr>
              <w:pStyle w:val="TableContents"/>
              <w:bidi w:val="0"/>
              <w:spacing w:lineRule="auto" w:line="240" w:before="0" w:after="0"/>
              <w:jc w:val="left"/>
              <w:rPr/>
            </w:pPr>
            <w:hyperlink w:anchor="i1e27eb5680b94295bdce77097ef841ca_22">
              <w:r>
                <w:rPr>
                  <w:rStyle w:val="InternetLink"/>
                  <w:rFonts w:ascii="Times New Roman;sans-serif" w:hAnsi="Times New Roman;sans-serif"/>
                  <w:b w:val="false"/>
                  <w:color w:val="000080"/>
                  <w:sz w:val="20"/>
                  <w:u w:val="single"/>
                </w:rPr>
                <w:t xml:space="preserve">June </w:t>
              </w:r>
            </w:hyperlink>
            <w:hyperlink w:anchor="i1e27eb5680b94295bdce77097ef841ca_22">
              <w:r>
                <w:rPr>
                  <w:rStyle w:val="InternetLink"/>
                  <w:rFonts w:ascii="Times New Roman;sans-serif" w:hAnsi="Times New Roman;sans-serif"/>
                  <w:b w:val="false"/>
                  <w:color w:val="000080"/>
                  <w:sz w:val="20"/>
                  <w:u w:val="single"/>
                </w:rPr>
                <w:t>30</w:t>
              </w:r>
            </w:hyperlink>
            <w:hyperlink w:anchor="i1e27eb5680b94295bdce77097ef841ca_22">
              <w:r>
                <w:rPr>
                  <w:rStyle w:val="InternetLink"/>
                  <w:rFonts w:ascii="Times New Roman;sans-serif" w:hAnsi="Times New Roman;sans-serif"/>
                  <w:b w:val="false"/>
                  <w:color w:val="000080"/>
                  <w:sz w:val="20"/>
                  <w:u w:val="single"/>
                </w:rPr>
                <w:t>, 2024 and 2023</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34">
              <w:r>
                <w:rPr>
                  <w:rStyle w:val="InternetLink"/>
                  <w:rFonts w:ascii="Times New Roman;sans-serif" w:hAnsi="Times New Roman;sans-serif"/>
                  <w:b w:val="false"/>
                  <w:color w:val="0000FF"/>
                  <w:sz w:val="20"/>
                  <w:u w:val="single"/>
                </w:rPr>
                <w:t>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37">
              <w:r>
                <w:rPr>
                  <w:rStyle w:val="InternetLink"/>
                  <w:rFonts w:ascii="Times New Roman;sans-serif" w:hAnsi="Times New Roman;sans-serif"/>
                  <w:b w:val="false"/>
                  <w:color w:val="0000FF"/>
                  <w:sz w:val="20"/>
                  <w:u w:val="single"/>
                </w:rPr>
                <w:t xml:space="preserve">F. Notes to Condensed Consolidated Financial Statements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40">
              <w:r>
                <w:rPr>
                  <w:rStyle w:val="InternetLink"/>
                  <w:rFonts w:ascii="Times New Roman;sans-serif" w:hAnsi="Times New Roman;sans-serif"/>
                  <w:b w:val="false"/>
                  <w:color w:val="0000FF"/>
                  <w:sz w:val="20"/>
                  <w:u w:val="single"/>
                </w:rPr>
                <w:t>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13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136">
              <w:r>
                <w:rPr>
                  <w:rStyle w:val="InternetLink"/>
                  <w:rFonts w:ascii="Times New Roman;sans-serif" w:hAnsi="Times New Roman;sans-serif"/>
                  <w:b w:val="false"/>
                  <w:color w:val="0000FF"/>
                  <w:sz w:val="20"/>
                  <w:u w:val="single"/>
                </w:rPr>
                <w:t>22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229">
              <w:r>
                <w:rPr>
                  <w:rStyle w:val="InternetLink"/>
                  <w:rFonts w:ascii="Times New Roman;sans-serif" w:hAnsi="Times New Roman;sans-serif"/>
                  <w:b w:val="false"/>
                  <w:color w:val="0000FF"/>
                  <w:sz w:val="20"/>
                  <w:u w:val="single"/>
                </w:rPr>
                <w:t>Item 3. Quantitative and Qualitative Disclosure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229">
              <w:r>
                <w:rPr>
                  <w:rStyle w:val="InternetLink"/>
                  <w:rFonts w:ascii="Times New Roman;sans-serif" w:hAnsi="Times New Roman;sans-serif"/>
                  <w:b w:val="false"/>
                  <w:color w:val="0000FF"/>
                  <w:sz w:val="20"/>
                  <w:u w:val="singl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232">
              <w:r>
                <w:rPr>
                  <w:rStyle w:val="InternetLink"/>
                  <w:rFonts w:ascii="Times New Roman;sans-serif" w:hAnsi="Times New Roman;sans-serif"/>
                  <w:b w:val="false"/>
                  <w:color w:val="0000FF"/>
                  <w:sz w:val="20"/>
                  <w:u w:val="single"/>
                </w:rPr>
                <w:t>Item 4. 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232">
              <w:r>
                <w:rPr>
                  <w:rStyle w:val="InternetLink"/>
                  <w:rFonts w:ascii="Times New Roman;sans-serif" w:hAnsi="Times New Roman;sans-serif"/>
                  <w:b w:val="false"/>
                  <w:color w:val="0000FF"/>
                  <w:sz w:val="20"/>
                  <w:u w:val="singl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235">
              <w:r>
                <w:rPr>
                  <w:rStyle w:val="InternetLink"/>
                  <w:rFonts w:ascii="Times New Roman;sans-serif" w:hAnsi="Times New Roman;sans-serif"/>
                  <w:b w:val="false"/>
                  <w:color w:val="0000FF"/>
                  <w:sz w:val="20"/>
                  <w:u w:val="single"/>
                </w:rPr>
                <w:t>Part II: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238">
              <w:r>
                <w:rPr>
                  <w:rStyle w:val="InternetLink"/>
                  <w:rFonts w:ascii="Times New Roman;sans-serif" w:hAnsi="Times New Roman;sans-serif"/>
                  <w:b w:val="false"/>
                  <w:color w:val="0000FF"/>
                  <w:sz w:val="20"/>
                  <w:u w:val="single"/>
                </w:rPr>
                <w:t>Item 1.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238">
              <w:r>
                <w:rPr>
                  <w:rStyle w:val="InternetLink"/>
                  <w:rFonts w:ascii="Times New Roman;sans-serif" w:hAnsi="Times New Roman;sans-serif"/>
                  <w:b w:val="false"/>
                  <w:color w:val="0000FF"/>
                  <w:sz w:val="20"/>
                  <w:u w:val="singl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241">
              <w:r>
                <w:rPr>
                  <w:rStyle w:val="InternetLink"/>
                  <w:rFonts w:ascii="Times New Roman;sans-serif" w:hAnsi="Times New Roman;sans-serif"/>
                  <w:b w:val="false"/>
                  <w:color w:val="0000FF"/>
                  <w:sz w:val="20"/>
                  <w:u w:val="single"/>
                </w:rPr>
                <w:t>Item 1A. 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241">
              <w:r>
                <w:rPr>
                  <w:rStyle w:val="InternetLink"/>
                  <w:rFonts w:ascii="Times New Roman;sans-serif" w:hAnsi="Times New Roman;sans-serif"/>
                  <w:b w:val="false"/>
                  <w:color w:val="0000FF"/>
                  <w:sz w:val="20"/>
                  <w:u w:val="singl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244">
              <w:r>
                <w:rPr>
                  <w:rStyle w:val="InternetLink"/>
                  <w:rFonts w:ascii="Times New Roman;sans-serif" w:hAnsi="Times New Roman;sans-serif"/>
                  <w:b w:val="false"/>
                  <w:color w:val="0000FF"/>
                  <w:sz w:val="20"/>
                  <w:u w:val="single"/>
                </w:rPr>
                <w:t>Item 2. 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244">
              <w:r>
                <w:rPr>
                  <w:rStyle w:val="InternetLink"/>
                  <w:rFonts w:ascii="Times New Roman;sans-serif" w:hAnsi="Times New Roman;sans-serif"/>
                  <w:b w:val="false"/>
                  <w:color w:val="0000FF"/>
                  <w:sz w:val="20"/>
                  <w:u w:val="singl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253">
              <w:r>
                <w:rPr>
                  <w:rStyle w:val="InternetLink"/>
                  <w:rFonts w:ascii="Times New Roman;sans-serif" w:hAnsi="Times New Roman;sans-serif"/>
                  <w:b w:val="false"/>
                  <w:color w:val="000080"/>
                  <w:sz w:val="20"/>
                  <w:u w:val="single"/>
                </w:rPr>
                <w:t>Item 3. D</w:t>
              </w:r>
            </w:hyperlink>
            <w:r>
              <w:rPr>
                <w:rFonts w:ascii="Times New Roman;sans-serif" w:hAnsi="Times New Roman;sans-serif"/>
                <w:b w:val="false"/>
                <w:color w:val="0000FF"/>
                <w:sz w:val="20"/>
                <w:u w:val="single"/>
              </w:rPr>
              <w:t>efaults Upon Senior Securities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253">
              <w:r>
                <w:rPr>
                  <w:rStyle w:val="InternetLink"/>
                  <w:rFonts w:ascii="Times New Roman;sans-serif" w:hAnsi="Times New Roman;sans-serif"/>
                  <w:b w:val="false"/>
                  <w:color w:val="0000FF"/>
                  <w:sz w:val="20"/>
                  <w:u w:val="single"/>
                </w:rPr>
                <w:t>33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256">
              <w:r>
                <w:rPr>
                  <w:rStyle w:val="InternetLink"/>
                  <w:rFonts w:ascii="Times New Roman;sans-serif" w:hAnsi="Times New Roman;sans-serif"/>
                  <w:b w:val="false"/>
                  <w:color w:val="0000FF"/>
                  <w:sz w:val="20"/>
                  <w:u w:val="single"/>
                </w:rPr>
                <w:t>Item 4. 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256">
              <w:r>
                <w:rPr>
                  <w:rStyle w:val="InternetLink"/>
                  <w:rFonts w:ascii="Times New Roman;sans-serif" w:hAnsi="Times New Roman;sans-serif"/>
                  <w:b w:val="false"/>
                  <w:color w:val="0000FF"/>
                  <w:sz w:val="20"/>
                  <w:u w:val="single"/>
                </w:rPr>
                <w:t>33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259">
              <w:r>
                <w:rPr>
                  <w:rStyle w:val="InternetLink"/>
                  <w:rFonts w:ascii="Times New Roman;sans-serif" w:hAnsi="Times New Roman;sans-serif"/>
                  <w:b w:val="false"/>
                  <w:color w:val="0000FF"/>
                  <w:sz w:val="20"/>
                  <w:u w:val="single"/>
                </w:rPr>
                <w:t>Item 5.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259">
              <w:r>
                <w:rPr>
                  <w:rStyle w:val="InternetLink"/>
                  <w:rFonts w:ascii="Times New Roman;sans-serif" w:hAnsi="Times New Roman;sans-serif"/>
                  <w:b w:val="false"/>
                  <w:color w:val="0000FF"/>
                  <w:sz w:val="20"/>
                  <w:u w:val="single"/>
                </w:rPr>
                <w:t>33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27eb5680b94295bdce77097ef841ca_262">
              <w:r>
                <w:rPr>
                  <w:rStyle w:val="InternetLink"/>
                  <w:rFonts w:ascii="Times New Roman;sans-serif" w:hAnsi="Times New Roman;sans-serif"/>
                  <w:b w:val="false"/>
                  <w:color w:val="0000FF"/>
                  <w:sz w:val="20"/>
                  <w:u w:val="single"/>
                </w:rPr>
                <w:t>Item 6. 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27eb5680b94295bdce77097ef841ca_262">
              <w:r>
                <w:rPr>
                  <w:rStyle w:val="InternetLink"/>
                  <w:rFonts w:ascii="Times New Roman;sans-serif" w:hAnsi="Times New Roman;sans-serif"/>
                  <w:b w:val="false"/>
                  <w:color w:val="0000FF"/>
                  <w:sz w:val="20"/>
                  <w:u w:val="single"/>
                </w:rPr>
                <w:t>34</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CANNAE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21"/>
        <w:gridCol w:w="2412"/>
        <w:gridCol w:w="2378"/>
        <w:gridCol w:w="196"/>
        <w:gridCol w:w="691"/>
        <w:gridCol w:w="109"/>
        <w:gridCol w:w="109"/>
        <w:gridCol w:w="109"/>
        <w:gridCol w:w="109"/>
        <w:gridCol w:w="201"/>
        <w:gridCol w:w="710"/>
        <w:gridCol w:w="160"/>
      </w:tblGrid>
      <w:tr>
        <w:trPr/>
        <w:tc>
          <w:tcPr>
            <w:tcW w:w="3021"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unconsolidated affiliates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 at fair value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investments and non-current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EQUITY</w:t>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current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current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long-term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long-term</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 long-term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 see Note H</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Cannae common stock, 0.0001 par value; authorized 115,000,000 shares as of June 30, 2024 and December 31, 2023; issued of 94,246,958 and 92,844,329 shares as of June 30, 2024 and December 31, 2023, respectively, and outstanding of 62,470,771 and 70,367,088 shares as of June 30, 2024 and December 31, 2023,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authorized 10,000,000 shares; issued and outstanding, none as of June 30, 2024 and December 31, 2023</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Treasury stock, 31,776,187 and 22,477,241 shares as of June 30, 2024 and December 31, 2023, respectively, at cost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Cannae shareholders'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19"/>
        <w:gridCol w:w="1742"/>
        <w:gridCol w:w="1758"/>
        <w:gridCol w:w="203"/>
        <w:gridCol w:w="649"/>
        <w:gridCol w:w="112"/>
        <w:gridCol w:w="112"/>
        <w:gridCol w:w="112"/>
        <w:gridCol w:w="112"/>
        <w:gridCol w:w="203"/>
        <w:gridCol w:w="578"/>
        <w:gridCol w:w="112"/>
        <w:gridCol w:w="109"/>
        <w:gridCol w:w="109"/>
        <w:gridCol w:w="109"/>
        <w:gridCol w:w="196"/>
        <w:gridCol w:w="624"/>
        <w:gridCol w:w="109"/>
        <w:gridCol w:w="109"/>
        <w:gridCol w:w="109"/>
        <w:gridCol w:w="109"/>
        <w:gridCol w:w="196"/>
        <w:gridCol w:w="556"/>
        <w:gridCol w:w="158"/>
      </w:tblGrid>
      <w:tr>
        <w:trPr/>
        <w:tc>
          <w:tcPr>
            <w:tcW w:w="201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193"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revenue</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restaurant revenue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investment and other income</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Recognized (losses) gains, net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(expense) income </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 and equity in losses of unconsolidated affiliates</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equity in losses of unconsolidated affiliates</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of unconsolidated affiliates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Cannae Holdings, Inc. common shareholders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share</w:t>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Basic</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per share </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Diluted</w:t>
            </w:r>
          </w:p>
        </w:tc>
        <w:tc>
          <w:tcPr>
            <w:tcW w:w="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Weighted Average Shares Outstanding</w:t>
            </w:r>
          </w:p>
        </w:tc>
        <w:tc>
          <w:tcPr>
            <w:tcW w:w="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Cannae Holdings common stock, basic basis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Cannae Holdings common stock, diluted basis</w:t>
            </w:r>
          </w:p>
        </w:tc>
        <w:tc>
          <w:tcPr>
            <w:tcW w:w="8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EARNINGS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59"/>
        <w:gridCol w:w="1786"/>
        <w:gridCol w:w="1811"/>
        <w:gridCol w:w="201"/>
        <w:gridCol w:w="623"/>
        <w:gridCol w:w="111"/>
        <w:gridCol w:w="111"/>
        <w:gridCol w:w="111"/>
        <w:gridCol w:w="111"/>
        <w:gridCol w:w="201"/>
        <w:gridCol w:w="531"/>
        <w:gridCol w:w="111"/>
        <w:gridCol w:w="109"/>
        <w:gridCol w:w="109"/>
        <w:gridCol w:w="109"/>
        <w:gridCol w:w="196"/>
        <w:gridCol w:w="605"/>
        <w:gridCol w:w="109"/>
        <w:gridCol w:w="109"/>
        <w:gridCol w:w="109"/>
        <w:gridCol w:w="109"/>
        <w:gridCol w:w="196"/>
        <w:gridCol w:w="515"/>
        <w:gridCol w:w="163"/>
      </w:tblGrid>
      <w:tr>
        <w:trPr/>
        <w:tc>
          <w:tcPr>
            <w:tcW w:w="205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6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earnings (loss), net of tax:</w:t>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Unrealized (loss) earnings of investments in unconsolidated affiliates </w:t>
            </w:r>
            <w:r>
              <w:rPr>
                <w:rFonts w:ascii="Times New Roman;sans-serif" w:hAnsi="Times New Roman;sans-serif"/>
                <w:b w:val="false"/>
                <w:color w:val="000000"/>
                <w:sz w:val="12"/>
              </w:rPr>
              <w:t>(1)</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5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Reclassification adjustments for unrealized gains and losses of unconsolidated affiliates, net of tax, included in net earnings </w:t>
            </w:r>
            <w:r>
              <w:rPr>
                <w:rFonts w:ascii="Times New Roman;sans-serif" w:hAnsi="Times New Roman;sans-serif"/>
                <w:b w:val="false"/>
                <w:color w:val="000000"/>
                <w:sz w:val="12"/>
              </w:rPr>
              <w:t>(2)</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earnings</w:t>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loss attributable to noncontrolling interests</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Cannae Holdings, Inc. common shareholders</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hanging="540"/>
        <w:jc w:val="both"/>
        <w:rPr/>
      </w:pPr>
      <w:r>
        <w:rPr>
          <w:rFonts w:ascii="Times New Roman;sans-serif" w:hAnsi="Times New Roman;sans-serif"/>
          <w:b w:val="false"/>
          <w:color w:val="000000"/>
          <w:sz w:val="18"/>
        </w:rPr>
        <w:t xml:space="preserve">(1)Net of income tax (benefit) expense of $(0.3) million and $0.8 million for the three months ended June 30, 2024 and 2023, respectively, and $(0.5) million and $1.1 million for the </w:t>
      </w:r>
      <w:r>
        <w:rPr>
          <w:rFonts w:ascii="Times New Roman;sans-serif" w:hAnsi="Times New Roman;sans-serif"/>
          <w:b w:val="false"/>
          <w:color w:val="000000"/>
          <w:sz w:val="20"/>
        </w:rPr>
        <w:t>six</w:t>
      </w:r>
      <w:r>
        <w:rPr>
          <w:color w:val="000000"/>
        </w:rPr>
        <w:t xml:space="preserve"> </w:t>
      </w:r>
      <w:r>
        <w:rPr>
          <w:rFonts w:ascii="Times New Roman;sans-serif" w:hAnsi="Times New Roman;sans-serif"/>
          <w:b w:val="false"/>
          <w:color w:val="000000"/>
          <w:sz w:val="18"/>
        </w:rPr>
        <w:t>months ended June 30, 2024 and 2023, respectively.</w:t>
      </w:r>
    </w:p>
    <w:p>
      <w:pPr>
        <w:pStyle w:val="TextBody"/>
        <w:bidi w:val="0"/>
        <w:spacing w:lineRule="auto" w:line="288" w:before="0" w:after="180"/>
        <w:ind w:left="0" w:right="0" w:hanging="540"/>
        <w:jc w:val="both"/>
        <w:rPr/>
      </w:pPr>
      <w:r>
        <w:rPr>
          <w:rFonts w:ascii="Times New Roman;sans-serif" w:hAnsi="Times New Roman;sans-serif"/>
          <w:b w:val="false"/>
          <w:color w:val="000000"/>
          <w:sz w:val="18"/>
        </w:rPr>
        <w:t xml:space="preserve">(2)Net of income tax expense of </w:t>
      </w:r>
      <w:r>
        <w:rPr>
          <w:rFonts w:ascii="Times New Roman;sans-serif" w:hAnsi="Times New Roman;sans-serif"/>
          <w:b w:val="false"/>
          <w:color w:val="000000"/>
          <w:sz w:val="20"/>
        </w:rPr>
        <w:t xml:space="preserve">$1.1 million </w:t>
      </w:r>
      <w:r>
        <w:rPr>
          <w:rFonts w:ascii="Times New Roman;sans-serif" w:hAnsi="Times New Roman;sans-serif"/>
          <w:b w:val="false"/>
          <w:color w:val="000000"/>
          <w:sz w:val="18"/>
        </w:rPr>
        <w:t xml:space="preserve">for the </w:t>
      </w:r>
      <w:r>
        <w:rPr>
          <w:rFonts w:ascii="Times New Roman;sans-serif" w:hAnsi="Times New Roman;sans-serif"/>
          <w:b w:val="false"/>
          <w:color w:val="000000"/>
          <w:sz w:val="20"/>
        </w:rPr>
        <w:t>six</w:t>
      </w:r>
      <w:r>
        <w:rPr>
          <w:color w:val="000000"/>
        </w:rPr>
        <w:t xml:space="preserve"> </w:t>
      </w:r>
      <w:r>
        <w:rPr>
          <w:rFonts w:ascii="Times New Roman;sans-serif" w:hAnsi="Times New Roman;sans-serif"/>
          <w:b w:val="false"/>
          <w:color w:val="000000"/>
          <w:sz w:val="18"/>
        </w:rPr>
        <w:t>months ended June 30, 2024.</w:t>
      </w:r>
      <w:r>
        <w:rPr>
          <w:color w:val="000000"/>
        </w:rPr>
        <w:t>    </w:t>
      </w:r>
    </w:p>
    <w:p>
      <w:pPr>
        <w:pStyle w:val="TextBody"/>
        <w:bidi w:val="0"/>
        <w:spacing w:lineRule="auto" w:line="288" w:before="3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pStyle w:val="TextBody"/>
        <w:bidi w:val="0"/>
        <w:spacing w:before="0" w:after="0"/>
        <w:jc w:val="left"/>
        <w:rPr/>
      </w:pPr>
      <w:r>
        <w:rPr/>
      </w:r>
    </w:p>
    <w:p>
      <w:pPr>
        <w:pStyle w:val="TextBody"/>
        <w:bidi w:val="0"/>
        <w:spacing w:before="340" w:after="340"/>
        <w:jc w:val="left"/>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12101" w:type="dxa"/>
        <w:jc w:val="center"/>
        <w:tblInd w:w="0" w:type="dxa"/>
        <w:tblLayout w:type="fixed"/>
        <w:tblCellMar>
          <w:top w:w="28" w:type="dxa"/>
          <w:left w:w="28" w:type="dxa"/>
          <w:bottom w:w="28" w:type="dxa"/>
          <w:right w:w="28" w:type="dxa"/>
        </w:tblCellMar>
      </w:tblPr>
      <w:tblGrid>
        <w:gridCol w:w="552"/>
        <w:gridCol w:w="486"/>
        <w:gridCol w:w="373"/>
        <w:gridCol w:w="233"/>
        <w:gridCol w:w="233"/>
        <w:gridCol w:w="171"/>
        <w:gridCol w:w="109"/>
        <w:gridCol w:w="109"/>
        <w:gridCol w:w="109"/>
        <w:gridCol w:w="196"/>
        <w:gridCol w:w="406"/>
        <w:gridCol w:w="109"/>
        <w:gridCol w:w="109"/>
        <w:gridCol w:w="109"/>
        <w:gridCol w:w="109"/>
        <w:gridCol w:w="196"/>
        <w:gridCol w:w="691"/>
        <w:gridCol w:w="109"/>
        <w:gridCol w:w="109"/>
        <w:gridCol w:w="109"/>
        <w:gridCol w:w="109"/>
        <w:gridCol w:w="196"/>
        <w:gridCol w:w="691"/>
        <w:gridCol w:w="109"/>
        <w:gridCol w:w="109"/>
        <w:gridCol w:w="109"/>
        <w:gridCol w:w="109"/>
        <w:gridCol w:w="217"/>
        <w:gridCol w:w="533"/>
        <w:gridCol w:w="121"/>
        <w:gridCol w:w="109"/>
        <w:gridCol w:w="109"/>
        <w:gridCol w:w="109"/>
        <w:gridCol w:w="233"/>
        <w:gridCol w:w="233"/>
        <w:gridCol w:w="196"/>
        <w:gridCol w:w="109"/>
        <w:gridCol w:w="109"/>
        <w:gridCol w:w="109"/>
        <w:gridCol w:w="196"/>
        <w:gridCol w:w="571"/>
        <w:gridCol w:w="109"/>
        <w:gridCol w:w="109"/>
        <w:gridCol w:w="109"/>
        <w:gridCol w:w="109"/>
        <w:gridCol w:w="109"/>
        <w:gridCol w:w="109"/>
        <w:gridCol w:w="265"/>
        <w:gridCol w:w="652"/>
        <w:gridCol w:w="149"/>
        <w:gridCol w:w="109"/>
        <w:gridCol w:w="109"/>
        <w:gridCol w:w="109"/>
        <w:gridCol w:w="196"/>
        <w:gridCol w:w="691"/>
        <w:gridCol w:w="154"/>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 (Loss)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6"/>
            <w:tcBorders/>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March 31, 2023</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earnings — unrealized earnings of investments in unconsolidated affiliates,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repurchases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consolidated subsidiaries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unconsolidated affiliates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June 30, 2023</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March 31, 2024</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earnings — unrealized losses of investments in unconsolidated affiliates,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repurchases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consolidated subsidiaries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unconsolidated affiliates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June 30, 2024</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11883" w:type="dxa"/>
        <w:jc w:val="center"/>
        <w:tblInd w:w="0" w:type="dxa"/>
        <w:tblLayout w:type="fixed"/>
        <w:tblCellMar>
          <w:top w:w="28" w:type="dxa"/>
          <w:left w:w="28" w:type="dxa"/>
          <w:bottom w:w="28" w:type="dxa"/>
          <w:right w:w="28" w:type="dxa"/>
        </w:tblCellMar>
      </w:tblPr>
      <w:tblGrid>
        <w:gridCol w:w="623"/>
        <w:gridCol w:w="548"/>
        <w:gridCol w:w="240"/>
        <w:gridCol w:w="233"/>
        <w:gridCol w:w="233"/>
        <w:gridCol w:w="171"/>
        <w:gridCol w:w="109"/>
        <w:gridCol w:w="109"/>
        <w:gridCol w:w="109"/>
        <w:gridCol w:w="196"/>
        <w:gridCol w:w="406"/>
        <w:gridCol w:w="109"/>
        <w:gridCol w:w="109"/>
        <w:gridCol w:w="109"/>
        <w:gridCol w:w="109"/>
        <w:gridCol w:w="196"/>
        <w:gridCol w:w="691"/>
        <w:gridCol w:w="109"/>
        <w:gridCol w:w="109"/>
        <w:gridCol w:w="109"/>
        <w:gridCol w:w="109"/>
        <w:gridCol w:w="196"/>
        <w:gridCol w:w="691"/>
        <w:gridCol w:w="109"/>
        <w:gridCol w:w="109"/>
        <w:gridCol w:w="109"/>
        <w:gridCol w:w="109"/>
        <w:gridCol w:w="217"/>
        <w:gridCol w:w="533"/>
        <w:gridCol w:w="121"/>
        <w:gridCol w:w="109"/>
        <w:gridCol w:w="109"/>
        <w:gridCol w:w="109"/>
        <w:gridCol w:w="233"/>
        <w:gridCol w:w="233"/>
        <w:gridCol w:w="196"/>
        <w:gridCol w:w="109"/>
        <w:gridCol w:w="109"/>
        <w:gridCol w:w="109"/>
        <w:gridCol w:w="196"/>
        <w:gridCol w:w="571"/>
        <w:gridCol w:w="109"/>
        <w:gridCol w:w="109"/>
        <w:gridCol w:w="109"/>
        <w:gridCol w:w="109"/>
        <w:gridCol w:w="265"/>
        <w:gridCol w:w="652"/>
        <w:gridCol w:w="149"/>
        <w:gridCol w:w="109"/>
        <w:gridCol w:w="109"/>
        <w:gridCol w:w="109"/>
        <w:gridCol w:w="196"/>
        <w:gridCol w:w="691"/>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 (Loss)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3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2022</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earnings — unrealized losses of investments in unconsolidated affiliates,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repurchases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for shares withheld for taxes and in treasury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consolidated subsidiaries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unconsolidated affiliates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Subsidiary dividends paid to 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June 30, 2023</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2023</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earnings — unrealized earnings of investments in unconsolidated affiliates, net of tax</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Reclassification adjustments for unrealized gains and losses on unconsolidated affiliates, net of tax, included in net loss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repurchases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 and shares held in trust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for shares withheld for taxes and in treasury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consolidated subsidiaries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unconsolidated affiliates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shares issued for investment in JANA</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June 30, 2024</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See Notes to Condensed Consolidated Financial Statements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828" w:type="dxa"/>
        <w:jc w:val="center"/>
        <w:tblInd w:w="0" w:type="dxa"/>
        <w:tblLayout w:type="fixed"/>
        <w:tblCellMar>
          <w:top w:w="28" w:type="dxa"/>
          <w:left w:w="28" w:type="dxa"/>
          <w:bottom w:w="28" w:type="dxa"/>
          <w:right w:w="28" w:type="dxa"/>
        </w:tblCellMar>
      </w:tblPr>
      <w:tblGrid>
        <w:gridCol w:w="2413"/>
        <w:gridCol w:w="2114"/>
        <w:gridCol w:w="2132"/>
        <w:gridCol w:w="196"/>
        <w:gridCol w:w="631"/>
        <w:gridCol w:w="109"/>
        <w:gridCol w:w="109"/>
        <w:gridCol w:w="109"/>
        <w:gridCol w:w="109"/>
        <w:gridCol w:w="196"/>
        <w:gridCol w:w="556"/>
        <w:gridCol w:w="154"/>
      </w:tblGrid>
      <w:tr>
        <w:trPr/>
        <w:tc>
          <w:tcPr>
            <w:tcW w:w="241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Equity in losses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Distributions from investments in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 xml:space="preserve">Recognized (gains) losses and asset impairments, net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Lease asset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Stock-based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liabilities, deferred revenue and 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sales of Dayforce shares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Additions to property and equipment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investments in unconsolidated affiliates and other long 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investments in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other long 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investments in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short-term investment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and maturity of short-term investment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service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vested shares withheld for taxes and in treasury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repurchases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pPr>
      <w:r>
        <w:rPr>
          <w:rFonts w:ascii="Times New Roman;sans-serif" w:hAnsi="Times New Roman;sans-serif"/>
          <w:b w:val="false"/>
          <w:color w:val="000000"/>
          <w:sz w:val="20"/>
        </w:rPr>
        <w:t>S</w:t>
      </w:r>
      <w:r>
        <w:rPr>
          <w:rFonts w:ascii="Times New Roman;sans-serif" w:hAnsi="Times New Roman;sans-serif"/>
          <w:b w:val="false"/>
          <w:color w:val="000000"/>
          <w:sz w:val="16"/>
        </w:rPr>
        <w:t xml:space="preserve">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A — Basis of Financial Statements</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describes the significant accounting policies of Cannae Holdings, Inc. and its subsidiaries (collectively, "we," "us," "our,” "Cannae," "CNNE," or the "Company"), which have been followed in preparing the accompanying Condensed Consolidated Financial Statements.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June 30, 2024 include our ownership interests in Dun &amp; Bradstreet Holdings, Inc. ("Dun &amp; Bradstreet" or "D&amp;B"); Dayforce, Inc., ("Dayforce", formerly known as Ceridian HCM Holding, Inc.); Alight, Inc. ("Alight"); Paysafe Limited ("Paysafe"); Sightline Payments Holdings, LLC ("Sightline"); System1, Inc. ("System1"); Black Knight Football Club US, LP ("Black Knight Football" or "BKFC", formerly known as Black Knight Football and Entertainment, LP); Computer Services, Inc. ("CSI"); JANA Partners Capital, LLC and JANA Partners Management, LP (together, "JANA"); High Sierra Distillery, LP ("Minden Mill"); AmeriLife Group, LLC ("AmeriLife"); O'Charley's Holdings, LLC ("O'Charley's"); 99 Restaurants Holdings, LLC ("99 Restaurants"); and various other controlled subsidiary companies and minority equity ownership interests. </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See Note E - </w:t>
      </w:r>
      <w:r>
        <w:rPr>
          <w:rFonts w:ascii="Times New Roman;sans-serif" w:hAnsi="Times New Roman;sans-serif"/>
          <w:b w:val="false"/>
          <w:i/>
          <w:color w:val="000000"/>
          <w:sz w:val="20"/>
        </w:rPr>
        <w:t>Segment Information</w:t>
      </w:r>
      <w:r>
        <w:rPr>
          <w:color w:val="000000"/>
        </w:rPr>
        <w:t> </w:t>
      </w:r>
      <w:r>
        <w:rPr>
          <w:rFonts w:ascii="Times New Roman;sans-serif" w:hAnsi="Times New Roman;sans-serif"/>
          <w:b w:val="false"/>
          <w:color w:val="000000"/>
          <w:sz w:val="20"/>
        </w:rPr>
        <w:t>for further discussion of the businesses comprising our reportable segments.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accompanying Condensed Consolidated Financial Statements are prepared in accordance with generally accepted accounting principles in the United States ("GAAP") </w:t>
      </w:r>
      <w:r>
        <w:rPr>
          <w:rFonts w:ascii="Times New Roman;sans-serif" w:hAnsi="Times New Roman;sans-serif"/>
          <w:b w:val="false"/>
          <w:color w:val="000000"/>
          <w:sz w:val="20"/>
          <w:shd w:fill="FFFFFF" w:val="clear"/>
        </w:rPr>
        <w:t>and the instructions to Form 10-Q and Article 10 of Regulation S-X</w:t>
      </w:r>
      <w:r>
        <w:rPr>
          <w:color w:val="000000"/>
        </w:rPr>
        <w:t xml:space="preserve"> </w:t>
      </w:r>
      <w:r>
        <w:rPr>
          <w:rFonts w:ascii="Times New Roman;sans-serif" w:hAnsi="Times New Roman;sans-serif"/>
          <w:b w:val="false"/>
          <w:color w:val="000000"/>
          <w:sz w:val="20"/>
        </w:rPr>
        <w:t>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2023.</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recorded on the Condensed Consolidated Statements of Operations represents the portion of our majority-owned subsidiaries' net earnings or loss that is owned by noncontrolling shareholders of such subsidiaries. Noncontrolling interest recorded on the Condensed Consolidated Balance Sheets represents the portion of equity owned by noncontrolling shareholders in our consolidated subsidiaries.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Management Estimates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(See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 xml:space="preserve">and Note C -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Actual results could differ from estimates.</w:t>
      </w:r>
    </w:p>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Dayforce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six months ended June 30, 2024, we sold 3.0 million shares of common stock of Dayforce for gross proceeds of $208.0 million.</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owned 1.0 million shares of Dayforce common stock as of June 30, 2024, which represented approximately 0.6% of its outstanding stock as of June 30, 2024. </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Refer to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 xml:space="preserve">and Note C - </w:t>
      </w:r>
      <w:r>
        <w:rPr>
          <w:rFonts w:ascii="Times New Roman;sans-serif" w:hAnsi="Times New Roman;sans-serif"/>
          <w:b w:val="false"/>
          <w:i/>
          <w:color w:val="000000"/>
          <w:sz w:val="20"/>
        </w:rPr>
        <w:t>Fair Value Measurements</w:t>
      </w:r>
      <w:r>
        <w:rPr>
          <w:color w:val="000000"/>
        </w:rPr>
        <w:t xml:space="preserve"> </w:t>
      </w:r>
      <w:r>
        <w:rPr>
          <w:rFonts w:ascii="Times New Roman;sans-serif" w:hAnsi="Times New Roman;sans-serif"/>
          <w:b w:val="false"/>
          <w:color w:val="000000"/>
          <w:sz w:val="20"/>
        </w:rPr>
        <w:t xml:space="preserve">for further discussion of our accounting for our ownership interest in Dayforce and other equity securities.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June 30, 2024 through the date of this Quarterly Report, we sold 500,000 shares of common stock of Dayforce for proceeds of $26.2 million.</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Dun &amp; Bradstreet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8, 2024 and April 30, 2024, the board of directors of D&amp;B declared quarterly cash dividends of $0.05 per share of D&amp;B common stock. In the six months ended June 30, 2024, we received $7.4 million of cash dividends from D&amp;B which are recorded as a reduction to the basis of our recorded asset for D&amp;B.</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we completed the sale of 10.0 million shares of common stock of D&amp;B. In connection with the sale, we received proceeds of $100.9 million.</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owned 69.0 million shares of D&amp;B, which represented approximately 15.6% of its outstanding common stock.</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See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for further discussion of our accounting for our ownership interest in D&amp;B and other equity method investments.</w:t>
      </w:r>
    </w:p>
    <w:p>
      <w:pPr>
        <w:pStyle w:val="TextBody"/>
        <w:bidi w:val="0"/>
        <w:spacing w:lineRule="auto" w:line="276"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Paysafe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we purchased 1.6 million shares of Paysafe for $23.4 million. As of June 30, 2024, we hold a 5.5% ownership interest in Paysafe.</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21, 2024, we announced a tender offer to purchase up to $200 million of shares of our common stock at a purchase price of not less than $20.75 per share and not greater than $23.75 per share (the "Tender Offer"). We conducted the Tender Offer through a procedure commonly referred to as a "modified Dutch auction." This procedure allows shareholders to select the price within a price range specified by us at which the shareholders are willing to sell their shares. </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the Tender Offer expired and the Company accepted for purchase an aggregate of 9,672,540 shares of its common stock that were properly tendered and not properly withdrawn at or below a purchase price of $22.95 per share for an aggregate cost of $222.0 million, excluding fees and expenses. Included in the 9,672,540 shares of Cannae common stock we accepted for purchase in the Tender Offer are 957,943 shares that Cannae elected to purchase pursuant to its right to purchase up to an additional 2% of its outstanding common stock.</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21, 2024, we issued 1.85 million shares of common stock of the Company from the Company’s treasury and paid $18.3 million in cash, in the aggregate, to certain partners of JANA in exchange for a 19.99% equity interest in JANA. The transaction is valued at $55.5 million based on the closing price of the Company's common stock on February 21, 2024. Cannae also committed to invest $50 million into JANA funds (the "JANA Fund Commitment"). JANA is an investment manager founded in 2001. We account for our ownership interest in JANA as an unconsolidated affiliate using the equity method of accounting and record our ratable share of JANA's net income or loss on a three-month lag. </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26, 2024, the Company, Cannae LLC and Trasimene entered into a Third Amended and Restated Management Services Agreement (the "Third Amended MSA"). The Third Amended MSA amends the management services agreement primarily to (i) provide for a termination of the agreement by the Company effective June 30, 2027, (ii) reduce the management fee to a fixed amount of $7.6 million annually effective beginning July 2, 2024 and (iii) provide for payment of the termination fee under the agreement of $20 million to be paid by the Company to Trasimene in installments of $6.7 million annually over the three-year period ended July 1, 2026. The Third Amended MSA has a termination date of June 30, 2027 unless earlier terminated by the Company or Trasimene. </w:t>
      </w:r>
    </w:p>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dividends were declared by our Board in 2024:</w:t>
      </w:r>
    </w:p>
    <w:tbl>
      <w:tblPr>
        <w:tblW w:w="7865" w:type="dxa"/>
        <w:jc w:val="left"/>
        <w:tblInd w:w="0" w:type="dxa"/>
        <w:tblLayout w:type="fixed"/>
        <w:tblCellMar>
          <w:top w:w="28" w:type="dxa"/>
          <w:left w:w="28" w:type="dxa"/>
          <w:bottom w:w="28" w:type="dxa"/>
          <w:right w:w="28" w:type="dxa"/>
        </w:tblCellMar>
      </w:tblPr>
      <w:tblGrid>
        <w:gridCol w:w="565"/>
        <w:gridCol w:w="496"/>
        <w:gridCol w:w="499"/>
        <w:gridCol w:w="109"/>
        <w:gridCol w:w="109"/>
        <w:gridCol w:w="109"/>
        <w:gridCol w:w="574"/>
        <w:gridCol w:w="574"/>
        <w:gridCol w:w="577"/>
        <w:gridCol w:w="109"/>
        <w:gridCol w:w="109"/>
        <w:gridCol w:w="109"/>
        <w:gridCol w:w="574"/>
        <w:gridCol w:w="574"/>
        <w:gridCol w:w="577"/>
        <w:gridCol w:w="109"/>
        <w:gridCol w:w="109"/>
        <w:gridCol w:w="109"/>
        <w:gridCol w:w="548"/>
        <w:gridCol w:w="548"/>
        <w:gridCol w:w="778"/>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Dividends Per Share</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$0.12</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$0.12</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Related Party Transactions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2024, we incurred management fee expenses with our Manager of $9.1 million and $18.2 million, respectively, and during the six months ended June 30, 2024 we incurred $6.6 million of termination fees with our Manager. During the three months and six ended June 30, 2023, we incurred management fee expenses with our Manager of $9.6 million and $18.9 million, respectively. These expenses are recorded in Other operating expenses on our Condensed Consolidated Statement of Operations.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as presented on the Condensed Consolidated Statement of Operations, is computed by dividing net earnings available to common shareholders by the weighted average number of common shares outstanding during the period.</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and restricted stock units that have been treated as common share equivalents for purposes of calculating diluted earnings per share for periods in which positive earnings have been reported.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Instruments that provide the ability to purchase shares of our common stock that are antidilutive are excluded from the computation of diluted earnings per share. For the three and six months ended June 30, 2024, there were 0.1 million, respectively, antidilutive shares of restricted stock outstanding that were excluded from the calculation of diluted earnings per share. For the three and six months ended June 30, 2023, there were no antidilutive shares of restricted stock outstanding that were excluded from the calculation of diluted earnings per share.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was 19.9% and 34.5% in the three months ended June 30, 2024 and 2023, respectively, and (9.0)% and 54.4% in the six months ended June 30, 2024 and 2023, respectively. The change in the effective tax rate in the three-month period ended June 30, 2024 compared to the corresponding prior year period was primarily attributable to the varying impact of equity in losses of unconsolidated affiliates on income tax expense (benefit) and the impairment recorded to our investment in Sightline. The change in the effective tax rate in the six-month period ended June 30, 2024 compared to the corresponding prior year period was primarily attributable to recording of a valuation allowance in the current period of $58.8 million on our federal net operating loss carryforwards and certain deferred taxes related to our consolidated partnerships, the varying impact of equity in losses of unconsolidated affiliates on income tax expense (benefit), and the impairment recorded to our investment in Sightline.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Deferred tax asset of $63.2 million and $82.0 million as of June 30, 2024 and December 31, 2023, respectively. The $18.8 million change in deferred taxes in the six months ended June 30, 2024 is primarily attributable to recording of a valuation allowance of $58.8 million primarily related to our federal net operating loss carryforwards and certain deferred taxes related to our consolidated partnerships, partially offset by the tax impact of sales of Dayforce and impairment of Sightline.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2024, we issued 1.2 million restricted stock units ("RSUs") with a grant date fair value of $24.8 million as compensation to certain employees of the Company and issued 1.2 million shares of the Company's common stock to rabbi trusts that grant the holders of the RSUs pass-through voting rights. The RSUs vest in varying increments over a three-year period and, upon vesting, a number of shares of Company common stock equivalent to the number of vested RSUs will be released from the rabbi trusts to the employee. If the RSUs do not vest, the shares held in the rabbi trusts return to the Company. The Company is the primary beneficiary of the rabbi trusts prior to vesting of the RSUs and accordingly the shares of Company common stock held by the rabbi trusts are treated as treasury stock in the Company's condensed consolidated balance sheet and statement of equity for the period ended June 30, 2024. Compensation cost associated with the RSUs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measured based on their grant-date fair value derived from quoted market prices and is recorded over the service period of the awards.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reviewed the recently issued accounting pronouncements and we did not identify any that are expected to, if currently adopted, have a material impact on our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B —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Investments in Unconsolidated Affiliates</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Investments in unconsolidated affiliates recorded using the equity method of accounting as of June 30, 2024 and December 31, 2023 consisted of the following:</w:t>
      </w:r>
    </w:p>
    <w:tbl>
      <w:tblPr>
        <w:tblW w:w="7419" w:type="dxa"/>
        <w:jc w:val="left"/>
        <w:tblInd w:w="0" w:type="dxa"/>
        <w:tblLayout w:type="fixed"/>
        <w:tblCellMar>
          <w:top w:w="28" w:type="dxa"/>
          <w:left w:w="28" w:type="dxa"/>
          <w:bottom w:w="28" w:type="dxa"/>
          <w:right w:w="28" w:type="dxa"/>
        </w:tblCellMar>
      </w:tblPr>
      <w:tblGrid>
        <w:gridCol w:w="706"/>
        <w:gridCol w:w="621"/>
        <w:gridCol w:w="623"/>
        <w:gridCol w:w="477"/>
        <w:gridCol w:w="477"/>
        <w:gridCol w:w="1191"/>
        <w:gridCol w:w="109"/>
        <w:gridCol w:w="109"/>
        <w:gridCol w:w="109"/>
        <w:gridCol w:w="218"/>
        <w:gridCol w:w="794"/>
        <w:gridCol w:w="113"/>
        <w:gridCol w:w="109"/>
        <w:gridCol w:w="109"/>
        <w:gridCol w:w="109"/>
        <w:gridCol w:w="288"/>
        <w:gridCol w:w="1047"/>
        <w:gridCol w:w="210"/>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Ownership at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1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Sightline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1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Knight Football</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CSI</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1,718.8 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aggregate fair value of our direct ownership in the common stock of unconsolidated affiliates that have quoted market prices as of June 30, 2024 consisted of the following:</w:t>
      </w:r>
    </w:p>
    <w:tbl>
      <w:tblPr>
        <w:tblW w:w="2699" w:type="dxa"/>
        <w:jc w:val="left"/>
        <w:tblInd w:w="0" w:type="dxa"/>
        <w:tblLayout w:type="fixed"/>
        <w:tblCellMar>
          <w:top w:w="28" w:type="dxa"/>
          <w:left w:w="28" w:type="dxa"/>
          <w:bottom w:w="28" w:type="dxa"/>
          <w:right w:w="28" w:type="dxa"/>
        </w:tblCellMar>
      </w:tblPr>
      <w:tblGrid>
        <w:gridCol w:w="554"/>
        <w:gridCol w:w="487"/>
        <w:gridCol w:w="489"/>
        <w:gridCol w:w="251"/>
        <w:gridCol w:w="735"/>
        <w:gridCol w:w="183"/>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System1</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Equity in (losses) earnings of unconsolidated affiliates for the </w:t>
      </w:r>
      <w:r>
        <w:rPr>
          <w:rFonts w:ascii="Times New Roman;sans-serif" w:hAnsi="Times New Roman;sans-serif"/>
          <w:b w:val="false"/>
          <w:color w:val="000000"/>
          <w:sz w:val="20"/>
        </w:rPr>
        <w:t>three and six</w:t>
      </w:r>
      <w:r>
        <w:rPr>
          <w:color w:val="000000"/>
          <w:shd w:fill="FFFFFF" w:val="clear"/>
        </w:rPr>
        <w:t xml:space="preserve"> </w:t>
      </w:r>
      <w:r>
        <w:rPr>
          <w:rFonts w:ascii="Times New Roman;sans-serif" w:hAnsi="Times New Roman;sans-serif"/>
          <w:b w:val="false"/>
          <w:color w:val="000000"/>
          <w:sz w:val="20"/>
          <w:shd w:fill="FFFFFF" w:val="clear"/>
        </w:rPr>
        <w:t>months ended June 30, 2024 and 2023 consisted of the following:</w:t>
      </w:r>
    </w:p>
    <w:tbl>
      <w:tblPr>
        <w:tblW w:w="6721" w:type="dxa"/>
        <w:jc w:val="left"/>
        <w:tblInd w:w="0" w:type="dxa"/>
        <w:tblLayout w:type="fixed"/>
        <w:tblCellMar>
          <w:top w:w="28" w:type="dxa"/>
          <w:left w:w="28" w:type="dxa"/>
          <w:bottom w:w="28" w:type="dxa"/>
          <w:right w:w="28" w:type="dxa"/>
        </w:tblCellMar>
      </w:tblPr>
      <w:tblGrid>
        <w:gridCol w:w="706"/>
        <w:gridCol w:w="620"/>
        <w:gridCol w:w="623"/>
        <w:gridCol w:w="223"/>
        <w:gridCol w:w="620"/>
        <w:gridCol w:w="115"/>
        <w:gridCol w:w="115"/>
        <w:gridCol w:w="115"/>
        <w:gridCol w:w="115"/>
        <w:gridCol w:w="223"/>
        <w:gridCol w:w="620"/>
        <w:gridCol w:w="115"/>
        <w:gridCol w:w="109"/>
        <w:gridCol w:w="109"/>
        <w:gridCol w:w="109"/>
        <w:gridCol w:w="211"/>
        <w:gridCol w:w="586"/>
        <w:gridCol w:w="109"/>
        <w:gridCol w:w="109"/>
        <w:gridCol w:w="109"/>
        <w:gridCol w:w="109"/>
        <w:gridCol w:w="211"/>
        <w:gridCol w:w="58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Dun &amp; Bradstreet </w:t>
            </w:r>
            <w:r>
              <w:rPr>
                <w:rFonts w:ascii="Times New Roman;sans-serif" w:hAnsi="Times New Roman;sans-serif"/>
                <w:b w:val="false"/>
                <w:color w:val="000000"/>
                <w:sz w:val="13"/>
              </w:rPr>
              <w:t>(1)</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Sightline </w:t>
            </w:r>
            <w:r>
              <w:rPr>
                <w:rFonts w:ascii="Times New Roman;sans-serif" w:hAnsi="Times New Roman;sans-serif"/>
                <w:b w:val="false"/>
                <w:color w:val="000000"/>
                <w:sz w:val="13"/>
              </w:rPr>
              <w:t>(2)</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Knight Football</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CSI</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_____________________________________</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Equity in losses for D&amp;B includes $2.1 million of loss for the three months ended June 30, 2024 and 2023, respectively, and $4.3 million of loss in the six months ended June 30, 2024 and 2023, respectively, related to amortization of Cannae's basis difference between the book value of its ownership interest and ratable portion of the underlying equity in net assets of D&amp;B.</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Equity in losses for Sightline includes $1.5 million and $1.9 million of loss in the three months ended June 30, 2024 and 2023, respectively, and $2.9 million and $3.9 million of loss in the six months ended June 30, 2024 and 2023, respectively, related to amortization of Cannae's basis difference between the book value of its investment and ratable portion of the underlying equity in net assets of Sightline.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Dun &amp; Bradstreet</w:t>
      </w:r>
    </w:p>
    <w:p>
      <w:pPr>
        <w:pStyle w:val="TextBody"/>
        <w:bidi w:val="0"/>
        <w:spacing w:lineRule="auto" w:line="26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Summarized statement of operations information for D&amp;B for the relevant dates and time periods included in Equity in losses of unconsolidated affiliates in our Statements of Operations is presented below. </w:t>
      </w:r>
    </w:p>
    <w:p>
      <w:pPr>
        <w:pStyle w:val="TextBody"/>
        <w:bidi w:val="0"/>
        <w:spacing w:before="0" w:after="0"/>
        <w:jc w:val="both"/>
        <w:rPr/>
      </w:pPr>
      <w:r>
        <w:rPr/>
      </w:r>
    </w:p>
    <w:tbl>
      <w:tblPr>
        <w:tblW w:w="9350" w:type="dxa"/>
        <w:jc w:val="center"/>
        <w:tblInd w:w="0" w:type="dxa"/>
        <w:tblLayout w:type="fixed"/>
        <w:tblCellMar>
          <w:top w:w="28" w:type="dxa"/>
          <w:left w:w="28" w:type="dxa"/>
          <w:bottom w:w="28" w:type="dxa"/>
          <w:right w:w="28" w:type="dxa"/>
        </w:tblCellMar>
      </w:tblPr>
      <w:tblGrid>
        <w:gridCol w:w="1541"/>
        <w:gridCol w:w="1355"/>
        <w:gridCol w:w="1363"/>
        <w:gridCol w:w="213"/>
        <w:gridCol w:w="622"/>
        <w:gridCol w:w="110"/>
        <w:gridCol w:w="110"/>
        <w:gridCol w:w="110"/>
        <w:gridCol w:w="110"/>
        <w:gridCol w:w="213"/>
        <w:gridCol w:w="622"/>
        <w:gridCol w:w="110"/>
        <w:gridCol w:w="109"/>
        <w:gridCol w:w="109"/>
        <w:gridCol w:w="109"/>
        <w:gridCol w:w="211"/>
        <w:gridCol w:w="766"/>
        <w:gridCol w:w="109"/>
        <w:gridCol w:w="109"/>
        <w:gridCol w:w="109"/>
        <w:gridCol w:w="109"/>
        <w:gridCol w:w="211"/>
        <w:gridCol w:w="766"/>
        <w:gridCol w:w="154"/>
      </w:tblGrid>
      <w:tr>
        <w:trPr/>
        <w:tc>
          <w:tcPr>
            <w:tcW w:w="154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noncontrolling interest</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Dun &amp; Bradstreet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Alight</w:t>
      </w:r>
    </w:p>
    <w:p>
      <w:pPr>
        <w:pStyle w:val="TextBody"/>
        <w:bidi w:val="0"/>
        <w:spacing w:lineRule="auto" w:line="26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Summarized statement of operations information for Alight for the relevant dates and time periods included in Equity in losses of unconsolidated affiliates in our Statements of Operations is presented below. </w:t>
      </w:r>
    </w:p>
    <w:p>
      <w:pPr>
        <w:pStyle w:val="TextBody"/>
        <w:bidi w:val="0"/>
        <w:spacing w:before="120" w:after="120"/>
        <w:ind w:left="0" w:right="0" w:firstLine="360"/>
        <w:jc w:val="both"/>
        <w:rPr/>
      </w:pPr>
      <w:r>
        <w:rPr/>
      </w:r>
    </w:p>
    <w:tbl>
      <w:tblPr>
        <w:tblW w:w="9051" w:type="dxa"/>
        <w:jc w:val="left"/>
        <w:tblInd w:w="0" w:type="dxa"/>
        <w:tblLayout w:type="fixed"/>
        <w:tblCellMar>
          <w:top w:w="28" w:type="dxa"/>
          <w:left w:w="28" w:type="dxa"/>
          <w:bottom w:w="28" w:type="dxa"/>
          <w:right w:w="28" w:type="dxa"/>
        </w:tblCellMar>
      </w:tblPr>
      <w:tblGrid>
        <w:gridCol w:w="1432"/>
        <w:gridCol w:w="1261"/>
        <w:gridCol w:w="1267"/>
        <w:gridCol w:w="213"/>
        <w:gridCol w:w="622"/>
        <w:gridCol w:w="110"/>
        <w:gridCol w:w="110"/>
        <w:gridCol w:w="110"/>
        <w:gridCol w:w="110"/>
        <w:gridCol w:w="213"/>
        <w:gridCol w:w="622"/>
        <w:gridCol w:w="110"/>
        <w:gridCol w:w="109"/>
        <w:gridCol w:w="109"/>
        <w:gridCol w:w="109"/>
        <w:gridCol w:w="211"/>
        <w:gridCol w:w="766"/>
        <w:gridCol w:w="109"/>
        <w:gridCol w:w="109"/>
        <w:gridCol w:w="109"/>
        <w:gridCol w:w="109"/>
        <w:gridCol w:w="211"/>
        <w:gridCol w:w="766"/>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from discontinued operations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Alight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Sightline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book value of our investment in Sightline accounted for under the equity method of accounting prior to any impairment was $154.7 million. Based on a valuation using a hybrid discounted cash flow and market comparison approach and adjusted for the risk of a capital shortfall at the business, the aggregate fair market value of our ownership of Sightline equity was approximately $13.7 million as of June 30, 2024. The fair value measurement is considered a level 3 fair value measure. The primary inputs in the valuation were the forecasted results of operations of Sightline, the discount rate used in the discounted cash flow analysis and the adjustment for risk of capital shortfall. The primary significant unobservable input used was the 35% discount rate used in the discounted cash flow analysis and the 50% adjustment for the risk of capital shortfall.</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quantum of the decrease in the fair market value of our ownership interest subsequent to our acquisition, declines in the forecasted results of operations and liquidity of Sightline, and the uncertainty of the ability of Sightline to raise new capital, management determined the decrease in value of our investment in Sightline was other-than-temporary as of June 30, 2024. Accordingly, we recorded an impairment of $141.0 million which is included in Recognized (losses) gains, net, on our Consolidated Statement of Operations for the year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Equity Securities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Recognized (losses) gains, net on the Condensed Consolidated Statements of Operations consisted of the following (losses) gains on equity securities for the </w:t>
      </w:r>
      <w:r>
        <w:rPr>
          <w:rFonts w:ascii="Times New Roman;sans-serif" w:hAnsi="Times New Roman;sans-serif"/>
          <w:b w:val="false"/>
          <w:color w:val="000000"/>
          <w:sz w:val="20"/>
        </w:rPr>
        <w:t>three and six</w:t>
      </w:r>
      <w:r>
        <w:rPr>
          <w:color w:val="000000"/>
          <w:shd w:fill="FFFFFF" w:val="clear"/>
        </w:rPr>
        <w:t xml:space="preserve"> </w:t>
      </w:r>
      <w:r>
        <w:rPr>
          <w:rFonts w:ascii="Times New Roman;sans-serif" w:hAnsi="Times New Roman;sans-serif"/>
          <w:b w:val="false"/>
          <w:color w:val="000000"/>
          <w:sz w:val="20"/>
          <w:shd w:fill="FFFFFF" w:val="clear"/>
        </w:rPr>
        <w:t>months ended June 30, 2024 and 2023:</w:t>
      </w:r>
    </w:p>
    <w:tbl>
      <w:tblPr>
        <w:tblW w:w="10205" w:type="dxa"/>
        <w:jc w:val="center"/>
        <w:tblInd w:w="0" w:type="dxa"/>
        <w:tblLayout w:type="fixed"/>
        <w:tblCellMar>
          <w:top w:w="28" w:type="dxa"/>
          <w:left w:w="28" w:type="dxa"/>
          <w:bottom w:w="28" w:type="dxa"/>
          <w:right w:w="28" w:type="dxa"/>
        </w:tblCellMar>
      </w:tblPr>
      <w:tblGrid>
        <w:gridCol w:w="2067"/>
        <w:gridCol w:w="1814"/>
        <w:gridCol w:w="1821"/>
        <w:gridCol w:w="217"/>
        <w:gridCol w:w="576"/>
        <w:gridCol w:w="112"/>
        <w:gridCol w:w="112"/>
        <w:gridCol w:w="112"/>
        <w:gridCol w:w="112"/>
        <w:gridCol w:w="217"/>
        <w:gridCol w:w="576"/>
        <w:gridCol w:w="112"/>
        <w:gridCol w:w="109"/>
        <w:gridCol w:w="109"/>
        <w:gridCol w:w="109"/>
        <w:gridCol w:w="221"/>
        <w:gridCol w:w="426"/>
        <w:gridCol w:w="114"/>
        <w:gridCol w:w="114"/>
        <w:gridCol w:w="114"/>
        <w:gridCol w:w="114"/>
        <w:gridCol w:w="221"/>
        <w:gridCol w:w="537"/>
        <w:gridCol w:w="169"/>
      </w:tblGrid>
      <w:tr>
        <w:trPr/>
        <w:tc>
          <w:tcPr>
            <w:tcW w:w="2067"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7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(losses) gains recognized during the period on equity securities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(losses) gains recognized during the period on equity securities sold, transferred or disposed during the period</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gains recognized during the reporting period on equity securities held at the reporting date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Equity Security Investments Without Readily Determinable Fair Values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We account for our investments in AmeriLife and certain other ownership interests at cost less impairment, </w:t>
      </w:r>
      <w:r>
        <w:rPr>
          <w:rFonts w:ascii="Times New Roman;sans-serif" w:hAnsi="Times New Roman;sans-serif"/>
          <w:b w:val="false"/>
          <w:color w:val="000000"/>
          <w:sz w:val="20"/>
        </w:rPr>
        <w:t>if any, plus or minus changes resulting from observable price changes in orderly market transactions</w:t>
      </w:r>
      <w:r>
        <w:rPr>
          <w:rFonts w:ascii="Times New Roman;sans-serif" w:hAnsi="Times New Roman;sans-serif"/>
          <w:b w:val="false"/>
          <w:color w:val="000000"/>
          <w:sz w:val="20"/>
          <w:shd w:fill="FFFFFF" w:val="clear"/>
        </w:rPr>
        <w:t xml:space="preserve">. As of June 30, 2024 and December 31, 2023, we have $124.5 million and </w:t>
      </w:r>
      <w:r>
        <w:rPr>
          <w:rFonts w:ascii="Times New Roman;sans-serif" w:hAnsi="Times New Roman;sans-serif"/>
          <w:b w:val="false"/>
          <w:color w:val="000000"/>
          <w:sz w:val="20"/>
        </w:rPr>
        <w:t>$121.9 million</w:t>
      </w:r>
      <w:r>
        <w:rPr>
          <w:rFonts w:ascii="Times New Roman;sans-serif" w:hAnsi="Times New Roman;sans-serif"/>
          <w:b w:val="false"/>
          <w:color w:val="000000"/>
          <w:sz w:val="20"/>
          <w:shd w:fill="FFFFFF" w:val="clear"/>
        </w:rPr>
        <w:t xml:space="preserve">, respectively, recorded for such investments, which is included in Other long term investments and noncurrent assets on our Condensed Consolidated Balance Sheets. </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three months ended June 30, 2024, we recorded a gain of $2.6 million to an investment without a readily determinable fair value. The amount of the gain was determined based on an observable third-party purchase of equity in the investee. During the three months ended June 30, 2023, we recorded an impairment of $9.0 million to an investment without a readily determinable fair value. The amount of the impairment was determined based on the valuation of the investee implied by a contemplated sale of its assets to a third-party as of June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C — Fair Value Measurements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pStyle w:val="TextBody"/>
        <w:bidi w:val="0"/>
        <w:spacing w:lineRule="auto" w:line="288" w:before="0" w:after="100"/>
        <w:ind w:left="0" w:right="0" w:firstLine="720"/>
        <w:jc w:val="both"/>
        <w:rPr/>
      </w:pPr>
      <w:r>
        <w:rPr>
          <w:rFonts w:ascii="Times New Roman;sans-serif" w:hAnsi="Times New Roman;sans-serif"/>
          <w:b w:val="false"/>
          <w:i/>
          <w:color w:val="000000"/>
          <w:sz w:val="20"/>
          <w:shd w:fill="FFFFFF" w:val="clear"/>
        </w:rPr>
        <w:t xml:space="preserve">Level 1. </w:t>
      </w:r>
      <w:r>
        <w:rPr>
          <w:rFonts w:ascii="Times New Roman;sans-serif" w:hAnsi="Times New Roman;sans-serif"/>
          <w:b w:val="false"/>
          <w:color w:val="000000"/>
          <w:sz w:val="20"/>
          <w:shd w:fill="FFFFFF" w:val="clear"/>
        </w:rPr>
        <w:t>Financial assets and liabilities whose values are based on unadjusted quoted prices for identical assets or liabilities in an active market that we have the ability to access.</w:t>
      </w:r>
    </w:p>
    <w:p>
      <w:pPr>
        <w:pStyle w:val="TextBody"/>
        <w:bidi w:val="0"/>
        <w:spacing w:lineRule="auto" w:line="288" w:before="0" w:after="100"/>
        <w:ind w:left="0" w:right="0" w:firstLine="720"/>
        <w:jc w:val="both"/>
        <w:rPr/>
      </w:pPr>
      <w:r>
        <w:rPr>
          <w:rFonts w:ascii="Times New Roman;sans-serif" w:hAnsi="Times New Roman;sans-serif"/>
          <w:b w:val="false"/>
          <w:i/>
          <w:color w:val="000000"/>
          <w:sz w:val="20"/>
          <w:shd w:fill="FFFFFF" w:val="clear"/>
        </w:rPr>
        <w:t xml:space="preserve">Level 2. </w:t>
      </w:r>
      <w:r>
        <w:rPr>
          <w:rFonts w:ascii="Times New Roman;sans-serif" w:hAnsi="Times New Roman;sans-serif"/>
          <w:b w:val="false"/>
          <w:color w:val="000000"/>
          <w:sz w:val="20"/>
          <w:shd w:fill="FFFFFF" w:val="clear"/>
        </w:rPr>
        <w:t>Financial assets and liabilities whose values are based on quoted prices in markets that are not active or model inputs that are observable either directly or indirectly for substantially the full term of the asset or liability.</w:t>
      </w:r>
    </w:p>
    <w:p>
      <w:pPr>
        <w:pStyle w:val="TextBody"/>
        <w:bidi w:val="0"/>
        <w:spacing w:lineRule="auto" w:line="288" w:before="0" w:after="100"/>
        <w:ind w:left="0" w:right="0" w:firstLine="720"/>
        <w:jc w:val="both"/>
        <w:rPr/>
      </w:pPr>
      <w:r>
        <w:rPr>
          <w:rFonts w:ascii="Times New Roman;sans-serif" w:hAnsi="Times New Roman;sans-serif"/>
          <w:b w:val="false"/>
          <w:i/>
          <w:color w:val="000000"/>
          <w:sz w:val="20"/>
          <w:shd w:fill="FFFFFF" w:val="clear"/>
        </w:rPr>
        <w:t xml:space="preserve">Level 3. </w:t>
      </w:r>
      <w:r>
        <w:rPr>
          <w:rFonts w:ascii="Times New Roman;sans-serif" w:hAnsi="Times New Roman;sans-serif"/>
          <w:b w:val="false"/>
          <w:color w:val="000000"/>
          <w:sz w:val="20"/>
          <w:shd w:fill="FFFFFF" w:val="clear"/>
        </w:rPr>
        <w:t>Financial assets and liabilities whose values are based on model inputs that are unobservable.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our fair value hierarchy for those assets and liabilities measured at fair value on a recurring basis as of June 30, 2024 and December 31, 2023, respectively:</w:t>
      </w:r>
    </w:p>
    <w:tbl>
      <w:tblPr>
        <w:tblW w:w="6723" w:type="dxa"/>
        <w:jc w:val="left"/>
        <w:tblInd w:w="0" w:type="dxa"/>
        <w:tblLayout w:type="fixed"/>
        <w:tblCellMar>
          <w:top w:w="28" w:type="dxa"/>
          <w:left w:w="28" w:type="dxa"/>
          <w:bottom w:w="28" w:type="dxa"/>
          <w:right w:w="28" w:type="dxa"/>
        </w:tblCellMar>
      </w:tblPr>
      <w:tblGrid>
        <w:gridCol w:w="818"/>
        <w:gridCol w:w="720"/>
        <w:gridCol w:w="726"/>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Dayforce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614" w:type="dxa"/>
        <w:jc w:val="left"/>
        <w:tblInd w:w="0" w:type="dxa"/>
        <w:tblLayout w:type="fixed"/>
        <w:tblCellMar>
          <w:top w:w="28" w:type="dxa"/>
          <w:left w:w="28" w:type="dxa"/>
          <w:bottom w:w="28" w:type="dxa"/>
          <w:right w:w="28" w:type="dxa"/>
        </w:tblCellMar>
      </w:tblPr>
      <w:tblGrid>
        <w:gridCol w:w="818"/>
        <w:gridCol w:w="720"/>
        <w:gridCol w:w="726"/>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Dayforce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no material assets or liabilities valued on a recurring basis using Level 3 inputs as of June 30, 2024 and December 31, 2023.</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Additional information regarding the fair value of our investment portfolio is included in Note B - </w:t>
      </w:r>
      <w:r>
        <w:rPr>
          <w:rFonts w:ascii="Times New Roman;sans-serif" w:hAnsi="Times New Roman;sans-serif"/>
          <w:b w:val="false"/>
          <w:i/>
          <w:color w:val="000000"/>
          <w:sz w:val="20"/>
        </w:rPr>
        <w:t>Investments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D — Variable Interest Entities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holds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June 30, 2024 and December 31, 2023, we are not the primary beneficiary of any VIEs.</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Unconsolidated VIEs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select information related to variable interests held by the Company as of June 30, 2024 and December 31, 2023, of which we are not the primary beneficiary:</w:t>
      </w:r>
    </w:p>
    <w:tbl>
      <w:tblPr>
        <w:tblW w:w="9581" w:type="dxa"/>
        <w:jc w:val="left"/>
        <w:tblInd w:w="0" w:type="dxa"/>
        <w:tblLayout w:type="fixed"/>
        <w:tblCellMar>
          <w:top w:w="28" w:type="dxa"/>
          <w:left w:w="28" w:type="dxa"/>
          <w:bottom w:w="28" w:type="dxa"/>
          <w:right w:w="28" w:type="dxa"/>
        </w:tblCellMar>
      </w:tblPr>
      <w:tblGrid>
        <w:gridCol w:w="1216"/>
        <w:gridCol w:w="1070"/>
        <w:gridCol w:w="1073"/>
        <w:gridCol w:w="109"/>
        <w:gridCol w:w="109"/>
        <w:gridCol w:w="109"/>
        <w:gridCol w:w="227"/>
        <w:gridCol w:w="663"/>
        <w:gridCol w:w="117"/>
        <w:gridCol w:w="117"/>
        <w:gridCol w:w="351"/>
        <w:gridCol w:w="1027"/>
        <w:gridCol w:w="181"/>
        <w:gridCol w:w="129"/>
        <w:gridCol w:w="129"/>
        <w:gridCol w:w="129"/>
        <w:gridCol w:w="250"/>
        <w:gridCol w:w="732"/>
        <w:gridCol w:w="129"/>
        <w:gridCol w:w="109"/>
        <w:gridCol w:w="345"/>
        <w:gridCol w:w="1008"/>
        <w:gridCol w:w="252"/>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714" w:type="dxa"/>
            <w:gridSpan w:val="4"/>
            <w:tcBorders/>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Assets</w:t>
            </w:r>
          </w:p>
        </w:tc>
        <w:tc>
          <w:tcPr>
            <w:tcW w:w="117"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508"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714" w:type="dxa"/>
            <w:gridSpan w:val="4"/>
            <w:tcBorders/>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Investments in Unconsolidated Affiliates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we held variable interests in certain unconsolidated affiliates, which are primarily comprised of our ownership interests in BKFC, CSI and Minden Mill. Cannae does not have the power to direct the activities that most significantly impact the economic performance of these unconsolidated affiliates; therefore, we are not the primary beneficiary.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risk to which these investments and funds are exposed is the credit risk of the underlying investees. Cannae has guaranteed certain payment obligations of BKFC related to investment commitments associated with its acquisitions of interests in football clubs. These BKFC obligations total an estimated amount between $41.6 million and $75.7 million as of June 30, 2024. These obligations are potentially payable at various increments over the next four years and vary based on certain performance criteria. The underlying obligation of BKFC to fund these amounts is contingent on the exercise of certain investment options by BKFC or other parties. Cannae is required to fund such payments solely to the extent BKFC is unable to meet these obligations. We do not provide any other implicit or explicit liquidity guarantees or principal value guarantees to these VIEs. </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assets are included in Investments in unconsolidated affiliates on the Condensed Consolidated Balance Sheets and accounted for under the equity method of accounting. See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 xml:space="preserve">for further discussion of our accounting for investments in unconsolidated affiliates.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E — Segment Information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20, 2024, Alight entered into a definitive agreement to sell its professional services segment and its payroll and human capital management outsourcing businesses (the "Payroll &amp; Professional Services Business"). The transaction closed on July 12, 2024. Beginning with the quarter ended March 31, 2024, Alight began accounting for the assets and liabilities of the disposed businesses as held for sale and its operating results as discontinued operations. Accordingly, Alight's results presented for the periods ended June 30, 2023 have been retrospectively revised to reflect the Payroll &amp; Professional Services Business as held for sale and discontinued operations.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concerning our reportable segments is shown in the following tables.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and for the three months ended June 30, 2024:</w:t>
      </w:r>
    </w:p>
    <w:tbl>
      <w:tblPr>
        <w:tblW w:w="10729" w:type="dxa"/>
        <w:jc w:val="center"/>
        <w:tblInd w:w="0" w:type="dxa"/>
        <w:tblLayout w:type="fixed"/>
        <w:tblCellMar>
          <w:top w:w="28" w:type="dxa"/>
          <w:left w:w="28" w:type="dxa"/>
          <w:bottom w:w="28" w:type="dxa"/>
          <w:right w:w="28" w:type="dxa"/>
        </w:tblCellMar>
      </w:tblPr>
      <w:tblGrid>
        <w:gridCol w:w="634"/>
        <w:gridCol w:w="268"/>
        <w:gridCol w:w="269"/>
        <w:gridCol w:w="196"/>
        <w:gridCol w:w="556"/>
        <w:gridCol w:w="109"/>
        <w:gridCol w:w="109"/>
        <w:gridCol w:w="109"/>
        <w:gridCol w:w="109"/>
        <w:gridCol w:w="109"/>
        <w:gridCol w:w="109"/>
        <w:gridCol w:w="196"/>
        <w:gridCol w:w="691"/>
        <w:gridCol w:w="109"/>
        <w:gridCol w:w="109"/>
        <w:gridCol w:w="109"/>
        <w:gridCol w:w="109"/>
        <w:gridCol w:w="109"/>
        <w:gridCol w:w="109"/>
        <w:gridCol w:w="196"/>
        <w:gridCol w:w="781"/>
        <w:gridCol w:w="109"/>
        <w:gridCol w:w="109"/>
        <w:gridCol w:w="109"/>
        <w:gridCol w:w="109"/>
        <w:gridCol w:w="109"/>
        <w:gridCol w:w="109"/>
        <w:gridCol w:w="196"/>
        <w:gridCol w:w="556"/>
        <w:gridCol w:w="109"/>
        <w:gridCol w:w="109"/>
        <w:gridCol w:w="109"/>
        <w:gridCol w:w="109"/>
        <w:gridCol w:w="196"/>
        <w:gridCol w:w="691"/>
        <w:gridCol w:w="109"/>
        <w:gridCol w:w="109"/>
        <w:gridCol w:w="109"/>
        <w:gridCol w:w="109"/>
        <w:gridCol w:w="196"/>
        <w:gridCol w:w="796"/>
        <w:gridCol w:w="109"/>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Dun &amp; Bradstreet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BKFC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Affiliate 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43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4119" w:type="dxa"/>
            <w:gridSpan w:val="18"/>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Restaurant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from external customers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investment and other income (expense), including recognized gains (losses),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other income (expense) and realized gains (losses), net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(loss) before income taxes and equity in earnings (losses) of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(loss) before equity in earnings (losses) of unconsolidated affiliates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earnings (losses)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earnings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(19,926.6)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As of and for the three months ended June 30, 2023:</w:t>
      </w:r>
    </w:p>
    <w:tbl>
      <w:tblPr>
        <w:tblW w:w="10838" w:type="dxa"/>
        <w:jc w:val="left"/>
        <w:tblInd w:w="0" w:type="dxa"/>
        <w:tblLayout w:type="fixed"/>
        <w:tblCellMar>
          <w:top w:w="28" w:type="dxa"/>
          <w:left w:w="28" w:type="dxa"/>
          <w:bottom w:w="28" w:type="dxa"/>
          <w:right w:w="28" w:type="dxa"/>
        </w:tblCellMar>
      </w:tblPr>
      <w:tblGrid>
        <w:gridCol w:w="634"/>
        <w:gridCol w:w="268"/>
        <w:gridCol w:w="269"/>
        <w:gridCol w:w="196"/>
        <w:gridCol w:w="556"/>
        <w:gridCol w:w="109"/>
        <w:gridCol w:w="109"/>
        <w:gridCol w:w="109"/>
        <w:gridCol w:w="109"/>
        <w:gridCol w:w="109"/>
        <w:gridCol w:w="109"/>
        <w:gridCol w:w="196"/>
        <w:gridCol w:w="691"/>
        <w:gridCol w:w="109"/>
        <w:gridCol w:w="109"/>
        <w:gridCol w:w="109"/>
        <w:gridCol w:w="109"/>
        <w:gridCol w:w="109"/>
        <w:gridCol w:w="109"/>
        <w:gridCol w:w="196"/>
        <w:gridCol w:w="781"/>
        <w:gridCol w:w="109"/>
        <w:gridCol w:w="109"/>
        <w:gridCol w:w="109"/>
        <w:gridCol w:w="109"/>
        <w:gridCol w:w="109"/>
        <w:gridCol w:w="109"/>
        <w:gridCol w:w="196"/>
        <w:gridCol w:w="556"/>
        <w:gridCol w:w="109"/>
        <w:gridCol w:w="109"/>
        <w:gridCol w:w="109"/>
        <w:gridCol w:w="109"/>
        <w:gridCol w:w="196"/>
        <w:gridCol w:w="691"/>
        <w:gridCol w:w="109"/>
        <w:gridCol w:w="109"/>
        <w:gridCol w:w="109"/>
        <w:gridCol w:w="109"/>
        <w:gridCol w:w="196"/>
        <w:gridCol w:w="796"/>
        <w:gridCol w:w="109"/>
        <w:gridCol w:w="109"/>
        <w:gridCol w:w="109"/>
        <w:gridCol w:w="109"/>
        <w:gridCol w:w="196"/>
        <w:gridCol w:w="691"/>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Dun &amp; Bradstreet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BKFC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4"/>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Affiliate 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43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1" w:type="dxa"/>
            <w:gridSpan w:val="1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Restaurant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from external customers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investment and other income (expense), including recognized gains (losses),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other income (expense) and recognized gains (losses), net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income taxes and equity in earnings (losses) of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equity in earnings (losses) of unconsolidated affiliates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earnings (losses)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(20,434.1)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and for the six months ended June 30, 2024:</w:t>
      </w:r>
    </w:p>
    <w:tbl>
      <w:tblPr>
        <w:tblW w:w="10620" w:type="dxa"/>
        <w:jc w:val="center"/>
        <w:tblInd w:w="0" w:type="dxa"/>
        <w:tblLayout w:type="fixed"/>
        <w:tblCellMar>
          <w:top w:w="28" w:type="dxa"/>
          <w:left w:w="28" w:type="dxa"/>
          <w:bottom w:w="28" w:type="dxa"/>
          <w:right w:w="28" w:type="dxa"/>
        </w:tblCellMar>
      </w:tblPr>
      <w:tblGrid>
        <w:gridCol w:w="634"/>
        <w:gridCol w:w="268"/>
        <w:gridCol w:w="269"/>
        <w:gridCol w:w="196"/>
        <w:gridCol w:w="556"/>
        <w:gridCol w:w="109"/>
        <w:gridCol w:w="109"/>
        <w:gridCol w:w="109"/>
        <w:gridCol w:w="109"/>
        <w:gridCol w:w="109"/>
        <w:gridCol w:w="109"/>
        <w:gridCol w:w="196"/>
        <w:gridCol w:w="691"/>
        <w:gridCol w:w="109"/>
        <w:gridCol w:w="109"/>
        <w:gridCol w:w="109"/>
        <w:gridCol w:w="109"/>
        <w:gridCol w:w="109"/>
        <w:gridCol w:w="109"/>
        <w:gridCol w:w="196"/>
        <w:gridCol w:w="781"/>
        <w:gridCol w:w="109"/>
        <w:gridCol w:w="109"/>
        <w:gridCol w:w="109"/>
        <w:gridCol w:w="109"/>
        <w:gridCol w:w="196"/>
        <w:gridCol w:w="556"/>
        <w:gridCol w:w="109"/>
        <w:gridCol w:w="109"/>
        <w:gridCol w:w="109"/>
        <w:gridCol w:w="109"/>
        <w:gridCol w:w="196"/>
        <w:gridCol w:w="691"/>
        <w:gridCol w:w="109"/>
        <w:gridCol w:w="109"/>
        <w:gridCol w:w="109"/>
        <w:gridCol w:w="109"/>
        <w:gridCol w:w="196"/>
        <w:gridCol w:w="796"/>
        <w:gridCol w:w="109"/>
        <w:gridCol w:w="109"/>
        <w:gridCol w:w="109"/>
        <w:gridCol w:w="109"/>
        <w:gridCol w:w="196"/>
        <w:gridCol w:w="691"/>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Dun &amp; Bradstreet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BKFC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Affiliate 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544" w:type="dxa"/>
            <w:gridSpan w:val="3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10"/>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Restaurant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from external customers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investment and other income, including recognized gains (losses),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other income (expense) and recognized gains (losses), net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income taxes and equity in earnings (losses) of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equity in earnings (losses) of unconsolidated affiliates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earnings (losses)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(19,926.6)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As of and for the six months ended June 30, 2023:</w:t>
      </w:r>
    </w:p>
    <w:tbl>
      <w:tblPr>
        <w:tblW w:w="10315" w:type="dxa"/>
        <w:jc w:val="center"/>
        <w:tblInd w:w="0" w:type="dxa"/>
        <w:tblLayout w:type="fixed"/>
        <w:tblCellMar>
          <w:top w:w="28" w:type="dxa"/>
          <w:left w:w="28" w:type="dxa"/>
          <w:bottom w:w="28" w:type="dxa"/>
          <w:right w:w="28" w:type="dxa"/>
        </w:tblCellMar>
      </w:tblPr>
      <w:tblGrid>
        <w:gridCol w:w="634"/>
        <w:gridCol w:w="268"/>
        <w:gridCol w:w="269"/>
        <w:gridCol w:w="196"/>
        <w:gridCol w:w="556"/>
        <w:gridCol w:w="109"/>
        <w:gridCol w:w="109"/>
        <w:gridCol w:w="109"/>
        <w:gridCol w:w="109"/>
        <w:gridCol w:w="109"/>
        <w:gridCol w:w="109"/>
        <w:gridCol w:w="196"/>
        <w:gridCol w:w="691"/>
        <w:gridCol w:w="109"/>
        <w:gridCol w:w="109"/>
        <w:gridCol w:w="109"/>
        <w:gridCol w:w="109"/>
        <w:gridCol w:w="109"/>
        <w:gridCol w:w="109"/>
        <w:gridCol w:w="196"/>
        <w:gridCol w:w="585"/>
        <w:gridCol w:w="109"/>
        <w:gridCol w:w="109"/>
        <w:gridCol w:w="109"/>
        <w:gridCol w:w="109"/>
        <w:gridCol w:w="196"/>
        <w:gridCol w:w="556"/>
        <w:gridCol w:w="109"/>
        <w:gridCol w:w="109"/>
        <w:gridCol w:w="109"/>
        <w:gridCol w:w="109"/>
        <w:gridCol w:w="196"/>
        <w:gridCol w:w="691"/>
        <w:gridCol w:w="109"/>
        <w:gridCol w:w="109"/>
        <w:gridCol w:w="109"/>
        <w:gridCol w:w="109"/>
        <w:gridCol w:w="196"/>
        <w:gridCol w:w="796"/>
        <w:gridCol w:w="109"/>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Dun &amp; Bradstreet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BKFC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4"/>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Affiliate 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48" w:type="dxa"/>
            <w:gridSpan w:val="3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2796" w:type="dxa"/>
            <w:gridSpan w:val="12"/>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Restaurant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from external customers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investment and other income, including recognized gains (losses),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other income (expense) and recognized gains (losses), net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earnings before income taxes and equity in earnings (losses) of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earnings before equity in earnings (losses) of unconsolidated affiliates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earnings (losses)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(20,434.1)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The activities in our segments include the following:</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 xml:space="preserve">Restaurant Group. </w:t>
      </w:r>
      <w:r>
        <w:rPr>
          <w:rFonts w:ascii="Times New Roman;sans-serif" w:hAnsi="Times New Roman;sans-serif"/>
          <w:b w:val="false"/>
          <w:color w:val="000000"/>
          <w:sz w:val="20"/>
        </w:rPr>
        <w:t xml:space="preserve">This segment consists primarily of the operations of O'Charley's and 99 Restaurants in which we have 65.4% and 88.5% ownership interests, respectively. O'Charley's and 99 Restaurants and their affiliates are the owners and operators of the O'Charley's and Ninety Nine Restaurants restaurant concepts, respectively. </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 xml:space="preserve">Dun &amp; Bradstreet. </w:t>
      </w:r>
      <w:r>
        <w:rPr>
          <w:rFonts w:ascii="Times New Roman;sans-serif" w:hAnsi="Times New Roman;sans-serif"/>
          <w:b w:val="false"/>
          <w:color w:val="000000"/>
          <w:sz w:val="20"/>
        </w:rPr>
        <w:t xml:space="preserve">This segment consists of our 15.6% ownership interest in Dun &amp; Bradstreet. Dun &amp; Bradstreet is a leading global provider of business decisioning data and analytics. Clients embed D&amp;B's trusted, end-to-end solutions into their daily workflows to </w:t>
      </w:r>
      <w:r>
        <w:rPr>
          <w:rFonts w:ascii="Times New Roman;sans-serif" w:hAnsi="Times New Roman;sans-serif"/>
          <w:b w:val="false"/>
          <w:color w:val="181717"/>
          <w:sz w:val="20"/>
        </w:rPr>
        <w:t>inform commercial credit decisions, evaluate whether suppliers and other third parties are financially viable, reputable, compliant and resilient, enhance salesforce productivity and gain visibility into key markets</w:t>
      </w:r>
      <w:r>
        <w:rPr>
          <w:rFonts w:ascii="Times New Roman;sans-serif" w:hAnsi="Times New Roman;sans-serif"/>
          <w:b w:val="false"/>
          <w:color w:val="000000"/>
          <w:sz w:val="20"/>
        </w:rPr>
        <w:t xml:space="preserve">. Dun &amp; Bradstreet's solutions support its clients’ mission critical business operations by providing proprietary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pPr>
      <w:r>
        <w:rPr>
          <w:rFonts w:ascii="Times New Roman;sans-serif" w:hAnsi="Times New Roman;sans-serif"/>
          <w:b w:val="false"/>
          <w:color w:val="000000"/>
          <w:sz w:val="20"/>
        </w:rPr>
        <w:t>and curated data and analytics to help drive informed decisions and improved outcomes. Dun &amp; Bradstreet's global commercial database contained comprehensive information on hundreds of millions of organizations. Our chief operating decision maker reviews the full financial results of Dun &amp; Bradstreet for purposes of assessing performance and allocating resources. Thus, we consider Dun &amp; Bradstreet a reportable segment and have included the full results of Dun &amp; Bradstreet in the tables above. We account for Dun &amp; Bradstreet using the equity method of accounting; therefore, its results do not consolidate into ours. Accordingly, we have presented the elimination of Dun &amp; Bradstreet's results in the </w:t>
      </w:r>
      <w:r>
        <w:rPr>
          <w:rFonts w:ascii="Times New Roman;sans-serif" w:hAnsi="Times New Roman;sans-serif"/>
          <w:b w:val="false"/>
          <w:i/>
          <w:color w:val="000000"/>
          <w:sz w:val="20"/>
        </w:rPr>
        <w:t>Affiliate Elimination</w:t>
      </w:r>
      <w:r>
        <w:rPr>
          <w:color w:val="000000"/>
        </w:rPr>
        <w:t> </w:t>
      </w:r>
      <w:r>
        <w:rPr>
          <w:rFonts w:ascii="Times New Roman;sans-serif" w:hAnsi="Times New Roman;sans-serif"/>
          <w:b w:val="false"/>
          <w:color w:val="000000"/>
          <w:sz w:val="20"/>
        </w:rPr>
        <w:t xml:space="preserve">section of the segment presentation above. </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Alight</w:t>
      </w:r>
      <w:r>
        <w:rPr>
          <w:rFonts w:ascii="Times New Roman;sans-serif" w:hAnsi="Times New Roman;sans-serif"/>
          <w:b w:val="false"/>
          <w:color w:val="000000"/>
          <w:sz w:val="20"/>
        </w:rPr>
        <w:t xml:space="preserve">. This segment consists of our 9.7% ownership interest in Alight. Alight delivers human capital management solutions to many of the world’s largest and most complex companies. This includes the implementation and administration of both employee wellbeing (e.g., health, wealth and leaves benefits) and global payroll solutions. In addition, Alight implements and runs human capital management software platforms on behalf of third-party providers.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engagement platform. Through Alight Worklife, Alight believes it is defining the future of employee wellbeing by providing an enterprise level, integrated offering designed to drive better outcomes for organizations and individuals. Our chief operating decision maker reviews the financial results of Alight for purposes of assessing performance and allocating resources. Thus, we consider Alight a reportable segment and have included the full results of Alight subsequent to our initial acquisition of an ownership interest in the tables above. We account for Alight using the equity method of accounting, and therefore, its results do not consolidate into ours. Accordingly, we have presented the elimination of Alight's results in the </w:t>
      </w:r>
      <w:r>
        <w:rPr>
          <w:rFonts w:ascii="Times New Roman;sans-serif" w:hAnsi="Times New Roman;sans-serif"/>
          <w:b w:val="false"/>
          <w:i/>
          <w:color w:val="000000"/>
          <w:sz w:val="20"/>
        </w:rPr>
        <w:t>Affiliate Elimination</w:t>
      </w:r>
      <w:r>
        <w:rPr>
          <w:color w:val="000000"/>
        </w:rPr>
        <w:t xml:space="preserve"> </w:t>
      </w:r>
      <w:r>
        <w:rPr>
          <w:rFonts w:ascii="Times New Roman;sans-serif" w:hAnsi="Times New Roman;sans-serif"/>
          <w:b w:val="false"/>
          <w:color w:val="000000"/>
          <w:sz w:val="20"/>
        </w:rPr>
        <w:t xml:space="preserve">section of the segment presentation above. </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Black Knight Football.</w:t>
      </w:r>
      <w:r>
        <w:rPr>
          <w:color w:val="000000"/>
        </w:rPr>
        <w:t xml:space="preserve"> </w:t>
      </w:r>
      <w:r>
        <w:rPr>
          <w:rFonts w:ascii="Times New Roman;sans-serif" w:hAnsi="Times New Roman;sans-serif"/>
          <w:b w:val="false"/>
          <w:color w:val="000000"/>
          <w:sz w:val="20"/>
        </w:rPr>
        <w:t xml:space="preserve">This segment consists of our 45.5% ownership interest in BKFC. Black Knight Football is a partnership led by Bill Foley that owns and operates A.F.C. Bournemouth ("AFCB"), an English Premier League ("EPL" or the "Premier League") football club founded in 1899, a minority interest in FC Lorient ("FCL"), a French Ligue 1 football club founded in 1926, and a minority ownership interest in the Hibernian Football Club Limited, a Scottish Premiership football club founded in 1875. Black Knight Football aims to grow into a leading, multi-club operator of football assets across the world. We account for our ownership of BKFC using the equity method of accounting; therefore, its results of operations do not consolidate into ours. Accordingly, we have presented the elimination of BKFC's results in the </w:t>
      </w:r>
      <w:r>
        <w:rPr>
          <w:rFonts w:ascii="Times New Roman;sans-serif" w:hAnsi="Times New Roman;sans-serif"/>
          <w:b w:val="false"/>
          <w:i/>
          <w:color w:val="000000"/>
          <w:sz w:val="20"/>
        </w:rPr>
        <w:t>Affiliate Elimination</w:t>
      </w:r>
      <w:r>
        <w:rPr>
          <w:color w:val="000000"/>
        </w:rPr>
        <w:t xml:space="preserve"> </w:t>
      </w:r>
      <w:r>
        <w:rPr>
          <w:rFonts w:ascii="Times New Roman;sans-serif" w:hAnsi="Times New Roman;sans-serif"/>
          <w:b w:val="false"/>
          <w:color w:val="000000"/>
          <w:sz w:val="20"/>
        </w:rPr>
        <w:t xml:space="preserve">section of the segment presentation above. We report our equity in earnings or loss of BKFC on a three-month lag and we acquired our initial interest in BKFC on December 13, 2022. Accordingly, the segment tables above for the three and six months ended June 30, 2024 include our equity in Black Knight Football’s losses and complete results of Black Knight Football for the three and six months ended March 31, 2024, and the segment tables for the three and six months ended June 30, 2023 includes our equity in Black Knight Football and complete results of Black Knight Football for the three months ended March 31, 2023 and the period from December 13, 2022 (the date we acquired our initial interest in BKFC) through March 31, 2023, respectively. </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Corporate and Other.</w:t>
      </w:r>
      <w:r>
        <w:rPr>
          <w:color w:val="000000"/>
        </w:rPr>
        <w:t xml:space="preserve"> </w:t>
      </w:r>
      <w:r>
        <w:rPr>
          <w:rFonts w:ascii="Times New Roman;sans-serif" w:hAnsi="Times New Roman;sans-serif"/>
          <w:b w:val="false"/>
          <w:color w:val="000000"/>
          <w:sz w:val="20"/>
        </w:rPr>
        <w:t>This nonreportable segment consists of our share in the operations of certain controlled portfolio companies and other equity interests, activity of the corporate holding company and certain intercompany eliminations and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F — Revenue Recognition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0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consists of:</w:t>
      </w:r>
    </w:p>
    <w:tbl>
      <w:tblPr>
        <w:tblW w:w="7099" w:type="dxa"/>
        <w:jc w:val="center"/>
        <w:tblInd w:w="0" w:type="dxa"/>
        <w:tblLayout w:type="fixed"/>
        <w:tblCellMar>
          <w:top w:w="28" w:type="dxa"/>
          <w:left w:w="28" w:type="dxa"/>
          <w:bottom w:w="28" w:type="dxa"/>
          <w:right w:w="28" w:type="dxa"/>
        </w:tblCellMar>
      </w:tblPr>
      <w:tblGrid>
        <w:gridCol w:w="792"/>
        <w:gridCol w:w="696"/>
        <w:gridCol w:w="701"/>
        <w:gridCol w:w="109"/>
        <w:gridCol w:w="109"/>
        <w:gridCol w:w="109"/>
        <w:gridCol w:w="503"/>
        <w:gridCol w:w="503"/>
        <w:gridCol w:w="509"/>
        <w:gridCol w:w="109"/>
        <w:gridCol w:w="109"/>
        <w:gridCol w:w="109"/>
        <w:gridCol w:w="216"/>
        <w:gridCol w:w="614"/>
        <w:gridCol w:w="120"/>
        <w:gridCol w:w="120"/>
        <w:gridCol w:w="120"/>
        <w:gridCol w:w="120"/>
        <w:gridCol w:w="216"/>
        <w:gridCol w:w="614"/>
        <w:gridCol w:w="120"/>
        <w:gridCol w:w="109"/>
        <w:gridCol w:w="109"/>
        <w:gridCol w:w="109"/>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Stream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Restaurant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and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operating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Restaurant revenue includes food and beverage sales and gift card breakage, are net of applicable state and local sales taxes and discounts, and are recognized at a point in time as services are performed and goods are provided.</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trade receivables and deferred revenue:</w:t>
      </w:r>
    </w:p>
    <w:tbl>
      <w:tblPr>
        <w:tblW w:w="6146" w:type="dxa"/>
        <w:jc w:val="center"/>
        <w:tblInd w:w="0" w:type="dxa"/>
        <w:tblLayout w:type="fixed"/>
        <w:tblCellMar>
          <w:top w:w="28" w:type="dxa"/>
          <w:left w:w="28" w:type="dxa"/>
          <w:bottom w:w="28" w:type="dxa"/>
          <w:right w:w="28" w:type="dxa"/>
        </w:tblCellMar>
      </w:tblPr>
      <w:tblGrid>
        <w:gridCol w:w="1139"/>
        <w:gridCol w:w="1002"/>
        <w:gridCol w:w="1009"/>
        <w:gridCol w:w="327"/>
        <w:gridCol w:w="629"/>
        <w:gridCol w:w="169"/>
        <w:gridCol w:w="109"/>
        <w:gridCol w:w="109"/>
        <w:gridCol w:w="109"/>
        <w:gridCol w:w="422"/>
        <w:gridCol w:w="812"/>
        <w:gridCol w:w="310"/>
      </w:tblGrid>
      <w:tr>
        <w:trPr/>
        <w:tc>
          <w:tcPr>
            <w:tcW w:w="113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(contract liabilities)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Deferred revenue is recorded primarily for restaurant gift card sales. The unrecognized portion of such revenue is recorded as Deferred revenue in the Condensed Consolidated Balance Sheets. Revenue of $2.4 million and $3.1 million was recognized in the three months ended </w:t>
      </w:r>
      <w:r>
        <w:rPr>
          <w:rFonts w:ascii="Times New Roman;sans-serif" w:hAnsi="Times New Roman;sans-serif"/>
          <w:b w:val="false"/>
          <w:color w:val="000000"/>
          <w:sz w:val="20"/>
          <w:shd w:fill="FFFFFF" w:val="clear"/>
        </w:rPr>
        <w:t>June 30, 2024 and</w:t>
      </w:r>
      <w:r>
        <w:rPr>
          <w:color w:val="000000"/>
        </w:rPr>
        <w:t xml:space="preserve">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respectively, and $3.9 million and $4.8 million in the six months ended, respectively, that was included in Deferred revenue at the beginning of the period.</w:t>
      </w:r>
    </w:p>
    <w:p>
      <w:pPr>
        <w:pStyle w:val="TextBody"/>
        <w:bidi w:val="0"/>
        <w:spacing w:lineRule="auto" w:line="288" w:before="10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impairment related to contract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G — Notes Payable</w:t>
      </w:r>
    </w:p>
    <w:p>
      <w:pPr>
        <w:pStyle w:val="TextBody"/>
        <w:bidi w:val="0"/>
        <w:spacing w:lineRule="auto" w:line="288" w:before="120" w:after="120"/>
        <w:ind w:left="0" w:right="0" w:firstLine="31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Notes payable, net consists of the following:</w:t>
      </w:r>
    </w:p>
    <w:tbl>
      <w:tblPr>
        <w:tblW w:w="5722"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285"/>
        <w:gridCol w:w="692"/>
        <w:gridCol w:w="147"/>
        <w:gridCol w:w="109"/>
        <w:gridCol w:w="109"/>
        <w:gridCol w:w="109"/>
        <w:gridCol w:w="332"/>
        <w:gridCol w:w="970"/>
        <w:gridCol w:w="242"/>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2020 Margin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FNF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long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carrying value of our outstanding notes payable approximates fair value.</w:t>
      </w:r>
    </w:p>
    <w:p>
      <w:pPr>
        <w:pStyle w:val="TextBody"/>
        <w:bidi w:val="0"/>
        <w:spacing w:before="120" w:after="120"/>
        <w:ind w:left="0" w:right="0" w:firstLine="360"/>
        <w:jc w:val="both"/>
        <w:rPr/>
      </w:pPr>
      <w:r>
        <w:rPr/>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2020 Margin Facility</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2020, Cannae Funding C, LLC ("Borrower 1"), an indirect wholly-owned special purpose subsidiary of the Company, and Cannae Funding D, LLC ("Borrower 2"), an indirect wholly-owned special purpose subsidiary of the Company, entered into a Margin Loan Agreement (as amended from time to time, the "2020 Margin Facility") with the lenders from time to time party thereto and Royal Bank of Canada. On June 16, 2023, the 2020 Margin Facility was amended to, among other things, lower the immediate capacity from $250 million to $150 million. On August 17, 2023, the 2020 Margin Facility was amended to, among other things, (i) extend the maturity of the agreement to August 17, 2026, (ii) add 40 million shares of common stock of Alight to the pool of collateral, (iii) change the spread from 358 to 375 basis points and (iv) add Cannae Funding A, LLC ("Borrower 3" and together with Borrower 1 and Borrower 2, the "Borrowers"), an indirect wholly-owned special purpose subsidiary of the Company. On March 4, 2024, the 2020 Margin Facility was amended primarily to (i) assign the facility from Royal Bank of Canada to Bank of America, (ii) extend the maturity date to March 4, 2027 and (iii) change the spread from 375 to 310 basis points.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2020 Margin Facility, as amended, the Borrowers may borrow up to $150.0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March 4, 2027. Outstanding amounts under the 2020 Margin Facility, if any, bear interest quarterly at a rate per annum equal to a three-month adjusted SOFR plus an applicable margin. The 2020 Margin Facility requires the Borrowers to maintain a certain loan-to-value ratio (based on the value of Dayforce, D&amp;B and Alight shares). In the event the Borrowers fail to maintain such loan-to-value ratio, the Borrowers must post additional cash collateral under the Loan Agreement and/or elect to repay a portion of the revolving loans thereunder, or sell the Dayforce, D&amp;B and/or Alight shares and use the proceeds from such sale to prepay a portion of the revolving loans thereunder.</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no outstanding balance under the 2020 Margin Facility, $150.0 million of unused capacity with an option to increase the capacity to $500.0 million upon amendment, and 35 million shares of D&amp;B and 40 million shares of Alight were pledged as collateral for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FNF Note</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17, 2017, Fidelity National Financial, Inc.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Note"). Pursuant to the FNF Note, FNF may make one or more loans to us with up to $100.0 million outstanding at any time. The FNF Note accrues interest at one-month adjusted SOFR plus 450 basis points and matures on November 17, 2025. The maturity date is automatically extended for additional five-year terms unless notice of non-renewal is otherwise provided by either FNF or Cannae, in their sole discretion.</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28, 2022, we completed the repurchase of all of our common stock previously held by FNF; accordingly, there is no incremental borrowing capacity available under the FNF Note.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29, 2024, the FNF Note was amended to (i) reduce the borrowing capacity to $60.0 million and (ii) change the interest rate to a fixed rate of 7.0% per annum. The Company also repaid $25.0 million of outstanding principal under the FNF Note.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a $59.7 million outstanding principal amount which incurred interest at 7.0% and there is no available borrowing capacity under the FNF Note.</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principal maturities of notes payable at June 30, 2024 are as follows (in millions):</w:t>
      </w:r>
    </w:p>
    <w:tbl>
      <w:tblPr>
        <w:tblW w:w="2405" w:type="dxa"/>
        <w:jc w:val="left"/>
        <w:tblInd w:w="0" w:type="dxa"/>
        <w:tblLayout w:type="fixed"/>
        <w:tblCellMar>
          <w:top w:w="28" w:type="dxa"/>
          <w:left w:w="28" w:type="dxa"/>
          <w:bottom w:w="28" w:type="dxa"/>
          <w:right w:w="28" w:type="dxa"/>
        </w:tblCellMar>
      </w:tblPr>
      <w:tblGrid>
        <w:gridCol w:w="553"/>
        <w:gridCol w:w="486"/>
        <w:gridCol w:w="490"/>
        <w:gridCol w:w="211"/>
        <w:gridCol w:w="511"/>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H — Commitments and Contingencies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June 30, 2024 and December 31, 2023,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pStyle w:val="TextBody"/>
        <w:bidi w:val="0"/>
        <w:spacing w:lineRule="auto" w:line="256" w:before="12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Unconditional Purchase Obligations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certain unconditional purchase obligations, primarily in our Restaurant Group segment. These purchase obligations are with various vendors and are primarily related to food and beverage obligations with fixed commitments in regards to the time period of the contract and the quantities purchased with annual price adjustments that can fluctuate. We used both historical and projected volume and pricing as of June 30, 2024 to determine the amount of the obligations. Purchase obligations as of June 30, 2024 are as follows (in millions):</w:t>
      </w:r>
    </w:p>
    <w:tbl>
      <w:tblPr>
        <w:tblW w:w="3336" w:type="dxa"/>
        <w:jc w:val="center"/>
        <w:tblInd w:w="0" w:type="dxa"/>
        <w:tblLayout w:type="fixed"/>
        <w:tblCellMar>
          <w:top w:w="28" w:type="dxa"/>
          <w:left w:w="28" w:type="dxa"/>
          <w:bottom w:w="28" w:type="dxa"/>
          <w:right w:w="28" w:type="dxa"/>
        </w:tblCellMar>
      </w:tblPr>
      <w:tblGrid>
        <w:gridCol w:w="890"/>
        <w:gridCol w:w="782"/>
        <w:gridCol w:w="788"/>
        <w:gridCol w:w="211"/>
        <w:gridCol w:w="51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I — Supplemental Cash Flow Information</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supplemental cash flow information is provided with respect to certain cash payments, as well as certain non-cash investing and financing activities.</w:t>
      </w:r>
    </w:p>
    <w:tbl>
      <w:tblPr>
        <w:tblW w:w="10205" w:type="dxa"/>
        <w:jc w:val="left"/>
        <w:tblInd w:w="0" w:type="dxa"/>
        <w:tblLayout w:type="fixed"/>
        <w:tblCellMar>
          <w:top w:w="28" w:type="dxa"/>
          <w:left w:w="28" w:type="dxa"/>
          <w:bottom w:w="28" w:type="dxa"/>
          <w:right w:w="28" w:type="dxa"/>
        </w:tblCellMar>
      </w:tblPr>
      <w:tblGrid>
        <w:gridCol w:w="2870"/>
        <w:gridCol w:w="2477"/>
        <w:gridCol w:w="2500"/>
        <w:gridCol w:w="109"/>
        <w:gridCol w:w="109"/>
        <w:gridCol w:w="109"/>
        <w:gridCol w:w="234"/>
        <w:gridCol w:w="452"/>
        <w:gridCol w:w="120"/>
        <w:gridCol w:w="120"/>
        <w:gridCol w:w="120"/>
        <w:gridCol w:w="120"/>
        <w:gridCol w:w="234"/>
        <w:gridCol w:w="452"/>
        <w:gridCol w:w="179"/>
      </w:tblGrid>
      <w:tr>
        <w:trPr/>
        <w:tc>
          <w:tcPr>
            <w:tcW w:w="2870"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78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8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JANA paid through reissuance of common stock from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Difference between the historical cost of treasury stock and fair value upon reissuance for investment in JANA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7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7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7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7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7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7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7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Quarterly Report are based on information available to us on the date hereof, and we assume no obligation to update any such forward-looking statements. In some cases, you can identify forward-looking statements by terminology such as “may,” “will,” “should,” “could,” “expect,” “intend,” “plan,” “anticipate,” “believe,” “estimate,” “predict,” “potential,” “continue,” or the negative of these terms or other comparable terminology.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macroeconomic conditions resulting from the outbreak of a pandemic or escalation of the conflicts in Ukraine and the Middle East;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related to the externalization of certain of our management functions to our Manager; and other risks detailed in the "Statement Regarding Forward-Looking Information," "Risk Factors" and other sections of our Annual Report on Form 10-K for the year ended December 31, 2023 (our "Annual Report") and other filings with the Securities Exchange Commission ("SEC").</w:t>
      </w:r>
    </w:p>
    <w:p>
      <w:pPr>
        <w:pStyle w:val="TextBody"/>
        <w:bidi w:val="0"/>
        <w:spacing w:lineRule="auto" w:line="256"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indicates otherwise, as used herein, the terms “we,” “us,” “our,” “Cannae,” or the “Company” refer collectively to Cannae Holdings, Inc., and its subsidiaries.</w:t>
      </w:r>
    </w:p>
    <w:p>
      <w:pPr>
        <w:pStyle w:val="TextBody"/>
        <w:bidi w:val="0"/>
        <w:spacing w:lineRule="auto" w:line="256" w:before="120" w:after="120"/>
        <w:ind w:left="0" w:right="0" w:firstLine="360"/>
        <w:jc w:val="both"/>
        <w:rPr/>
      </w:pPr>
      <w:r>
        <w:rPr>
          <w:rFonts w:ascii="Times New Roman;sans-serif" w:hAnsi="Times New Roman;sans-serif"/>
          <w:b w:val="false"/>
          <w:color w:val="000000"/>
          <w:sz w:val="20"/>
        </w:rPr>
        <w:t>The following discussion should be read in conjunction with our Annual Report. For an additional description of our business, including descriptions of segments and recent business developments, see the discussion</w:t>
      </w:r>
      <w:r>
        <w:rPr>
          <w:color w:val="000000"/>
        </w:rPr>
        <w:t xml:space="preserve"> </w:t>
      </w:r>
      <w:r>
        <w:rPr>
          <w:rFonts w:ascii="Times New Roman;sans-serif" w:hAnsi="Times New Roman;sans-serif"/>
          <w:b w:val="false"/>
          <w:color w:val="000000"/>
          <w:sz w:val="20"/>
        </w:rPr>
        <w:t xml:space="preserve">in Note A - </w:t>
      </w:r>
      <w:r>
        <w:rPr>
          <w:rFonts w:ascii="Times New Roman;sans-serif" w:hAnsi="Times New Roman;sans-serif"/>
          <w:b w:val="false"/>
          <w:i/>
          <w:color w:val="000000"/>
          <w:sz w:val="20"/>
        </w:rPr>
        <w:t>Basis of Financial Statements</w:t>
      </w:r>
      <w:r>
        <w:rPr>
          <w:color w:val="000000"/>
        </w:rPr>
        <w:t xml:space="preserve"> </w:t>
      </w:r>
      <w:r>
        <w:rPr>
          <w:rFonts w:ascii="Times New Roman;sans-serif" w:hAnsi="Times New Roman;sans-serif"/>
          <w:b w:val="false"/>
          <w:color w:val="000000"/>
          <w:sz w:val="20"/>
        </w:rPr>
        <w:t xml:space="preserve">and Note E - </w:t>
      </w:r>
      <w:r>
        <w:rPr>
          <w:rFonts w:ascii="Times New Roman;sans-serif" w:hAnsi="Times New Roman;sans-serif"/>
          <w:b w:val="false"/>
          <w:i/>
          <w:color w:val="000000"/>
          <w:sz w:val="20"/>
        </w:rPr>
        <w:t>Segment Information</w:t>
      </w:r>
      <w:r>
        <w:rPr>
          <w:color w:val="000000"/>
        </w:rPr>
        <w:t xml:space="preserve"> </w:t>
      </w:r>
      <w:r>
        <w:rPr>
          <w:rFonts w:ascii="Times New Roman;sans-serif" w:hAnsi="Times New Roman;sans-serif"/>
          <w:b w:val="false"/>
          <w:color w:val="000000"/>
          <w:sz w:val="20"/>
        </w:rPr>
        <w:t>to the Condensed Consolidated Financial Statements included in Item 1 of Part I of this Quarterly Report, which is incorporated by reference into this Part I, Item 2.</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Seasonality and Macroeconomic Conditions</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Restaurant Group</w:t>
      </w:r>
      <w:r>
        <w:rPr>
          <w:rFonts w:ascii="Times New Roman;sans-serif" w:hAnsi="Times New Roman;sans-serif"/>
          <w:b w:val="false"/>
          <w:color w:val="000000"/>
          <w:sz w:val="20"/>
        </w:rPr>
        <w:t xml:space="preserve">. 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Recent years were a period of high inflation relative to long-term inflation expectations in the U.S. This inflationary environment primarily impacted the commodity and labor costs of our Restaurant Group. We have adjusted menu pricing to account for these cost increases to an extent, but will continue to balance the impact of inflationary pressures on our costs with the value proposition offered to customers, focusing on long-term profitability.</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and operating income in future periods will continue to be subject to these and other factors that are beyond our control and, as a result, are likely to fluctuate.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pStyle w:val="TextBody"/>
        <w:bidi w:val="0"/>
        <w:spacing w:lineRule="auto" w:line="288" w:before="120" w:after="100"/>
        <w:ind w:left="0" w:right="0" w:firstLine="360"/>
        <w:jc w:val="both"/>
        <w:rPr/>
      </w:pPr>
      <w:r>
        <w:rPr>
          <w:rFonts w:ascii="Times New Roman;sans-serif" w:hAnsi="Times New Roman;sans-serif"/>
          <w:b w:val="false"/>
          <w:i/>
          <w:color w:val="000000"/>
          <w:sz w:val="20"/>
        </w:rPr>
        <w:t>Investments in unconsolidated affiliates - impairment monitoring</w:t>
      </w:r>
      <w:r>
        <w:rPr>
          <w:rFonts w:ascii="Times New Roman;sans-serif" w:hAnsi="Times New Roman;sans-serif"/>
          <w:b w:val="false"/>
          <w:color w:val="000000"/>
          <w:sz w:val="20"/>
        </w:rPr>
        <w:t>. On an ongoing basis, management monitors the Company's investments in unconsolidated 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fair value of our ownership interest in Dun &amp; Bradstreet based on quoted market prices was $639.4 million and the book value of our recorded asset for D&amp;B was $700.5 million. While the fair value of our investment in Dun &amp; Bradstreet is below our book value as of June 30 2024, there are no other indicators that our investment is other than temporarily impaired. As of June 30, 2024, the fair value of our investment in D&amp;B has been below book value for approximately one quarter. [As of the date of filing of this Quarterly Report, the fair value of our investment in D&amp;B is above our book value as of June 30, 2024.] Due to these factors, we consider the decline in fair value to be temporary as of June 30, 2024. Though we do not currently believe our investment in D&amp;B is other than temporarily impaired, because the fair value is below the book value of our investment as of June 30, 2024, declines in fair value of D&amp;B, deterioration in D&amp;B's actual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forecasted results of operations or adverse changes in the U.S. macroeconomic environment could result in an impairment charge in future periods to record our asset 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fair value of our ownership interest in Alight based on quoted market prices was $387.3 million and the book value of our recorded asset for Alight was $492.1 million. While the fair value of our investment in Alight is below our book value as of June 30, 2024, there are other indicators that our investment is not other than temporarily impaired as of June 30, 2024. The fair value of our investment in Alight has been below book value for approximately one quarter. Alight recently completed the sale of the Payroll &amp; Professional Services Business and used a portion of the proceeds to payoff a significant portion of its debt, improving its' capital strength. Alight has consistently reported strong gross profit and operating cash flows subsequent to our initial investment. Due to these factors, we consider the decline in fair value to be temporary as of June 30, 2024. Though we do not currently believe our investment in Alight is other than temporarily impaired, because the fair value is below the book value of our investment as of June 30, 2024, further declines in fair value of the investment, deterioration in Alight's actual or forecasted results of operations or adverse changes in the U.S. macroeconomic environment could result in an impairment charge in future periods to record our asset 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book value of our investment in Sightline accounted for under the equity method of accounting prior to recording impairment was $154.7 million. Based on a valuation using a hybrid discounted cash flow and market comparison approach and adjusted for the risk of a capital shortfall at the business, the aggregate fair market value of our ownership of Sightline equity was approximately $13.7 million as of June 30, 2024. The fair value measurement is considered a level 3 fair value measure. The primary inputs in the valuation were the forecasted results of operations of Sightline, the discount rate used in the discounted cash flow analysis and the adjustment for the risk of a capital shortfall. The primary significant unobservable input used was the 35% discount rate used in the discounted cash flow analysis and the 50% adjustment for the risk of capital shortfall.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 xml:space="preserve">Accounting for Income Taxes. </w:t>
      </w:r>
      <w:r>
        <w:rPr>
          <w:rFonts w:ascii="Times New Roman;sans-serif" w:hAnsi="Times New Roman;sans-serif"/>
          <w:b w:val="false"/>
          <w:color w:val="000000"/>
          <w:sz w:val="20"/>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a net deferred tax asset of $63.2 million, which is primarily attributable to temporary differences for our investments in unconsolidated affiliates held through partnerships. In the six months ended June 30, 2024, we recorded an additional valuation allowance of $58.8 million on the Company's federal net operating loss ("NOL") carryforwards and certain deferred taxes related to our consolidated partnerships. In the first quarter of 2024 it was determined that the net taxable capital gain from our sales of shares of Dayforce and D&amp;B would likely be offset by other sources of current year taxable loss. Accordingly, we determined it was uncertain whether we would be able to use the Company's available federal NOL carryforwards and certain other deferred taxes. One of the factors used in assessing the need for a valuation allowance on net deferred tax assets is whether a company is in a three-year cumulative book loss position and for the three years ended December 31, 2023, the Company is in a cumulative book loss position. The Company is relying on deferred tax liabilities, and the ability to carry back capital losses, as sources of income to facilitate the recovery of its remaining deferred tax assets. The Company’s prospective investment strategy, fluctuations in the fair market value of its ownership interests prior to any dispositions and other factors may influence the timing of reversals of deferred tax assets and liabilities and their ultimate impact on taxable income or loss, which could have an effect on the recoverability of deferred tax assets. As of June 30, 2024, the Company has a federal valuation allowance of $58.7 million representing a full valuation allowance on its federal NOL carryforwards and certain other deferred taxes where it is not more likely than not that the tax benefit will be realized. Additionally, a state valuation allowance of $4.7 million has been recorded representing certain state NOLs where it is not more likely than not that the tax benefit of certain state NOLs will be realized before the NOLs in those certain states expire. At this time, we consider it more likely than not that we will have sufficient taxable income and available excess capital gain from prior year periods that will allow us to realize our other deferred tax assets. The Company will continue to monitor the recoverability of deferred tax assets on a quarterly basis and may need to record an additional valuation allowance on its net deferred tax asset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Consolidated Results of Operations</w:t>
      </w:r>
    </w:p>
    <w:p>
      <w:pPr>
        <w:pStyle w:val="TextBody"/>
        <w:bidi w:val="0"/>
        <w:spacing w:lineRule="auto" w:line="288" w:before="120" w:after="120"/>
        <w:ind w:left="0" w:right="0" w:firstLine="360"/>
        <w:jc w:val="left"/>
        <w:rPr/>
      </w:pPr>
      <w:r>
        <w:rPr>
          <w:rFonts w:ascii="Times New Roman;sans-serif" w:hAnsi="Times New Roman;sans-serif"/>
          <w:b w:val="false"/>
          <w:i/>
          <w:color w:val="000000"/>
          <w:sz w:val="20"/>
        </w:rPr>
        <w:t xml:space="preserve">Net Earnings. </w:t>
      </w:r>
      <w:r>
        <w:rPr>
          <w:rFonts w:ascii="Times New Roman;sans-serif" w:hAnsi="Times New Roman;sans-serif"/>
          <w:b w:val="false"/>
          <w:color w:val="000000"/>
          <w:sz w:val="20"/>
        </w:rPr>
        <w:t>The following table presents certain financial data for the periods indicated:</w:t>
      </w:r>
    </w:p>
    <w:tbl>
      <w:tblPr>
        <w:tblW w:w="10205" w:type="dxa"/>
        <w:jc w:val="center"/>
        <w:tblInd w:w="0" w:type="dxa"/>
        <w:tblLayout w:type="fixed"/>
        <w:tblCellMar>
          <w:top w:w="28" w:type="dxa"/>
          <w:left w:w="28" w:type="dxa"/>
          <w:bottom w:w="28" w:type="dxa"/>
          <w:right w:w="28" w:type="dxa"/>
        </w:tblCellMar>
      </w:tblPr>
      <w:tblGrid>
        <w:gridCol w:w="1966"/>
        <w:gridCol w:w="1659"/>
        <w:gridCol w:w="1679"/>
        <w:gridCol w:w="211"/>
        <w:gridCol w:w="681"/>
        <w:gridCol w:w="109"/>
        <w:gridCol w:w="109"/>
        <w:gridCol w:w="109"/>
        <w:gridCol w:w="109"/>
        <w:gridCol w:w="211"/>
        <w:gridCol w:w="616"/>
        <w:gridCol w:w="109"/>
        <w:gridCol w:w="109"/>
        <w:gridCol w:w="109"/>
        <w:gridCol w:w="109"/>
        <w:gridCol w:w="211"/>
        <w:gridCol w:w="681"/>
        <w:gridCol w:w="109"/>
        <w:gridCol w:w="109"/>
        <w:gridCol w:w="109"/>
        <w:gridCol w:w="109"/>
        <w:gridCol w:w="211"/>
        <w:gridCol w:w="616"/>
        <w:gridCol w:w="155"/>
      </w:tblGrid>
      <w:tr>
        <w:trPr/>
        <w:tc>
          <w:tcPr>
            <w:tcW w:w="196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4901" w:type="dxa"/>
            <w:gridSpan w:val="21"/>
            <w:tcBorders/>
          </w:tcPr>
          <w:p>
            <w:pPr>
              <w:pStyle w:val="TableContents"/>
              <w:bidi w:val="0"/>
              <w:spacing w:before="0" w:after="283"/>
              <w:jc w:val="left"/>
              <w:rPr>
                <w:sz w:val="4"/>
                <w:szCs w:val="4"/>
              </w:rPr>
            </w:pPr>
            <w:r>
              <w:rPr>
                <w:sz w:val="4"/>
                <w:szCs w:val="4"/>
              </w:rPr>
            </w:r>
          </w:p>
        </w:tc>
      </w:tr>
      <w:tr>
        <w:trPr/>
        <w:tc>
          <w:tcPr>
            <w:tcW w:w="5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revenue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restaurant revenue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investment and other income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(losses) gains, net</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(expense) income, net </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in losses of unconsolidated affiliates</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equity in losses of unconsolidated affiliates</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of unconsolidated affiliates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Cannae Holdings, Inc. common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 the Three Months Ended June 30, 2024 and 2023 </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following is a discussion of the material fluctuations in our consolidated results of operations for the three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as compared to the three months ended June 30, 2023. The material changes in revenues, expenses and pre-tax loss for the three months ended </w:t>
      </w:r>
      <w:r>
        <w:rPr>
          <w:rFonts w:ascii="Times New Roman;sans-serif" w:hAnsi="Times New Roman;sans-serif"/>
          <w:b w:val="false"/>
          <w:color w:val="000000"/>
          <w:sz w:val="20"/>
          <w:shd w:fill="FFFFFF" w:val="clear"/>
        </w:rPr>
        <w:t>June 30, 2024 and 2023 are</w:t>
      </w:r>
      <w:r>
        <w:rPr>
          <w:color w:val="000000"/>
        </w:rPr>
        <w:t xml:space="preserve"> </w:t>
      </w:r>
      <w:r>
        <w:rPr>
          <w:rFonts w:ascii="Times New Roman;sans-serif" w:hAnsi="Times New Roman;sans-serif"/>
          <w:b w:val="false"/>
          <w:color w:val="000000"/>
          <w:sz w:val="20"/>
        </w:rPr>
        <w:t>discussed in further detail at the segment level below.</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decreased $34.8 million, or 22.8%, in the three months ended June 30, 2024 compared to the corresponding period in 2023. The reduction in revenue is primarily attributable to the closure of O'Charley's locations in 2023.</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Expenses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primarily of personnel costs, cost of restaurant revenue, other operating expenses, and depreciation and amortization.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Personnel costs include base salaries, commissions, benefits, stock-based compensation and bonuses paid to employees, and are one of our most significant operating expenses. Personnel costs that are directly attributable to the restaurant-level operations of the Restaurant Group are included in Cost of restaurant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include management fees, carried interest fees, professional fees, advertising costs, travel expenses and impairments of operating assets.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consists of our depreciation related to investments in property and equipment as well as amortization of intangible assets.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Pre-Tax Loss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income taxes and equity in losses of unconsolidated affiliates decreased (increased loss) $106.3 million, or 168.5%, in the three months ended June 30, 2024 compared to the corresponding period in 2023.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was $33.7 million and $21.8 million in the three-month periods ended June 30, 2024 and 2023, respectively. Our effective tax rate was 19.9% and 34.5% in the three months ended June 30, 2024 and 2023,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three months ended June 30, 2024 compared to the corresponding period in 2023 is primarily attributable to the impact to the rate of equity in losses of unconsolidated affiliates relative to pre-tax losses and the impairment recorded to our investment in Sightline.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 Losses of Unconsolidated Affiliates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Equity in losses of unconsolidated affiliates for the </w:t>
      </w:r>
      <w:r>
        <w:rPr>
          <w:rFonts w:ascii="Times New Roman;sans-serif" w:hAnsi="Times New Roman;sans-serif"/>
          <w:b w:val="false"/>
          <w:color w:val="000000"/>
          <w:sz w:val="20"/>
        </w:rPr>
        <w:t xml:space="preserve">three </w:t>
      </w:r>
      <w:r>
        <w:rPr>
          <w:rFonts w:ascii="Times New Roman;sans-serif" w:hAnsi="Times New Roman;sans-serif"/>
          <w:b w:val="false"/>
          <w:color w:val="000000"/>
          <w:sz w:val="20"/>
          <w:shd w:fill="FFFFFF" w:val="clear"/>
        </w:rPr>
        <w:t>months ended June 30, 2024 and 2023 consisted of the following:</w:t>
      </w:r>
    </w:p>
    <w:tbl>
      <w:tblPr>
        <w:tblW w:w="4692" w:type="dxa"/>
        <w:jc w:val="left"/>
        <w:tblInd w:w="0" w:type="dxa"/>
        <w:tblLayout w:type="fixed"/>
        <w:tblCellMar>
          <w:top w:w="28" w:type="dxa"/>
          <w:left w:w="28" w:type="dxa"/>
          <w:bottom w:w="28" w:type="dxa"/>
          <w:right w:w="28" w:type="dxa"/>
        </w:tblCellMar>
      </w:tblPr>
      <w:tblGrid>
        <w:gridCol w:w="706"/>
        <w:gridCol w:w="620"/>
        <w:gridCol w:w="624"/>
        <w:gridCol w:w="223"/>
        <w:gridCol w:w="620"/>
        <w:gridCol w:w="115"/>
        <w:gridCol w:w="115"/>
        <w:gridCol w:w="115"/>
        <w:gridCol w:w="115"/>
        <w:gridCol w:w="223"/>
        <w:gridCol w:w="620"/>
        <w:gridCol w:w="115"/>
        <w:gridCol w:w="109"/>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Dun &amp; Bradstreet </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Sightline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Knight Football</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CSI</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For the Six Months Ended June 30, 2024 and 2023</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following is a discussion of the material fluctuations in our consolidated results of operations for the six months ended June 30, 2024 as compared to the six months ended June 30, 2023. The material changes in revenues, expenses and pre-tax loss for the six months ended </w:t>
      </w:r>
      <w:r>
        <w:rPr>
          <w:rFonts w:ascii="Times New Roman;sans-serif" w:hAnsi="Times New Roman;sans-serif"/>
          <w:b w:val="false"/>
          <w:color w:val="000000"/>
          <w:sz w:val="20"/>
          <w:shd w:fill="FFFFFF" w:val="clear"/>
        </w:rPr>
        <w:t>June 30, 2024 and 2023 are</w:t>
      </w:r>
      <w:r>
        <w:rPr>
          <w:color w:val="000000"/>
        </w:rPr>
        <w:t xml:space="preserve"> </w:t>
      </w:r>
      <w:r>
        <w:rPr>
          <w:rFonts w:ascii="Times New Roman;sans-serif" w:hAnsi="Times New Roman;sans-serif"/>
          <w:b w:val="false"/>
          <w:color w:val="000000"/>
          <w:sz w:val="20"/>
        </w:rPr>
        <w:t>discussed in further detail at the segment level below.</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decreased $78.4 million, or 25.5%, in the six months ended June 30, 2024 compared to the corresponding period in 2023. The reduction in revenue is primarily attributable to the closure of O'Charley's locations in 2023.</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Pre-Tax Loss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income taxes and equity in losses of unconsolidated affiliates decreased (increased loss) $183.8 million, or 520.7%, in the six months ended June 30, 2024 compared to the corresponding period in 2023.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was $19.7 million and $(19.2) million in the six-month periods ended June 30, 2024 and 2023, respectively. Our effective tax rate was (9.0)% and 54.4% in the six months ended June 30, 2024 and 2023,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six months June 30, 2024 compared to the corresponding period in 2023 is attributable to the recording of a valuation allowance in the current period of $58.8 million on our federal net operating loss carryforwards and certain deferred taxes within our consolidated partnerships, the impact to the rate of equity in losses of unconsolidated affiliates relative to pre-tax loss and the impairment recorded to our investment in Sightline.</w:t>
      </w:r>
    </w:p>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 Losses of Unconsolidated Affiliates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Equity in losses of unconsolidated affiliates for the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shd w:fill="FFFFFF" w:val="clear"/>
        </w:rPr>
        <w:t>months ended June 30, 2024 and 2023 consisted of the following:</w:t>
      </w:r>
    </w:p>
    <w:tbl>
      <w:tblPr>
        <w:tblW w:w="5513" w:type="dxa"/>
        <w:jc w:val="left"/>
        <w:tblInd w:w="0" w:type="dxa"/>
        <w:tblLayout w:type="fixed"/>
        <w:tblCellMar>
          <w:top w:w="28" w:type="dxa"/>
          <w:left w:w="28" w:type="dxa"/>
          <w:bottom w:w="28" w:type="dxa"/>
          <w:right w:w="28" w:type="dxa"/>
        </w:tblCellMar>
      </w:tblPr>
      <w:tblGrid>
        <w:gridCol w:w="706"/>
        <w:gridCol w:w="621"/>
        <w:gridCol w:w="623"/>
        <w:gridCol w:w="109"/>
        <w:gridCol w:w="109"/>
        <w:gridCol w:w="200"/>
        <w:gridCol w:w="200"/>
        <w:gridCol w:w="388"/>
        <w:gridCol w:w="1079"/>
        <w:gridCol w:w="200"/>
        <w:gridCol w:w="109"/>
        <w:gridCol w:w="109"/>
        <w:gridCol w:w="109"/>
        <w:gridCol w:w="211"/>
        <w:gridCol w:w="58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278" w:type="dxa"/>
            <w:gridSpan w:val="6"/>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Sightline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Knight Football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equity in earnings of CSI in the six months ended June 30, 2024 was primarily driven by the sale of a portion of CSI to a third party by BGPT Catalyst, LP, the entity through which we own our interest in CSI.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Restaurant Group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from operations of our Restaurant Group segment:</w:t>
      </w:r>
    </w:p>
    <w:tbl>
      <w:tblPr>
        <w:tblW w:w="10205" w:type="dxa"/>
        <w:jc w:val="center"/>
        <w:tblInd w:w="0" w:type="dxa"/>
        <w:tblLayout w:type="fixed"/>
        <w:tblCellMar>
          <w:top w:w="28" w:type="dxa"/>
          <w:left w:w="28" w:type="dxa"/>
          <w:bottom w:w="28" w:type="dxa"/>
          <w:right w:w="28" w:type="dxa"/>
        </w:tblCellMar>
      </w:tblPr>
      <w:tblGrid>
        <w:gridCol w:w="2023"/>
        <w:gridCol w:w="1689"/>
        <w:gridCol w:w="1706"/>
        <w:gridCol w:w="212"/>
        <w:gridCol w:w="620"/>
        <w:gridCol w:w="109"/>
        <w:gridCol w:w="109"/>
        <w:gridCol w:w="109"/>
        <w:gridCol w:w="109"/>
        <w:gridCol w:w="212"/>
        <w:gridCol w:w="620"/>
        <w:gridCol w:w="109"/>
        <w:gridCol w:w="109"/>
        <w:gridCol w:w="109"/>
        <w:gridCol w:w="109"/>
        <w:gridCol w:w="211"/>
        <w:gridCol w:w="616"/>
        <w:gridCol w:w="109"/>
        <w:gridCol w:w="109"/>
        <w:gridCol w:w="109"/>
        <w:gridCol w:w="109"/>
        <w:gridCol w:w="211"/>
        <w:gridCol w:w="616"/>
        <w:gridCol w:w="161"/>
      </w:tblGrid>
      <w:tr>
        <w:trPr/>
        <w:tc>
          <w:tcPr>
            <w:tcW w:w="2023"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4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4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0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revenue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restaurant revenue</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gains (losses), net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 and equity in losses of unconsolidated affiliates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For the Three Months Ended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for the Restaurant Group segment decreased $37.6 million, or 25.9%, in the three months ended June 30, 2024, compared to the corresponding period in 2023. The change was attributable to approximately $30.4 million of incremental revenue included in the three months ended June 30, 2023 associated with O'Charley's stores that were closed prior to 2024 and a decline in comparable store sales.</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 xml:space="preserve">Comparable Store Sales. </w:t>
      </w:r>
      <w:r>
        <w:rPr>
          <w:rFonts w:ascii="Times New Roman;sans-serif" w:hAnsi="Times New Roman;sans-serif"/>
          <w:b w:val="false"/>
          <w:color w:val="000000"/>
          <w:sz w:val="20"/>
        </w:rPr>
        <w:t xml:space="preserve">One method we use in evaluating the performance of our restaurants is to compare sales results for restaurants period over 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Restaurants brands decreased by 8.0% and 3.2%, respectively, in the three months ended June 30, 2024 compared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corresponding period in 2023. The decrease is primarily attributable to a decrease in guest counts, partially offset by an increase in the average amount spent by customers each visit.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restaurant revenue decreased as a function of Restaurant revenues. Cost of restaurant revenue as a percentage of restaurant revenue was 85.6% and 88.4% in the three months ended June 30, 2024 and 2023, respectively. The decrease was partially attributable to the impact of refunds from certain vendors recorded in the three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ans-serif" w:hAnsi="Times New Roman;sans-serif"/>
          <w:b/>
          <w:i/>
          <w:color w:val="000000"/>
          <w:sz w:val="20"/>
        </w:rPr>
      </w:pPr>
      <w:r>
        <w:rPr>
          <w:rFonts w:ascii="Times New Roman;sans-serif" w:hAnsi="Times New Roman;sans-serif"/>
          <w:b/>
          <w:i/>
          <w:color w:val="000000"/>
          <w:sz w:val="20"/>
        </w:rPr>
        <w:t>For the Six Months Ended June 30, 2024</w:t>
      </w:r>
    </w:p>
    <w:p>
      <w:pPr>
        <w:pStyle w:val="TextBody"/>
        <w:bidi w:val="0"/>
        <w:spacing w:lineRule="auto" w:line="288" w:before="1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for the Restaurant Group segment decreased $79.6 million, or 27.1%, in the six months ended June 30, 2024, compared to the corresponding period in 2023. The decrease was attributable to approximately $65.3 million of incremental revenue included in the six months ended June 30, 2023 associated with O'Charley's stores that were closed prior to 2024 and a decline in comparable store sales.</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 xml:space="preserve">Comparable Store Sales. </w:t>
      </w:r>
      <w:r>
        <w:rPr>
          <w:rFonts w:ascii="Times New Roman;sans-serif" w:hAnsi="Times New Roman;sans-serif"/>
          <w:b w:val="false"/>
          <w:color w:val="000000"/>
          <w:sz w:val="20"/>
        </w:rPr>
        <w:t xml:space="preserve">Comparable store sales for our O'Charley's and 99 Restaurants brands decreased by 7.2% and 3.0%, respectively, in the six months ended June 30, 2024 compared to the comparable period in 2023. The decrease in 2024 is primarily attributable to a decrease in guest counts, partially offset by an increase in the average amount spent by customers each visit.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restaurant revenue decreased directionally consistent with Restaurant revenues. Cost of restaurant revenue as a percentage of restaurant revenue was 87.0% and 88.5% in the six months ended June 30, 2024 and 2023, respectively.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 for the Restaurant Group segment decreased $7.9 million, or 38.3%, in the six months ended June 30, 2024, compared to the corresponding period in 2023. The decrease is primarily attributable to the closure of stores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ans-serif" w:hAnsi="Times New Roman;sans-serif"/>
          <w:b/>
          <w:i/>
          <w:color w:val="000000"/>
          <w:sz w:val="20"/>
        </w:rPr>
      </w:pPr>
      <w:r>
        <w:rPr>
          <w:rFonts w:ascii="Times New Roman;sans-serif" w:hAnsi="Times New Roman;sans-serif"/>
          <w:b/>
          <w:i/>
          <w:color w:val="000000"/>
          <w:sz w:val="20"/>
        </w:rPr>
        <w:t>Dun &amp; Bradstreet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own approximately 15.6% of the outstanding common stock of Dun &amp; Bradstreet. We account for our ownership interest in Dun &amp; Bradstreet under the equity method of accounting; therefore, its results of operations do not consolidate into ours.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Summarized statement of operations information for Dun &amp; Bradstreet for the relevant dates and time periods included in Equity in earnings (losses) of unconsolidated affiliates in our Statements of Operations is presented below.</w:t>
      </w:r>
    </w:p>
    <w:tbl>
      <w:tblPr>
        <w:tblW w:w="9351" w:type="dxa"/>
        <w:jc w:val="center"/>
        <w:tblInd w:w="0" w:type="dxa"/>
        <w:tblLayout w:type="fixed"/>
        <w:tblCellMar>
          <w:top w:w="28" w:type="dxa"/>
          <w:left w:w="28" w:type="dxa"/>
          <w:bottom w:w="28" w:type="dxa"/>
          <w:right w:w="28" w:type="dxa"/>
        </w:tblCellMar>
      </w:tblPr>
      <w:tblGrid>
        <w:gridCol w:w="1540"/>
        <w:gridCol w:w="1356"/>
        <w:gridCol w:w="1364"/>
        <w:gridCol w:w="213"/>
        <w:gridCol w:w="622"/>
        <w:gridCol w:w="110"/>
        <w:gridCol w:w="110"/>
        <w:gridCol w:w="110"/>
        <w:gridCol w:w="110"/>
        <w:gridCol w:w="213"/>
        <w:gridCol w:w="622"/>
        <w:gridCol w:w="110"/>
        <w:gridCol w:w="109"/>
        <w:gridCol w:w="109"/>
        <w:gridCol w:w="109"/>
        <w:gridCol w:w="211"/>
        <w:gridCol w:w="766"/>
        <w:gridCol w:w="109"/>
        <w:gridCol w:w="109"/>
        <w:gridCol w:w="109"/>
        <w:gridCol w:w="109"/>
        <w:gridCol w:w="211"/>
        <w:gridCol w:w="766"/>
        <w:gridCol w:w="154"/>
      </w:tblGrid>
      <w:tr>
        <w:trPr/>
        <w:tc>
          <w:tcPr>
            <w:tcW w:w="154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noncontrolling interest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Dun &amp; Bradstreet</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relating to the results of operations of Dun &amp; Bradstreet (NYSE: "DNB") can be found in its periodic reports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Alight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own approximately 9.7% of the outstanding common stock of Alight. We account for our ownership of Alight under the equity method of accounting; therefore, its results do not consolidate into ours.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 2024, Alight entered into a definitive agreement to sell the Payroll &amp; Professional Services Business. The transaction closed on July 12, 2024. Beginning with the quarter ended March 31, 2024, Alight began accounting for the assets and liabilities of the Payroll &amp; Professional Services Business as “held for sale” and its operating results as discontinued operations. Accordingly, Alight's results presented for the periods ended June 30, 2023 have been retrospectively revised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reflect the Payroll &amp; Professional Services Business as discontinued operations.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statement of operations information for Alight for the relevant dates and time periods included in Equity in earnings (losses) of unconsolidated affiliates in our Condensed Consolidated Statements of Operations is presented below.</w:t>
      </w:r>
    </w:p>
    <w:tbl>
      <w:tblPr>
        <w:tblW w:w="9051" w:type="dxa"/>
        <w:jc w:val="left"/>
        <w:tblInd w:w="0" w:type="dxa"/>
        <w:tblLayout w:type="fixed"/>
        <w:tblCellMar>
          <w:top w:w="28" w:type="dxa"/>
          <w:left w:w="28" w:type="dxa"/>
          <w:bottom w:w="28" w:type="dxa"/>
          <w:right w:w="28" w:type="dxa"/>
        </w:tblCellMar>
      </w:tblPr>
      <w:tblGrid>
        <w:gridCol w:w="1432"/>
        <w:gridCol w:w="1261"/>
        <w:gridCol w:w="1267"/>
        <w:gridCol w:w="213"/>
        <w:gridCol w:w="622"/>
        <w:gridCol w:w="110"/>
        <w:gridCol w:w="110"/>
        <w:gridCol w:w="110"/>
        <w:gridCol w:w="110"/>
        <w:gridCol w:w="213"/>
        <w:gridCol w:w="622"/>
        <w:gridCol w:w="110"/>
        <w:gridCol w:w="109"/>
        <w:gridCol w:w="109"/>
        <w:gridCol w:w="109"/>
        <w:gridCol w:w="211"/>
        <w:gridCol w:w="766"/>
        <w:gridCol w:w="109"/>
        <w:gridCol w:w="109"/>
        <w:gridCol w:w="109"/>
        <w:gridCol w:w="109"/>
        <w:gridCol w:w="211"/>
        <w:gridCol w:w="766"/>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from discontinued operations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Alight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relating to the results of operations of Alight (NYSE: "ALIT") can be found in its periodic reports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00"/>
        <w:jc w:val="both"/>
        <w:rPr>
          <w:rFonts w:ascii="Times New Roman;sans-serif" w:hAnsi="Times New Roman;sans-serif"/>
          <w:b/>
          <w:i/>
          <w:color w:val="000000"/>
          <w:sz w:val="20"/>
        </w:rPr>
      </w:pPr>
      <w:r>
        <w:rPr>
          <w:rFonts w:ascii="Times New Roman;sans-serif" w:hAnsi="Times New Roman;sans-serif"/>
          <w:b/>
          <w:i/>
          <w:color w:val="000000"/>
          <w:sz w:val="20"/>
        </w:rPr>
        <w:t>Black Knight Football</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own approximately 45.5% of the ownership interest of Black Knight Football. We account for our ownership of BKFC under the equity method of accounting and report our equity in the earnings or loss of BKFC on a three-month lag; therefore, its results do not consolidate into ours. Accordingly, our net loss for the three and six months ended June 30, 2024 includes our equity in Black Knight Football’s losses for the three and six months ended March 31, 2024 and our net loss for the three and six months ended June 30, 2023 includes our equity in Black Knight Football's losses for the three months ended March 31, 2023 and the period from December 13, 2022 (the date we acquired our initial interest in BKFC) through March 31, 2023, respectively.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statement of operation information for Black Knight Football for the relevant dates and time periods included in Equity in earnings (losses) of unconsolidated affiliates in our Condensed Consolidated Statements of Operations is presented below.</w:t>
      </w:r>
    </w:p>
    <w:tbl>
      <w:tblPr>
        <w:tblW w:w="10205" w:type="dxa"/>
        <w:jc w:val="left"/>
        <w:tblInd w:w="0" w:type="dxa"/>
        <w:tblLayout w:type="fixed"/>
        <w:tblCellMar>
          <w:top w:w="28" w:type="dxa"/>
          <w:left w:w="28" w:type="dxa"/>
          <w:bottom w:w="28" w:type="dxa"/>
          <w:right w:w="28" w:type="dxa"/>
        </w:tblCellMar>
      </w:tblPr>
      <w:tblGrid>
        <w:gridCol w:w="833"/>
        <w:gridCol w:w="585"/>
        <w:gridCol w:w="588"/>
        <w:gridCol w:w="560"/>
        <w:gridCol w:w="497"/>
        <w:gridCol w:w="500"/>
        <w:gridCol w:w="109"/>
        <w:gridCol w:w="109"/>
        <w:gridCol w:w="109"/>
        <w:gridCol w:w="560"/>
        <w:gridCol w:w="497"/>
        <w:gridCol w:w="500"/>
        <w:gridCol w:w="109"/>
        <w:gridCol w:w="109"/>
        <w:gridCol w:w="109"/>
        <w:gridCol w:w="360"/>
        <w:gridCol w:w="1051"/>
        <w:gridCol w:w="185"/>
        <w:gridCol w:w="109"/>
        <w:gridCol w:w="109"/>
        <w:gridCol w:w="109"/>
        <w:gridCol w:w="602"/>
        <w:gridCol w:w="1459"/>
        <w:gridCol w:w="447"/>
      </w:tblGrid>
      <w:tr>
        <w:trPr/>
        <w:tc>
          <w:tcPr>
            <w:tcW w:w="83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period from December 13, 2022 through March 31, 2023</w:t>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8" w:type="dxa"/>
            <w:gridSpan w:val="3"/>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of unconsolidated affiliates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BKFC</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Black Knight Football's total revenue is primarily attributable to Premier League media rights revenue earned by AFCB and matchday and sponsorship revenue. Total revenues for Black Knight Football increased $13.6 million, or 34.8%, in the three months ended March 31, 2024, compared to the corresponding period in 2023. The increase in revenue was primarily attributable to an increase in matchday and sponsorship revenue. In the three months ended March 31, 2024, total revenue of $49.4 million was more than offset by $43.7 million of personnel cost and $28.0 million of depreciation and amortization of property and equipment and intangible assets by AFCB.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Corporate and Other</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Corporate and Other segment consists of our share in the operations of certain controlled businesses and other equity ownership interests, activity of the corporate holding company and certain intercompany eliminations and taxes.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from operations of our non-reportable Corporate and other segment:</w:t>
      </w:r>
    </w:p>
    <w:tbl>
      <w:tblPr>
        <w:tblW w:w="10205" w:type="dxa"/>
        <w:jc w:val="center"/>
        <w:tblInd w:w="0" w:type="dxa"/>
        <w:tblLayout w:type="fixed"/>
        <w:tblCellMar>
          <w:top w:w="28" w:type="dxa"/>
          <w:left w:w="28" w:type="dxa"/>
          <w:bottom w:w="28" w:type="dxa"/>
          <w:right w:w="28" w:type="dxa"/>
        </w:tblCellMar>
      </w:tblPr>
      <w:tblGrid>
        <w:gridCol w:w="1992"/>
        <w:gridCol w:w="1688"/>
        <w:gridCol w:w="1699"/>
        <w:gridCol w:w="211"/>
        <w:gridCol w:w="682"/>
        <w:gridCol w:w="109"/>
        <w:gridCol w:w="109"/>
        <w:gridCol w:w="109"/>
        <w:gridCol w:w="109"/>
        <w:gridCol w:w="211"/>
        <w:gridCol w:w="577"/>
        <w:gridCol w:w="109"/>
        <w:gridCol w:w="109"/>
        <w:gridCol w:w="109"/>
        <w:gridCol w:w="109"/>
        <w:gridCol w:w="211"/>
        <w:gridCol w:w="682"/>
        <w:gridCol w:w="109"/>
        <w:gridCol w:w="109"/>
        <w:gridCol w:w="109"/>
        <w:gridCol w:w="109"/>
        <w:gridCol w:w="211"/>
        <w:gridCol w:w="577"/>
        <w:gridCol w:w="156"/>
      </w:tblGrid>
      <w:tr>
        <w:trPr/>
        <w:tc>
          <w:tcPr>
            <w:tcW w:w="1992"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investment and other income</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(losses) gains, net</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w:t>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in losses of unconsolidated affiliates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ans-serif" w:hAnsi="Times New Roman;sans-serif"/>
          <w:b/>
          <w:i/>
          <w:color w:val="000000"/>
          <w:sz w:val="20"/>
        </w:rPr>
      </w:pPr>
      <w:r>
        <w:rPr>
          <w:rFonts w:ascii="Times New Roman;sans-serif" w:hAnsi="Times New Roman;sans-serif"/>
          <w:b/>
          <w:i/>
          <w:color w:val="000000"/>
          <w:sz w:val="20"/>
        </w:rPr>
        <w:t>For the Three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Personnel costs increased $9.2 million in the three months ended June 30, 2024, compared to the corresponding period in 2023. The change in personnel costs was primarily driven by a $7.0 million increase in stock-based compensation cost and a $1.5 million increase in success bonuses paid related to our sales of shares of Dayforce.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expenses increased $3.8 million in the three months ended June 30, 2024 compared to the prior year period. The change in the three-month period was primarily driven by increased professional fees and termination fees associated with the termination of the management agreement with Trasimene.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Recognized (losses) gains, net in our Corporate and Other segment consists of the following:</w:t>
      </w:r>
    </w:p>
    <w:tbl>
      <w:tblPr>
        <w:tblW w:w="5518" w:type="dxa"/>
        <w:jc w:val="left"/>
        <w:tblInd w:w="0" w:type="dxa"/>
        <w:tblLayout w:type="fixed"/>
        <w:tblCellMar>
          <w:top w:w="28" w:type="dxa"/>
          <w:left w:w="28" w:type="dxa"/>
          <w:bottom w:w="28" w:type="dxa"/>
          <w:right w:w="28" w:type="dxa"/>
        </w:tblCellMar>
      </w:tblPr>
      <w:tblGrid>
        <w:gridCol w:w="972"/>
        <w:gridCol w:w="855"/>
        <w:gridCol w:w="857"/>
        <w:gridCol w:w="211"/>
        <w:gridCol w:w="691"/>
        <w:gridCol w:w="109"/>
        <w:gridCol w:w="109"/>
        <w:gridCol w:w="109"/>
        <w:gridCol w:w="109"/>
        <w:gridCol w:w="211"/>
        <w:gridCol w:w="586"/>
        <w:gridCol w:w="109"/>
        <w:gridCol w:w="109"/>
        <w:gridCol w:w="109"/>
        <w:gridCol w:w="109"/>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Dayforce fair value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 fair value adjustments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Sightline impairment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fair value adjustments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losses,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ans-serif" w:hAnsi="Times New Roman;sans-serif"/>
          <w:b/>
          <w:i/>
          <w:color w:val="000000"/>
          <w:sz w:val="20"/>
        </w:rPr>
      </w:pPr>
      <w:r>
        <w:rPr>
          <w:rFonts w:ascii="Times New Roman;sans-serif" w:hAnsi="Times New Roman;sans-serif"/>
          <w:b/>
          <w:i/>
          <w:color w:val="000000"/>
          <w:sz w:val="20"/>
        </w:rPr>
        <w:t>For the Six Months Ended June 30, 2024</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Personnel costs increased $17.5 million in the six months ended June 30, 2024, compared to the corresponding period in 2023. The change in personnel costs was primarily driven by a $9.8 million increase in stock-based compensation cost and a $6.8 million increase in success bonuses paid related to our sales of shares of Dayforce.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expenses increased $11.9 million in the six months ended June 30, 2024 compared to the prior year period. The increase in the six month period was primarily driven by increased professional fees and termination fees associated with the termination of the management agreement with Trasimene. </w:t>
      </w:r>
    </w:p>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Recognized (losses) gains, net in our Corporate and Other segment consists of the following:</w:t>
      </w:r>
    </w:p>
    <w:tbl>
      <w:tblPr>
        <w:tblW w:w="8952" w:type="dxa"/>
        <w:jc w:val="left"/>
        <w:tblInd w:w="0" w:type="dxa"/>
        <w:tblLayout w:type="fixed"/>
        <w:tblCellMar>
          <w:top w:w="28" w:type="dxa"/>
          <w:left w:w="28" w:type="dxa"/>
          <w:bottom w:w="28" w:type="dxa"/>
          <w:right w:w="28" w:type="dxa"/>
        </w:tblCellMar>
      </w:tblPr>
      <w:tblGrid>
        <w:gridCol w:w="1955"/>
        <w:gridCol w:w="1720"/>
        <w:gridCol w:w="1724"/>
        <w:gridCol w:w="109"/>
        <w:gridCol w:w="109"/>
        <w:gridCol w:w="179"/>
        <w:gridCol w:w="179"/>
        <w:gridCol w:w="347"/>
        <w:gridCol w:w="1139"/>
        <w:gridCol w:w="179"/>
        <w:gridCol w:w="109"/>
        <w:gridCol w:w="109"/>
        <w:gridCol w:w="109"/>
        <w:gridCol w:w="211"/>
        <w:gridCol w:w="511"/>
        <w:gridCol w:w="109"/>
        <w:gridCol w:w="154"/>
      </w:tblGrid>
      <w:tr>
        <w:trPr/>
        <w:tc>
          <w:tcPr>
            <w:tcW w:w="1955"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4"/>
            <w:tcBorders/>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Dayforce fair value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 fair value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Sightline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and other security impairments and fair value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 dilution and partial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 dilution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(losses) gains,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Cash Requirements.</w:t>
      </w:r>
      <w:r>
        <w:rPr>
          <w:color w:val="000000"/>
        </w:rPr>
        <w:t xml:space="preserve"> </w:t>
      </w:r>
      <w:r>
        <w:rPr>
          <w:rFonts w:ascii="Times New Roman;sans-serif" w:hAnsi="Times New Roman;sans-serif"/>
          <w:b w:val="false"/>
          <w:color w:val="000000"/>
          <w:sz w:val="20"/>
        </w:rPr>
        <w:t>Our short and long term cash requirements include management fees, personnel costs, other operating expenses, taxes, payments of interest and principal on our debt, capital expenditures, dividends on our common stock, and other potential business acquisitions or investments, including the JANA Fund Commitment. On July 30, 2024, our Board declared cash dividends of $0.12 per share, payable on September 30, 2024, to Cannae common shareholders of record as of September 16, 2024. There are no restrictions on our retained earnings regarding our ability to pay dividends to stockholders. The declaration of any future dividends is at the discretion of our Board. Additional uses of cash flow over the short and long term are expected to include stock repurchases and debt repayments.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cash and cash equivalents of $45.7 million, of which $28.9 million was cash held by the corporate holding company, $8.9 million of short-term investments held by the corporate holding company, and $150.0 million of capacity under our existing holding company credit facilities with the ability to add an additional $350.0 million of borrowing capacity by amending our 2020 Margin Facility. As of June 30, 2024, $8.8 million of our short term investments are pledged as collateral for letters of credit for our Restaurant Group.</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assess our capital allocation strategy, including decisions relating to monetizing investments,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evaluating our assets and ownership interests as potential vehicles for creating liquidity. Our intent is to use that liquidity for general corporate purposes, including future acquisitions, potentially reducing debt, repurchasing shares of our stock, paying dividends on our stock, other strategic initiatives and/or conserving cash.</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Flows for the Six Months Ended June 30, 2024</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Operating Cash Flow</w:t>
      </w:r>
      <w:r>
        <w:rPr>
          <w:rFonts w:ascii="Times New Roman;sans-serif" w:hAnsi="Times New Roman;sans-serif"/>
          <w:b w:val="false"/>
          <w:color w:val="000000"/>
          <w:sz w:val="20"/>
        </w:rPr>
        <w:t>. Our cash flows used in operations for the six months ended June 30, 2024 and 2023 totaled $46.2 million and $34.6 million, respectively. The increase in cash used in operations of $11.6 million is primarily attributable to increased investment success bonuses paid related to sales of Dayforce and professional fees and termination fees associated with the Third Amended MSA.</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 xml:space="preserve">Investing Cash Flows. </w:t>
      </w:r>
      <w:r>
        <w:rPr>
          <w:rFonts w:ascii="Times New Roman;sans-serif" w:hAnsi="Times New Roman;sans-serif"/>
          <w:b w:val="false"/>
          <w:color w:val="000000"/>
          <w:sz w:val="20"/>
        </w:rPr>
        <w:t>Our cash flows provided by (used in) investing activities for the six months ended June 30, 2024 and 2023 were $252.5 million and $(51.0) million, respectively. The increase in cash provided by investing activities of $303.5 million in the 2024 period from the 2023 period is primarily attributable to higher proceeds from sales of investments and a decrease in new investments made in the 2024 period compared to the 2023 period.</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 xml:space="preserve">Financing Cash Flows. </w:t>
      </w:r>
      <w:r>
        <w:rPr>
          <w:rFonts w:ascii="Times New Roman;sans-serif" w:hAnsi="Times New Roman;sans-serif"/>
          <w:b w:val="false"/>
          <w:color w:val="000000"/>
          <w:sz w:val="20"/>
        </w:rPr>
        <w:t>Our cash flows used in financing activities for the six months ended June 30, 2024 and 2023 were $266.8 million and $49.4 million, respectively. The increase in cash used in financing activities of $217.4 million is primarily attributable to the Tender Offer, partial repayment of the FNF Note and dividends paid in the six months ended June 30, 2024, partially offset by treasury repurchases in the six months ended June 30, 2023.</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 xml:space="preserve">Financing Arrangements. </w:t>
      </w:r>
      <w:r>
        <w:rPr>
          <w:rFonts w:ascii="Times New Roman;sans-serif" w:hAnsi="Times New Roman;sans-serif"/>
          <w:b w:val="false"/>
          <w:color w:val="000000"/>
          <w:sz w:val="20"/>
        </w:rPr>
        <w:t xml:space="preserve">For a description of our financing arrangements, see Note G -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included in Item 1 of Part I of this Quarterly Report, which is incorporated by reference into this Item 2 of Part 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Seasonality.</w:t>
      </w:r>
      <w:r>
        <w:rPr>
          <w:color w:val="000000"/>
        </w:rPr>
        <w:t> </w:t>
      </w:r>
      <w:r>
        <w:rPr>
          <w:rFonts w:ascii="Times New Roman;sans-serif" w:hAnsi="Times New Roman;sans-serif"/>
          <w:b w:val="false"/>
          <w:color w:val="000000"/>
          <w:sz w:val="20"/>
        </w:rPr>
        <w:t>There have been no material changes to the seasonality experienced in our businesses from those described for the period as of and for the year ended December 31, 2023 included in our Annual Report.</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Contractual Obligations.</w:t>
      </w:r>
      <w:r>
        <w:rPr>
          <w:color w:val="000000"/>
        </w:rPr>
        <w:t xml:space="preserve"> </w:t>
      </w:r>
      <w:r>
        <w:rPr>
          <w:rFonts w:ascii="Times New Roman;sans-serif" w:hAnsi="Times New Roman;sans-serif"/>
          <w:b w:val="false"/>
          <w:color w:val="000000"/>
          <w:sz w:val="20"/>
        </w:rPr>
        <w:t>Our long-term contractual obligations generally include our credit agreements and other debt facilities, lease payments and financing obligations on certain of our premises and equipment, purchase obligations of the Restaurant Group and payments to our Manager.</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Operating lease payments include the expected future rent payments of the Company and its operating subsidiaries, primarily for the Restaurant Group. The operating leases are accounted for pursuant to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June 30, 2024 to determine the amount of these obligations.</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26, 2024, the Company, Cannae LLC and Trasimene entered into the Third Amended MSA. The Third Amended MSA amends the management services agreement primarily to (i) provide for a termination of the agreement by the Company effective June 30, 2027, (ii) reduce the management fee to a fixed amount of $7.6 million annually effective beginning July 2, 2024 and (iii) provide for payment of the termination fee under the agreement of $20 million to be paid by the Company to Trasimene in installments of $6.7 million annually over the three-year period ended July 1, 2026. The Third Amended has a termination date of June 30, 2027 unless earlier terminated by the Company or Trasimene.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Restaurant Group financing obligations include its agreements to lease its corporate office and certain restaurant equipment, which are accounted for as failed sale and leaseback transactions.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required future payments relating to these contractual obligations were as follows:</w:t>
      </w:r>
    </w:p>
    <w:tbl>
      <w:tblPr>
        <w:tblW w:w="10205" w:type="dxa"/>
        <w:jc w:val="left"/>
        <w:tblInd w:w="0" w:type="dxa"/>
        <w:tblLayout w:type="fixed"/>
        <w:tblCellMar>
          <w:top w:w="28" w:type="dxa"/>
          <w:left w:w="28" w:type="dxa"/>
          <w:bottom w:w="28" w:type="dxa"/>
          <w:right w:w="28" w:type="dxa"/>
        </w:tblCellMar>
      </w:tblPr>
      <w:tblGrid>
        <w:gridCol w:w="897"/>
        <w:gridCol w:w="582"/>
        <w:gridCol w:w="586"/>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5"/>
      </w:tblGrid>
      <w:tr>
        <w:trPr/>
        <w:tc>
          <w:tcPr>
            <w:tcW w:w="89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140"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payments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Unconditional purchase obligations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payable to Manager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Group financing obligations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Capital Stock Transactions</w:t>
      </w:r>
      <w:r>
        <w:rPr>
          <w:rFonts w:ascii="Times New Roman;sans-serif" w:hAnsi="Times New Roman;sans-serif"/>
          <w:b w:val="false"/>
          <w:color w:val="000000"/>
          <w:sz w:val="20"/>
        </w:rPr>
        <w:t>. On August 3, 2022, our Board authorized a three-year stock repurchase program (the "2022 Repurchase Program"), under which the Company may repurchase up to 10.0 million shares of its common stock. Purchases may be made from time to time in the open market at prevailing prices or in privately negotiated transactions through August 3, 2025. The repurchase program does not obligate the Company to acquire any specific number of shares and may be suspended or terminated at any time.</w:t>
      </w:r>
    </w:p>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repurchased 300,000 shares of Cannae common stock for $5.6 million, or an average of $18.80 per share pursuant to the 2022 Repurchase Program during the three months ended June 30, 2024. Since the original commencement of the 2022 Repurchase Program through market close on June 30, 2024, we have repurchased a total of 7,704,537 shares of Cannae common stock for approximately $151.0 million in the aggregate, or an average of $19.59 per share. As of the date of this Quarterly Report, there are 2,295,463 shares available for repurchase under the 2022 Repurchase Program.</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29, 2023, our Board authorized a new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 We have not made any purchases under the 2023 Repurchase Program. As of the date of this Quarterly Report, there are 10.0 million shares available for repurchase under the 2023 Repurchase Program.</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21, 2024, we issued 1.85 million shares of common stock of the Company from the Company’s treasury and paid $18.3 million in cash, in the aggregate, to certain partners of JANA Partners Capital, LLC and JANA Partners Management, LP (together, "JANA") in exchange for a 19.99% equity interest in JANA. </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21, 2024, we announced a tender offer to purchase up to $200 million of shares of our common stock at a purchase price of not less than $20.75 per share and not greater than $23.75 per share (the "Tender Offer"). We conducted the Tender Offer through a procedure commonly referred to as a "modified Dutch auction." This procedure allows shareholders to select the price within a price range specified by us at which the shareholders are willing to sell their shares. </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the Tender Offer expired and the Company accepted for purchase an aggregate of 9,672,540 shares of its common stock that were properly tendered and not properly withdrawn at or below a purchase price of $22.95 per share for an aggregate cost of $222.0 million, excluding fees and expenses. Included in the 9,672,540 shares of Cannae common stock we accepted for purchase in the Tender Offer are 957,943 shares that Cannae elected to purchase pursuant to its right to purchase up to an additional 2% of its outstanding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there have been no material changes in the market risks described in Part II, Item 7A "Quantitative and Qualitative Disclosures about Market Risk"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Quarterly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SEC’s rules and forms; and (b) accumulated and communicated to management, including our principal executive and principal financial officers, as appropriate to allow timely decisions regarding required disclosure.</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that occurred during the quarter ended June 30,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See discussion of legal proceedings in Note H -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to the Condensed Consolidated Financial Statements included in Item 1 of Part I of this Quarterly Report, which is incorporated by reference into this Item 1 of 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0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"Item 1A. Risk Factors" included in our Annual Report on Form 10-K for the year ended December 31, 2023, which are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tbl>
      <w:tblPr>
        <w:tblW w:w="5785" w:type="dxa"/>
        <w:jc w:val="left"/>
        <w:tblInd w:w="0" w:type="dxa"/>
        <w:tblLayout w:type="fixed"/>
        <w:tblCellMar>
          <w:top w:w="28" w:type="dxa"/>
          <w:left w:w="28" w:type="dxa"/>
          <w:bottom w:w="28" w:type="dxa"/>
          <w:right w:w="28" w:type="dxa"/>
        </w:tblCellMar>
      </w:tblPr>
      <w:tblGrid>
        <w:gridCol w:w="239"/>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96"/>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578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There were no unregistered sales of equity securities sold during the period covered by this Quarterly Report that were not previously included in a Current Report on Form 8-K</w:t>
      </w:r>
      <w:r>
        <w:rPr>
          <w:rFonts w:ascii="Times New Roman;sans-serif" w:hAnsi="Times New Roman;sans-serif"/>
          <w:b w:val="false"/>
          <w:color w:val="00808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repurchases of equity securities by the Company during the three months ended June 30, 2024:</w:t>
      </w:r>
    </w:p>
    <w:tbl>
      <w:tblPr>
        <w:tblW w:w="10205" w:type="dxa"/>
        <w:jc w:val="left"/>
        <w:tblInd w:w="0" w:type="dxa"/>
        <w:tblLayout w:type="fixed"/>
        <w:tblCellMar>
          <w:top w:w="28" w:type="dxa"/>
          <w:left w:w="28" w:type="dxa"/>
          <w:bottom w:w="28" w:type="dxa"/>
          <w:right w:w="28" w:type="dxa"/>
        </w:tblCellMar>
      </w:tblPr>
      <w:tblGrid>
        <w:gridCol w:w="324"/>
        <w:gridCol w:w="285"/>
        <w:gridCol w:w="288"/>
        <w:gridCol w:w="109"/>
        <w:gridCol w:w="109"/>
        <w:gridCol w:w="109"/>
        <w:gridCol w:w="747"/>
        <w:gridCol w:w="436"/>
        <w:gridCol w:w="437"/>
        <w:gridCol w:w="109"/>
        <w:gridCol w:w="109"/>
        <w:gridCol w:w="109"/>
        <w:gridCol w:w="289"/>
        <w:gridCol w:w="845"/>
        <w:gridCol w:w="149"/>
        <w:gridCol w:w="109"/>
        <w:gridCol w:w="109"/>
        <w:gridCol w:w="109"/>
        <w:gridCol w:w="920"/>
        <w:gridCol w:w="754"/>
        <w:gridCol w:w="757"/>
        <w:gridCol w:w="109"/>
        <w:gridCol w:w="109"/>
        <w:gridCol w:w="109"/>
        <w:gridCol w:w="1078"/>
        <w:gridCol w:w="654"/>
        <w:gridCol w:w="934"/>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Average Price Paid per Share </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as Part of Publicly Announced Plans or Programs </w:t>
            </w:r>
            <w:r>
              <w:rPr>
                <w:rFonts w:ascii="Times New Roman;sans-serif" w:hAnsi="Times New Roman;sans-serif"/>
                <w:b/>
                <w:color w:val="000000"/>
                <w:sz w:val="10"/>
              </w:rPr>
              <w:t>(1)(2)(3)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Maximum Number of Shares that May Yet Be Purchased Under the Plans or Programs </w:t>
            </w:r>
            <w:r>
              <w:rPr>
                <w:rFonts w:ascii="Times New Roman;sans-serif" w:hAnsi="Times New Roman;sans-serif"/>
                <w:b/>
                <w:color w:val="000000"/>
                <w:sz w:val="10"/>
              </w:rPr>
              <w:t>(4)</w:t>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4/1/2024 - 4/30/2024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9,672,540 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12,595,463 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5/1/2024 - 5/31/2024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12,295,463 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6/1/2024 - 6/30/2024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12,295,463 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9,972,540 </w:t>
            </w:r>
          </w:p>
        </w:tc>
        <w:tc>
          <w:tcPr>
            <w:tcW w:w="4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7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On August 3, 2022, our Board approved the 2022 Repurchase Program, under which we may purchase up to 10 million shares of our CNNE common stock through August 3, 2025.</w:t>
      </w:r>
    </w:p>
    <w:p>
      <w:pPr>
        <w:pStyle w:val="TextBody"/>
        <w:bidi w:val="0"/>
        <w:spacing w:lineRule="auto" w:line="288" w:before="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On October 29, 2023, our Board approved the 2023 Repurchase Program, under which we may purchase up to 10 million shares of our CNNE common stock.</w:t>
      </w:r>
    </w:p>
    <w:p>
      <w:pPr>
        <w:pStyle w:val="TextBody"/>
        <w:bidi w:val="0"/>
        <w:spacing w:lineRule="auto" w:line="288" w:before="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On April 1, 2024, we completed the Tender Offer through a procedure commonly referred to as a "modified Dutch auction" to purchase 9,672,540 shares of our CNNE common stock at a price of $23.11 per share, inclusive of transaction fees.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As of the last day of the applicable month.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43" w:type="dxa"/>
        <w:jc w:val="left"/>
        <w:tblInd w:w="0" w:type="dxa"/>
        <w:tblLayout w:type="fixed"/>
        <w:tblCellMar>
          <w:top w:w="28" w:type="dxa"/>
          <w:left w:w="28" w:type="dxa"/>
          <w:bottom w:w="28" w:type="dxa"/>
          <w:right w:w="28" w:type="dxa"/>
        </w:tblCellMar>
      </w:tblPr>
      <w:tblGrid>
        <w:gridCol w:w="142"/>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76"/>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(a) Exhibits: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9"/>
        <w:gridCol w:w="253"/>
        <w:gridCol w:w="260"/>
        <w:gridCol w:w="109"/>
        <w:gridCol w:w="109"/>
        <w:gridCol w:w="109"/>
        <w:gridCol w:w="2701"/>
        <w:gridCol w:w="2635"/>
        <w:gridCol w:w="3730"/>
      </w:tblGrid>
      <w:tr>
        <w:trPr/>
        <w:tc>
          <w:tcPr>
            <w:tcW w:w="2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Plan of Conversion (incorporated by reference to Exhibit 2.1 to the Company’s Current Report on Form 8-K, filed June 20, 2024).</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Articles of Incorporation of Cannae Holdings, Inc. (incorporated by reference to Exhibit 3.1 to the Company’s Current Report on Form 8-K, filed June 20, 2024).</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Bylaws of Cannae Holdings, Inc. (incorporated by reference to Exhibit 3.2 to the Company’s Current Report on Form 8-K, filed June 20, 2024).</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Amended and Restated 2017 Omnibus Incentive Plan (incorporated by reference to Exhibit 10.1 to the Company’s Current Report on Form 8-K, filed June 20, 2024).</w:t>
              </w:r>
            </w:hyperlink>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6"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112024-q2.htm">
              <w:r>
                <w:rPr>
                  <w:rStyle w:val="InternetLink"/>
                  <w:rFonts w:ascii="Times New Roman;sans-serif" w:hAnsi="Times New Roman;sans-serif"/>
                  <w:b w:val="false"/>
                  <w:color w:val="0000FF"/>
                  <w:sz w:val="20"/>
                  <w:u w:val="single"/>
                </w:rPr>
                <w:t>Certification of Principal Executive Officer pursuant to Section 302 of the Sarbanes-Oxley Act of 2002.</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122024-q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212024-q2.htm">
              <w:r>
                <w:rPr>
                  <w:rStyle w:val="InternetLink"/>
                  <w:rFonts w:ascii="Times New Roman;sans-serif" w:hAnsi="Times New Roman;sans-serif"/>
                  <w:b w:val="false"/>
                  <w:color w:val="0000FF"/>
                  <w:sz w:val="20"/>
                  <w:u w:val="single"/>
                </w:rPr>
                <w:t>Certification by Principal Executive Officer of Periodic Financial Reports pursuant to Section 906 of the Sarbanes-Oxley Act of 2002, 18 U.S.C. Section 1350.</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222024-q2.htm">
              <w:r>
                <w:rPr>
                  <w:rStyle w:val="InternetLink"/>
                  <w:rFonts w:ascii="Times New Roman;sans-serif" w:hAnsi="Times New Roman;sans-serif"/>
                  <w:b w:val="false"/>
                  <w:color w:val="0000FF"/>
                  <w:sz w:val="20"/>
                  <w:u w:val="single"/>
                </w:rPr>
                <w:t>Certification by Chief Financial Officer of Periodic Financial Reports pursuant to Section 906 of the Sarbanes-Oxley Act of 2002, 18 U.S.C. Section 1350.</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 in accordance with Item 601(b)(32) of Regulation S-K.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The instance document does not appear in the interactive data file because its XBRL tags are embedded within the inline XBRL document.</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e27eb5680b94295bdce77097ef841ca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120" w:after="12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22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394"/>
        <w:gridCol w:w="394"/>
        <w:gridCol w:w="394"/>
        <w:gridCol w:w="1253"/>
        <w:gridCol w:w="1253"/>
        <w:gridCol w:w="12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4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CANNAE HOLDINGS, INC.</w:t>
              <w:br/>
              <w:t>(registrant)</w:t>
              <w:b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right"/>
        <w:rPr/>
      </w:pPr>
      <w:r>
        <w:rPr>
          <w:rFonts w:ascii="Times New Roman;sans-serif" w:hAnsi="Times New Roman;sans-serif"/>
          <w:b/>
          <w:color w:val="000000"/>
          <w:sz w:val="20"/>
        </w:rPr>
        <w:t>Exhibit 31.1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0"/>
        </w:rPr>
        <w:t>CERTIFICATIONS</w:t>
      </w:r>
      <w:r>
        <w:rPr>
          <w:color w:val="000000"/>
        </w:rPr>
        <w:t xml:space="preserve"> </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Ryan R. Caswell, certify that: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Cannae Holdings, Inc.;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2024 </w:t>
      </w:r>
    </w:p>
    <w:tbl>
      <w:tblPr>
        <w:tblW w:w="424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021"/>
        <w:gridCol w:w="1021"/>
        <w:gridCol w:w="145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Ryan R. Caswell</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Ryan R. Caswell </w:t>
              <w:br/>
              <w:t>President and Principal Executive Officer</w:t>
            </w:r>
          </w:p>
        </w:tc>
      </w:tr>
    </w:tbl>
    <w:p>
      <w:pPr>
        <w:pStyle w:val="TextBody"/>
        <w:bidi w:val="0"/>
        <w:spacing w:before="0" w:after="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ans-serif" w:hAnsi="Times New Roman;sans-serif"/>
          <w:b/>
          <w:color w:val="000000"/>
          <w:sz w:val="20"/>
        </w:rPr>
        <w:t>Exhibit 31.2</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0"/>
        </w:rPr>
        <w:t>CERTIFICATIONS</w:t>
      </w:r>
      <w:r>
        <w:rPr>
          <w:color w:val="000000"/>
        </w:rPr>
        <w:t xml:space="preserve"> </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Bryan D. Coy, certify that: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Cannae Holdings, Inc.;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2024 </w:t>
      </w:r>
    </w:p>
    <w:tbl>
      <w:tblPr>
        <w:tblW w:w="529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323"/>
        <w:gridCol w:w="1323"/>
        <w:gridCol w:w="189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D. Coy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D. Coy</w:t>
              <w:br/>
              <w:t>Chief Financial Officer and Principal Financial Officer</w:t>
            </w:r>
          </w:p>
        </w:tc>
      </w:tr>
    </w:tbl>
    <w:p>
      <w:pPr>
        <w:pStyle w:val="TextBody"/>
        <w:bidi w:val="0"/>
        <w:spacing w:before="0" w:after="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pPr>
      <w:r>
        <w:rPr>
          <w:rFonts w:ascii="Times New Roman;sans-serif" w:hAnsi="Times New Roman;sans-serif"/>
          <w:b/>
          <w:color w:val="000000"/>
          <w:sz w:val="20"/>
        </w:rPr>
        <w:t>Exhibit 32.1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0"/>
        </w:rPr>
        <w:t>CERTIFICATION OF PERIODIC FINANCIAL REPORTS PURSUANT TO 18 U.S.C. §1350</w:t>
      </w:r>
      <w:r>
        <w:rPr>
          <w:color w:val="000000"/>
        </w:rPr>
        <w:t xml:space="preserve"> </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The undersigned hereby certifies that he is the duly appointed and acting Principal Executive Officer of Cannae Holdings, Inc., a Delaware corporation (the “Company”), and hereby further certifies as follows. </w:t>
      </w:r>
    </w:p>
    <w:p>
      <w:pPr>
        <w:pStyle w:val="TextBody"/>
        <w:bidi w:val="0"/>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before="0" w:after="0"/>
        <w:jc w:val="both"/>
        <w:rPr/>
      </w:pPr>
      <w:r>
        <w:rPr/>
      </w:r>
    </w:p>
    <w:p>
      <w:pPr>
        <w:pStyle w:val="TextBody"/>
        <w:bidi w:val="0"/>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In witness whereof, the undersigned has executed and delivered this certificate as of the date set forth opposite his signature below.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2024 </w:t>
      </w:r>
    </w:p>
    <w:tbl>
      <w:tblPr>
        <w:tblW w:w="4241" w:type="dxa"/>
        <w:jc w:val="left"/>
        <w:tblInd w:w="0" w:type="dxa"/>
        <w:tblLayout w:type="fixed"/>
        <w:tblCellMar>
          <w:top w:w="28" w:type="dxa"/>
          <w:left w:w="28" w:type="dxa"/>
          <w:bottom w:w="28" w:type="dxa"/>
          <w:right w:w="28" w:type="dxa"/>
        </w:tblCellMar>
      </w:tblPr>
      <w:tblGrid>
        <w:gridCol w:w="151"/>
        <w:gridCol w:w="134"/>
        <w:gridCol w:w="135"/>
        <w:gridCol w:w="1148"/>
        <w:gridCol w:w="1148"/>
        <w:gridCol w:w="1153"/>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Ryan R. Caswell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R. Caswell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ans-serif" w:hAnsi="Times New Roman;sans-serif"/>
          <w:b/>
          <w:color w:val="000000"/>
          <w:sz w:val="20"/>
        </w:rPr>
        <w:t>Exhibit 32.2</w:t>
      </w:r>
      <w:r>
        <w:rPr>
          <w:color w:val="000000"/>
        </w:rPr>
        <w:t xml:space="preserve"> </w:t>
      </w:r>
    </w:p>
    <w:p>
      <w:pPr>
        <w:pStyle w:val="TextBody"/>
        <w:bidi w:val="0"/>
        <w:spacing w:before="0" w:after="0"/>
        <w:jc w:val="right"/>
        <w:rPr/>
      </w:pPr>
      <w:r>
        <w:rPr/>
      </w:r>
    </w:p>
    <w:p>
      <w:pPr>
        <w:pStyle w:val="TextBody"/>
        <w:bidi w:val="0"/>
        <w:spacing w:lineRule="auto" w:line="288" w:before="0" w:after="180"/>
        <w:jc w:val="center"/>
        <w:rPr/>
      </w:pPr>
      <w:r>
        <w:rPr>
          <w:rFonts w:ascii="Times New Roman;sans-serif" w:hAnsi="Times New Roman;sans-serif"/>
          <w:b/>
          <w:color w:val="000000"/>
          <w:sz w:val="20"/>
        </w:rPr>
        <w:t>CERTIFICATION OF PERIODIC FINANCIAL REPORTS PURSUANT TO 18 U.S.C. §1350</w:t>
      </w:r>
      <w:r>
        <w:rPr>
          <w:color w:val="000000"/>
        </w:rPr>
        <w:t xml:space="preserve"> </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The undersigned hereby certifies that he is the duly appointed and acting Chief Financial Officer of Cannae Holdings, Inc., a Delaware corporation (the “Company”), and hereby further certifies as follows. </w:t>
      </w:r>
    </w:p>
    <w:p>
      <w:pPr>
        <w:pStyle w:val="TextBody"/>
        <w:bidi w:val="0"/>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before="0" w:after="0"/>
        <w:jc w:val="both"/>
        <w:rPr/>
      </w:pPr>
      <w:r>
        <w:rPr/>
      </w:r>
    </w:p>
    <w:p>
      <w:pPr>
        <w:pStyle w:val="TextBody"/>
        <w:bidi w:val="0"/>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In witness whereof, the undersigned has executed and delivered this certificate as of the date set forth opposite his signature below.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2024 </w:t>
      </w:r>
    </w:p>
    <w:tbl>
      <w:tblPr>
        <w:tblW w:w="5352" w:type="dxa"/>
        <w:jc w:val="left"/>
        <w:tblInd w:w="0" w:type="dxa"/>
        <w:tblLayout w:type="fixed"/>
        <w:tblCellMar>
          <w:top w:w="28" w:type="dxa"/>
          <w:left w:w="28" w:type="dxa"/>
          <w:bottom w:w="28" w:type="dxa"/>
          <w:right w:w="28" w:type="dxa"/>
        </w:tblCellMar>
      </w:tblPr>
      <w:tblGrid>
        <w:gridCol w:w="173"/>
        <w:gridCol w:w="153"/>
        <w:gridCol w:w="154"/>
        <w:gridCol w:w="1497"/>
        <w:gridCol w:w="1497"/>
        <w:gridCol w:w="1506"/>
        <w:gridCol w:w="109"/>
        <w:gridCol w:w="109"/>
        <w:gridCol w:w="154"/>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By:</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704720/000170472024000059/cnne-20240619.htm" TargetMode="External"/><Relationship Id="rId3" Type="http://schemas.openxmlformats.org/officeDocument/2006/relationships/hyperlink" Target="https://www.sec.gov/ix?doc=/Archives/edgar/data/1704720/000170472024000059/cnne-20240619.htm" TargetMode="External"/><Relationship Id="rId4" Type="http://schemas.openxmlformats.org/officeDocument/2006/relationships/hyperlink" Target="https://www.sec.gov/ix?doc=/Archives/edgar/data/1704720/000170472024000059/cnne-20240619.htm" TargetMode="External"/><Relationship Id="rId5" Type="http://schemas.openxmlformats.org/officeDocument/2006/relationships/hyperlink" Target="https://www.sec.gov/ix?doc=/Archives/edgar/data/1704720/000170472024000059/cnne-20240619.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18759</Words>
  <Characters>102440</Characters>
  <CharactersWithSpaces>119878</CharactersWithSpaces>
  <Paragraphs>3188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