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539" w:type="dxa"/>
        <w:jc w:val="center"/>
        <w:tblInd w:w="0" w:type="dxa"/>
        <w:tblCellMar>
          <w:top w:w="28" w:type="dxa"/>
          <w:left w:w="28" w:type="dxa"/>
          <w:bottom w:w="28" w:type="dxa"/>
          <w:right w:w="28" w:type="dxa"/>
        </w:tblCellMar>
      </w:tblPr>
      <w:tblGrid>
        <w:gridCol w:w="124"/>
        <w:gridCol w:w="109"/>
        <w:gridCol w:w="109"/>
        <w:gridCol w:w="109"/>
        <w:gridCol w:w="109"/>
        <w:gridCol w:w="109"/>
        <w:gridCol w:w="2887"/>
        <w:gridCol w:w="2887"/>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539" w:type="dxa"/>
        <w:jc w:val="center"/>
        <w:tblInd w:w="0" w:type="dxa"/>
        <w:tblCellMar>
          <w:top w:w="28" w:type="dxa"/>
          <w:left w:w="28" w:type="dxa"/>
          <w:bottom w:w="28" w:type="dxa"/>
          <w:right w:w="28" w:type="dxa"/>
        </w:tblCellMar>
      </w:tblPr>
      <w:tblGrid>
        <w:gridCol w:w="124"/>
        <w:gridCol w:w="109"/>
        <w:gridCol w:w="109"/>
        <w:gridCol w:w="109"/>
        <w:gridCol w:w="109"/>
        <w:gridCol w:w="109"/>
        <w:gridCol w:w="2890"/>
        <w:gridCol w:w="2890"/>
        <w:gridCol w:w="409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0" w:type="dxa"/>
            <w:tcBorders/>
            <w:shd w:fill="auto" w:val="clear"/>
            <w:vAlign w:val="center"/>
          </w:tcPr>
          <w:p>
            <w:pPr>
              <w:pStyle w:val="TableContents"/>
              <w:spacing w:before="0" w:after="283"/>
              <w:rPr>
                <w:sz w:val="4"/>
                <w:szCs w:val="4"/>
              </w:rPr>
            </w:pPr>
            <w:r>
              <w:rPr>
                <w:sz w:val="4"/>
                <w:szCs w:val="4"/>
              </w:rPr>
            </w:r>
          </w:p>
        </w:tc>
        <w:tc>
          <w:tcPr>
            <w:tcW w:w="2890" w:type="dxa"/>
            <w:tcBorders/>
            <w:shd w:fill="auto" w:val="clear"/>
            <w:vAlign w:val="center"/>
          </w:tcPr>
          <w:p>
            <w:pPr>
              <w:pStyle w:val="TableContents"/>
              <w:spacing w:before="0" w:after="283"/>
              <w:rPr>
                <w:sz w:val="4"/>
                <w:szCs w:val="4"/>
              </w:rPr>
            </w:pPr>
            <w:r>
              <w:rPr>
                <w:sz w:val="4"/>
                <w:szCs w:val="4"/>
              </w:rPr>
            </w:r>
          </w:p>
        </w:tc>
        <w:tc>
          <w:tcPr>
            <w:tcW w:w="409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20" w:after="12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1-38300 </w:t>
      </w:r>
    </w:p>
    <w:p>
      <w:pPr>
        <w:pStyle w:val="TextBody"/>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CANNAE HOLDINGS, INC. </w:t>
      </w:r>
    </w:p>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______________________________________________________________________________________________________________________________________________________</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555" w:type="dxa"/>
        <w:jc w:val="center"/>
        <w:tblInd w:w="0" w:type="dxa"/>
        <w:tblCellMar>
          <w:top w:w="28" w:type="dxa"/>
          <w:left w:w="28" w:type="dxa"/>
          <w:bottom w:w="28" w:type="dxa"/>
          <w:right w:w="28" w:type="dxa"/>
        </w:tblCellMar>
      </w:tblPr>
      <w:tblGrid>
        <w:gridCol w:w="878"/>
        <w:gridCol w:w="772"/>
        <w:gridCol w:w="779"/>
        <w:gridCol w:w="170"/>
        <w:gridCol w:w="170"/>
        <w:gridCol w:w="170"/>
        <w:gridCol w:w="339"/>
        <w:gridCol w:w="339"/>
        <w:gridCol w:w="341"/>
        <w:gridCol w:w="170"/>
        <w:gridCol w:w="170"/>
        <w:gridCol w:w="170"/>
        <w:gridCol w:w="250"/>
        <w:gridCol w:w="250"/>
        <w:gridCol w:w="251"/>
        <w:gridCol w:w="109"/>
        <w:gridCol w:w="109"/>
        <w:gridCol w:w="109"/>
        <w:gridCol w:w="586"/>
        <w:gridCol w:w="586"/>
        <w:gridCol w:w="837"/>
      </w:tblGrid>
      <w:tr>
        <w:trPr/>
        <w:tc>
          <w:tcPr>
            <w:tcW w:w="87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r>
      <w:tr>
        <w:trPr/>
        <w:tc>
          <w:tcPr>
            <w:tcW w:w="5219"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82-1273460</w:t>
            </w:r>
          </w:p>
        </w:tc>
      </w:tr>
      <w:tr>
        <w:trPr/>
        <w:tc>
          <w:tcPr>
            <w:tcW w:w="521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Number)</w:t>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1701 Village Center Circle,</w:t>
            </w:r>
          </w:p>
        </w:tc>
        <w:tc>
          <w:tcPr>
            <w:tcW w:w="51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w:t>
            </w:r>
          </w:p>
        </w:tc>
        <w:tc>
          <w:tcPr>
            <w:tcW w:w="51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89134</w:t>
            </w:r>
          </w:p>
        </w:tc>
      </w:tr>
      <w:tr>
        <w:trPr/>
        <w:tc>
          <w:tcPr>
            <w:tcW w:w="521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(702) 323-7330 </w:t>
      </w:r>
    </w:p>
    <w:p>
      <w:pPr>
        <w:pStyle w:val="TextBody"/>
        <w:spacing w:lineRule="auto" w:line="288" w:before="2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w:t>
      </w:r>
    </w:p>
    <w:p>
      <w:pPr>
        <w:pStyle w:val="TextBody"/>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20" w:after="283"/>
        <w:jc w:val="center"/>
        <w:rPr/>
      </w:pPr>
      <w:r>
        <w:rPr/>
      </w:r>
    </w:p>
    <w:p>
      <w:pPr>
        <w:pStyle w:val="TextBody"/>
        <w:spacing w:lineRule="auto" w:line="288" w:before="0" w:after="12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Securities registered pursuant to Section 12(b) of the Act:</w:t>
      </w:r>
    </w:p>
    <w:tbl>
      <w:tblPr>
        <w:tblW w:w="9052" w:type="dxa"/>
        <w:jc w:val="left"/>
        <w:tblInd w:w="0" w:type="dxa"/>
        <w:tblCellMar>
          <w:top w:w="28" w:type="dxa"/>
          <w:left w:w="28" w:type="dxa"/>
          <w:bottom w:w="28" w:type="dxa"/>
          <w:right w:w="28" w:type="dxa"/>
        </w:tblCellMar>
      </w:tblPr>
      <w:tblGrid>
        <w:gridCol w:w="1347"/>
        <w:gridCol w:w="1178"/>
        <w:gridCol w:w="1194"/>
        <w:gridCol w:w="109"/>
        <w:gridCol w:w="109"/>
        <w:gridCol w:w="109"/>
        <w:gridCol w:w="419"/>
        <w:gridCol w:w="419"/>
        <w:gridCol w:w="421"/>
        <w:gridCol w:w="109"/>
        <w:gridCol w:w="109"/>
        <w:gridCol w:w="109"/>
        <w:gridCol w:w="1002"/>
        <w:gridCol w:w="1002"/>
        <w:gridCol w:w="1416"/>
      </w:tblGrid>
      <w:tr>
        <w:trPr/>
        <w:tc>
          <w:tcPr>
            <w:tcW w:w="1347"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Cannae Common Stock, $0.0001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CNNE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spacing w:before="0" w:after="0"/>
        <w:jc w:val="center"/>
        <w:rPr/>
      </w:pPr>
      <w:r>
        <w:rPr/>
      </w:r>
    </w:p>
    <w:p>
      <w:pPr>
        <w:pStyle w:val="TextBody"/>
        <w:spacing w:lineRule="auto" w:line="288" w:before="120" w:after="283"/>
        <w:ind w:left="0" w:right="0" w:firstLine="36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120" w:after="283"/>
        <w:ind w:left="0" w:right="0" w:firstLine="36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W w:w="10539" w:type="dxa"/>
        <w:jc w:val="center"/>
        <w:tblInd w:w="0" w:type="dxa"/>
        <w:tblCellMar>
          <w:top w:w="28" w:type="dxa"/>
          <w:left w:w="28" w:type="dxa"/>
          <w:bottom w:w="28" w:type="dxa"/>
          <w:right w:w="28" w:type="dxa"/>
        </w:tblCellMar>
      </w:tblPr>
      <w:tblGrid>
        <w:gridCol w:w="652"/>
        <w:gridCol w:w="573"/>
        <w:gridCol w:w="577"/>
        <w:gridCol w:w="109"/>
        <w:gridCol w:w="109"/>
        <w:gridCol w:w="109"/>
        <w:gridCol w:w="451"/>
        <w:gridCol w:w="451"/>
        <w:gridCol w:w="453"/>
        <w:gridCol w:w="109"/>
        <w:gridCol w:w="109"/>
        <w:gridCol w:w="109"/>
        <w:gridCol w:w="571"/>
        <w:gridCol w:w="571"/>
        <w:gridCol w:w="573"/>
        <w:gridCol w:w="109"/>
        <w:gridCol w:w="109"/>
        <w:gridCol w:w="109"/>
        <w:gridCol w:w="661"/>
        <w:gridCol w:w="661"/>
        <w:gridCol w:w="664"/>
        <w:gridCol w:w="109"/>
        <w:gridCol w:w="109"/>
        <w:gridCol w:w="109"/>
        <w:gridCol w:w="664"/>
        <w:gridCol w:w="664"/>
        <w:gridCol w:w="667"/>
        <w:gridCol w:w="109"/>
        <w:gridCol w:w="109"/>
        <w:gridCol w:w="160"/>
      </w:tblGrid>
      <w:tr>
        <w:trPr/>
        <w:tc>
          <w:tcPr>
            <w:tcW w:w="65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8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100" w:after="283"/>
        <w:ind w:left="0" w:right="0" w:firstLine="36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before="0" w:after="0"/>
        <w:rPr/>
      </w:pPr>
      <w:r>
        <w:rPr/>
      </w:r>
    </w:p>
    <w:p>
      <w:pPr>
        <w:pStyle w:val="TextBody"/>
        <w:spacing w:lineRule="auto" w:line="288" w:before="0" w:after="0"/>
        <w:ind w:left="0" w:right="0" w:firstLine="360"/>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April 30, 2023 there were 76,489,755 shares of the Registrant's common stock outstanding.</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QUARTER ENDED MARCH 31, 2023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539" w:type="dxa"/>
        <w:jc w:val="left"/>
        <w:tblInd w:w="0" w:type="dxa"/>
        <w:tblCellMar>
          <w:top w:w="28" w:type="dxa"/>
          <w:left w:w="28" w:type="dxa"/>
          <w:bottom w:w="28" w:type="dxa"/>
          <w:right w:w="28" w:type="dxa"/>
        </w:tblCellMar>
      </w:tblPr>
      <w:tblGrid>
        <w:gridCol w:w="3630"/>
        <w:gridCol w:w="3195"/>
        <w:gridCol w:w="3201"/>
        <w:gridCol w:w="149"/>
        <w:gridCol w:w="149"/>
        <w:gridCol w:w="215"/>
      </w:tblGrid>
      <w:tr>
        <w:trPr/>
        <w:tc>
          <w:tcPr>
            <w:tcW w:w="3630" w:type="dxa"/>
            <w:tcBorders/>
            <w:shd w:fill="auto" w:val="clear"/>
            <w:vAlign w:val="center"/>
          </w:tcPr>
          <w:p>
            <w:pPr>
              <w:pStyle w:val="TableContents"/>
              <w:spacing w:before="0" w:after="283"/>
              <w:rPr>
                <w:sz w:val="4"/>
                <w:szCs w:val="4"/>
              </w:rPr>
            </w:pPr>
            <w:r>
              <w:rPr>
                <w:sz w:val="4"/>
                <w:szCs w:val="4"/>
              </w:rPr>
            </w:r>
          </w:p>
        </w:tc>
        <w:tc>
          <w:tcPr>
            <w:tcW w:w="3195" w:type="dxa"/>
            <w:tcBorders/>
            <w:shd w:fill="auto" w:val="clear"/>
            <w:vAlign w:val="center"/>
          </w:tcPr>
          <w:p>
            <w:pPr>
              <w:pStyle w:val="TableContents"/>
              <w:spacing w:before="0" w:after="283"/>
              <w:rPr>
                <w:sz w:val="4"/>
                <w:szCs w:val="4"/>
              </w:rPr>
            </w:pPr>
            <w:r>
              <w:rPr>
                <w:sz w:val="4"/>
                <w:szCs w:val="4"/>
              </w:rPr>
            </w:r>
          </w:p>
        </w:tc>
        <w:tc>
          <w:tcPr>
            <w:tcW w:w="320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13">
              <w:r>
                <w:rPr>
                  <w:rStyle w:val="InternetLink"/>
                  <w:rFonts w:ascii="Times New Roman;sans-serif" w:hAnsi="Times New Roman;sans-serif"/>
                  <w:b w:val="false"/>
                  <w:color w:val="0000FF"/>
                  <w:sz w:val="20"/>
                  <w:u w:val="single"/>
                </w:rPr>
                <w:t>Part I: FINANCIAL INFORMATION</w:t>
              </w:r>
            </w:hyperlink>
          </w:p>
        </w:tc>
        <w:tc>
          <w:tcPr>
            <w:tcW w:w="5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16">
              <w:r>
                <w:rPr>
                  <w:rStyle w:val="InternetLink"/>
                  <w:rFonts w:ascii="Times New Roman;sans-serif" w:hAnsi="Times New Roman;sans-serif"/>
                  <w:b w:val="false"/>
                  <w:color w:val="0000FF"/>
                  <w:sz w:val="20"/>
                  <w:u w:val="single"/>
                </w:rPr>
                <w:t>Item 1. Unaudited Condensed Consolidated Financial Statements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19">
              <w:r>
                <w:rPr>
                  <w:rStyle w:val="InternetLink"/>
                </w:rPr>
                <w:t xml:space="preserve">A. Condensed Consolidated Balance Sheets as of </w:t>
              </w:r>
            </w:hyperlink>
            <w:hyperlink w:anchor="i4277ed18b4444a0b9155bad8b75fa546_19">
              <w:r>
                <w:rPr>
                  <w:rStyle w:val="InternetLink"/>
                </w:rPr>
                <w:t>March</w:t>
              </w:r>
            </w:hyperlink>
            <w:hyperlink w:anchor="i4277ed18b4444a0b9155bad8b75fa546_19">
              <w:r>
                <w:rPr>
                  <w:rStyle w:val="InternetLink"/>
                </w:rPr>
                <w:t xml:space="preserve"> 3</w:t>
              </w:r>
            </w:hyperlink>
            <w:hyperlink w:anchor="i4277ed18b4444a0b9155bad8b75fa546_19">
              <w:r>
                <w:rPr>
                  <w:rStyle w:val="InternetLink"/>
                </w:rPr>
                <w:t>1</w:t>
              </w:r>
            </w:hyperlink>
            <w:hyperlink w:anchor="i4277ed18b4444a0b9155bad8b75fa546_19">
              <w:r>
                <w:rPr>
                  <w:rStyle w:val="InternetLink"/>
                </w:rPr>
                <w:t>, 202</w:t>
              </w:r>
            </w:hyperlink>
            <w:hyperlink w:anchor="i4277ed18b4444a0b9155bad8b75fa546_19">
              <w:r>
                <w:rPr>
                  <w:rStyle w:val="InternetLink"/>
                </w:rPr>
                <w:t>3</w:t>
              </w:r>
            </w:hyperlink>
            <w:hyperlink w:anchor="i4277ed18b4444a0b9155bad8b75fa546_19">
              <w:r>
                <w:rPr>
                  <w:rStyle w:val="InternetLink"/>
                </w:rPr>
                <w:t xml:space="preserve"> and December 31, 20</w:t>
              </w:r>
            </w:hyperlink>
            <w:hyperlink w:anchor="i4277ed18b4444a0b9155bad8b75fa546_19">
              <w:r>
                <w:rPr>
                  <w:rStyle w:val="InternetLink"/>
                </w:rPr>
                <w:t>2</w:t>
              </w:r>
            </w:hyperlink>
            <w:hyperlink w:anchor="i4277ed18b4444a0b9155bad8b75fa546_19">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19">
              <w:r>
                <w:rPr>
                  <w:rStyle w:val="InternetLink"/>
                  <w:rFonts w:ascii="Times New Roman;sans-serif" w:hAnsi="Times New Roman;sans-serif"/>
                  <w:b w:val="false"/>
                  <w:color w:val="0000FF"/>
                  <w:sz w:val="20"/>
                  <w:u w:val="single"/>
                </w:rPr>
                <w:t>1</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22">
              <w:r>
                <w:rPr>
                  <w:rStyle w:val="InternetLink"/>
                </w:rPr>
                <w:t>B. Condensed Consolidated Statements of Operations for the three</w:t>
              </w:r>
            </w:hyperlink>
            <w:hyperlink w:anchor="i4277ed18b4444a0b9155bad8b75fa546_22">
              <w:r>
                <w:rPr>
                  <w:rStyle w:val="InternetLink"/>
                </w:rPr>
                <w:t>-month period</w:t>
              </w:r>
            </w:hyperlink>
            <w:hyperlink w:anchor="i4277ed18b4444a0b9155bad8b75fa546_22">
              <w:r>
                <w:rPr>
                  <w:rStyle w:val="InternetLink"/>
                </w:rPr>
                <w:t>s</w:t>
              </w:r>
            </w:hyperlink>
            <w:hyperlink w:anchor="i4277ed18b4444a0b9155bad8b75fa546_22">
              <w:r>
                <w:rPr>
                  <w:rStyle w:val="InternetLink"/>
                </w:rPr>
                <w:t xml:space="preserve"> ended </w:t>
              </w:r>
            </w:hyperlink>
            <w:hyperlink w:anchor="i4277ed18b4444a0b9155bad8b75fa546_22">
              <w:r>
                <w:rPr>
                  <w:rStyle w:val="InternetLink"/>
                </w:rPr>
                <w:t>March 31</w:t>
              </w:r>
            </w:hyperlink>
            <w:hyperlink w:anchor="i4277ed18b4444a0b9155bad8b75fa546_22">
              <w:r>
                <w:rPr>
                  <w:rStyle w:val="InternetLink"/>
                </w:rPr>
                <w:t>, 202</w:t>
              </w:r>
            </w:hyperlink>
            <w:hyperlink w:anchor="i4277ed18b4444a0b9155bad8b75fa546_22">
              <w:r>
                <w:rPr>
                  <w:rStyle w:val="InternetLink"/>
                </w:rPr>
                <w:t>3</w:t>
              </w:r>
            </w:hyperlink>
            <w:hyperlink w:anchor="i4277ed18b4444a0b9155bad8b75fa546_22">
              <w:r>
                <w:rPr>
                  <w:rStyle w:val="InternetLink"/>
                </w:rPr>
                <w:t xml:space="preserve"> and 202</w:t>
              </w:r>
            </w:hyperlink>
            <w:hyperlink w:anchor="i4277ed18b4444a0b9155bad8b75fa546_22">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22">
              <w:r>
                <w:rPr>
                  <w:rStyle w:val="InternetLink"/>
                  <w:rFonts w:ascii="Times New Roman;sans-serif" w:hAnsi="Times New Roman;sans-serif"/>
                  <w:b w:val="false"/>
                  <w:color w:val="0000FF"/>
                  <w:sz w:val="20"/>
                  <w:u w:val="single"/>
                </w:rPr>
                <w:t>2</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25">
              <w:r>
                <w:rPr>
                  <w:rStyle w:val="InternetLink"/>
                </w:rPr>
                <w:t xml:space="preserve">C. Condensed Consolidated Statements of Comprehensive </w:t>
              </w:r>
            </w:hyperlink>
            <w:hyperlink w:anchor="i4277ed18b4444a0b9155bad8b75fa546_25">
              <w:r>
                <w:rPr>
                  <w:rStyle w:val="InternetLink"/>
                </w:rPr>
                <w:t>(</w:t>
              </w:r>
            </w:hyperlink>
            <w:hyperlink w:anchor="i4277ed18b4444a0b9155bad8b75fa546_25">
              <w:r>
                <w:rPr>
                  <w:rStyle w:val="InternetLink"/>
                </w:rPr>
                <w:t>L</w:t>
              </w:r>
            </w:hyperlink>
            <w:hyperlink w:anchor="i4277ed18b4444a0b9155bad8b75fa546_25">
              <w:r>
                <w:rPr>
                  <w:rStyle w:val="InternetLink"/>
                </w:rPr>
                <w:t xml:space="preserve">oss) </w:t>
              </w:r>
            </w:hyperlink>
            <w:hyperlink w:anchor="i4277ed18b4444a0b9155bad8b75fa546_25">
              <w:r>
                <w:rPr>
                  <w:rStyle w:val="InternetLink"/>
                </w:rPr>
                <w:t>Earnings</w:t>
              </w:r>
            </w:hyperlink>
            <w:hyperlink w:anchor="i4277ed18b4444a0b9155bad8b75fa546_25">
              <w:r>
                <w:rPr>
                  <w:rStyle w:val="InternetLink"/>
                </w:rPr>
                <w:t xml:space="preserve"> for the three</w:t>
              </w:r>
            </w:hyperlink>
            <w:hyperlink w:anchor="i4277ed18b4444a0b9155bad8b75fa546_25">
              <w:r>
                <w:rPr>
                  <w:rStyle w:val="InternetLink"/>
                </w:rPr>
                <w:t>-</w:t>
              </w:r>
            </w:hyperlink>
            <w:hyperlink w:anchor="i4277ed18b4444a0b9155bad8b75fa546_25">
              <w:r>
                <w:rPr>
                  <w:rStyle w:val="InternetLink"/>
                </w:rPr>
                <w:t xml:space="preserve">month periods ended </w:t>
              </w:r>
            </w:hyperlink>
            <w:hyperlink w:anchor="i4277ed18b4444a0b9155bad8b75fa546_25">
              <w:r>
                <w:rPr>
                  <w:rStyle w:val="InternetLink"/>
                </w:rPr>
                <w:t>March 31</w:t>
              </w:r>
            </w:hyperlink>
            <w:hyperlink w:anchor="i4277ed18b4444a0b9155bad8b75fa546_25">
              <w:r>
                <w:rPr>
                  <w:rStyle w:val="InternetLink"/>
                </w:rPr>
                <w:t>, 202</w:t>
              </w:r>
            </w:hyperlink>
            <w:hyperlink w:anchor="i4277ed18b4444a0b9155bad8b75fa546_25">
              <w:r>
                <w:rPr>
                  <w:rStyle w:val="InternetLink"/>
                </w:rPr>
                <w:t>3</w:t>
              </w:r>
            </w:hyperlink>
            <w:hyperlink w:anchor="i4277ed18b4444a0b9155bad8b75fa546_25">
              <w:r>
                <w:rPr>
                  <w:rStyle w:val="InternetLink"/>
                </w:rPr>
                <w:t xml:space="preserve"> and 20</w:t>
              </w:r>
            </w:hyperlink>
            <w:hyperlink w:anchor="i4277ed18b4444a0b9155bad8b75fa546_25">
              <w:r>
                <w:rPr>
                  <w:rStyle w:val="InternetLink"/>
                </w:rPr>
                <w:t>2</w:t>
              </w:r>
            </w:hyperlink>
            <w:hyperlink w:anchor="i4277ed18b4444a0b9155bad8b75fa546_25">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25">
              <w:r>
                <w:rPr>
                  <w:rStyle w:val="InternetLink"/>
                  <w:rFonts w:ascii="Times New Roman;sans-serif" w:hAnsi="Times New Roman;sans-serif"/>
                  <w:b w:val="false"/>
                  <w:color w:val="0000FF"/>
                  <w:sz w:val="20"/>
                  <w:u w:val="single"/>
                </w:rPr>
                <w:t>3</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28">
              <w:r>
                <w:rPr>
                  <w:rStyle w:val="InternetLink"/>
                </w:rPr>
                <w:t>D. Condensed Consolidated Statements of Equity for the three</w:t>
              </w:r>
            </w:hyperlink>
            <w:hyperlink w:anchor="i4277ed18b4444a0b9155bad8b75fa546_28">
              <w:r>
                <w:rPr>
                  <w:rStyle w:val="InternetLink"/>
                </w:rPr>
                <w:t xml:space="preserve">-month periods ended </w:t>
              </w:r>
            </w:hyperlink>
            <w:hyperlink w:anchor="i4277ed18b4444a0b9155bad8b75fa546_28">
              <w:r>
                <w:rPr>
                  <w:rStyle w:val="InternetLink"/>
                </w:rPr>
                <w:t>March 31</w:t>
              </w:r>
            </w:hyperlink>
            <w:hyperlink w:anchor="i4277ed18b4444a0b9155bad8b75fa546_28">
              <w:r>
                <w:rPr>
                  <w:rStyle w:val="InternetLink"/>
                </w:rPr>
                <w:t>, 202</w:t>
              </w:r>
            </w:hyperlink>
            <w:hyperlink w:anchor="i4277ed18b4444a0b9155bad8b75fa546_28">
              <w:r>
                <w:rPr>
                  <w:rStyle w:val="InternetLink"/>
                </w:rPr>
                <w:t>3</w:t>
              </w:r>
            </w:hyperlink>
            <w:hyperlink w:anchor="i4277ed18b4444a0b9155bad8b75fa546_28">
              <w:r>
                <w:rPr>
                  <w:rStyle w:val="InternetLink"/>
                </w:rPr>
                <w:t xml:space="preserve"> and 202</w:t>
              </w:r>
            </w:hyperlink>
            <w:hyperlink w:anchor="i4277ed18b4444a0b9155bad8b75fa546_28">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28">
              <w:r>
                <w:rPr>
                  <w:rStyle w:val="InternetLink"/>
                  <w:rFonts w:ascii="Times New Roman;sans-serif" w:hAnsi="Times New Roman;sans-serif"/>
                  <w:b w:val="false"/>
                  <w:color w:val="0000FF"/>
                  <w:sz w:val="20"/>
                  <w:u w:val="single"/>
                </w:rPr>
                <w:t>4</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34">
              <w:r>
                <w:rPr>
                  <w:rStyle w:val="InternetLink"/>
                </w:rPr>
                <w:t xml:space="preserve">E. Condensed Consolidated Statements of Cash Flows for the </w:t>
              </w:r>
            </w:hyperlink>
            <w:hyperlink w:anchor="i4277ed18b4444a0b9155bad8b75fa546_34">
              <w:r>
                <w:rPr>
                  <w:rStyle w:val="InternetLink"/>
                </w:rPr>
                <w:t>three</w:t>
              </w:r>
            </w:hyperlink>
            <w:hyperlink w:anchor="i4277ed18b4444a0b9155bad8b75fa546_34">
              <w:r>
                <w:rPr>
                  <w:rStyle w:val="InternetLink"/>
                </w:rPr>
                <w:t xml:space="preserve">-month periods ended </w:t>
              </w:r>
            </w:hyperlink>
            <w:hyperlink w:anchor="i4277ed18b4444a0b9155bad8b75fa546_34">
              <w:r>
                <w:rPr>
                  <w:rStyle w:val="InternetLink"/>
                </w:rPr>
                <w:t>March 31</w:t>
              </w:r>
            </w:hyperlink>
            <w:hyperlink w:anchor="i4277ed18b4444a0b9155bad8b75fa546_34">
              <w:r>
                <w:rPr>
                  <w:rStyle w:val="InternetLink"/>
                </w:rPr>
                <w:t>, 202</w:t>
              </w:r>
            </w:hyperlink>
            <w:hyperlink w:anchor="i4277ed18b4444a0b9155bad8b75fa546_34">
              <w:r>
                <w:rPr>
                  <w:rStyle w:val="InternetLink"/>
                </w:rPr>
                <w:t>3</w:t>
              </w:r>
            </w:hyperlink>
            <w:hyperlink w:anchor="i4277ed18b4444a0b9155bad8b75fa546_34">
              <w:r>
                <w:rPr>
                  <w:rStyle w:val="InternetLink"/>
                </w:rPr>
                <w:t xml:space="preserve"> and 202</w:t>
              </w:r>
            </w:hyperlink>
            <w:hyperlink w:anchor="i4277ed18b4444a0b9155bad8b75fa546_34">
              <w:r>
                <w:rPr>
                  <w:rStyle w:val="InternetLink"/>
                </w:rPr>
                <w:t>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34">
              <w:r>
                <w:rPr>
                  <w:rStyle w:val="InternetLink"/>
                  <w:rFonts w:ascii="Times New Roman;sans-serif" w:hAnsi="Times New Roman;sans-serif"/>
                  <w:b w:val="false"/>
                  <w:color w:val="0000FF"/>
                  <w:sz w:val="20"/>
                  <w:u w:val="single"/>
                </w:rPr>
                <w:t>5</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37">
              <w:r>
                <w:rPr>
                  <w:rStyle w:val="InternetLink"/>
                  <w:rFonts w:ascii="Times New Roman;sans-serif" w:hAnsi="Times New Roman;sans-serif"/>
                  <w:b w:val="false"/>
                  <w:color w:val="0000FF"/>
                  <w:sz w:val="20"/>
                  <w:u w:val="single"/>
                </w:rPr>
                <w:t xml:space="preserve">F. Notes to Condensed Consolidated Financial Statements </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40">
              <w:r>
                <w:rPr>
                  <w:rStyle w:val="InternetLink"/>
                  <w:rFonts w:ascii="Times New Roman;sans-serif" w:hAnsi="Times New Roman;sans-serif"/>
                  <w:b w:val="false"/>
                  <w:color w:val="0000FF"/>
                  <w:sz w:val="20"/>
                  <w:u w:val="single"/>
                </w:rPr>
                <w:t>6</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94">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94">
              <w:r>
                <w:rPr>
                  <w:rStyle w:val="InternetLink"/>
                  <w:rFonts w:ascii="Times New Roman;sans-serif" w:hAnsi="Times New Roman;sans-serif"/>
                  <w:b w:val="false"/>
                  <w:color w:val="0000FF"/>
                  <w:sz w:val="20"/>
                  <w:u w:val="single"/>
                </w:rPr>
                <w:t>18</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109">
              <w:r>
                <w:rPr>
                  <w:rStyle w:val="InternetLink"/>
                  <w:rFonts w:ascii="Times New Roman;sans-serif" w:hAnsi="Times New Roman;sans-serif"/>
                  <w:b w:val="false"/>
                  <w:color w:val="0000FF"/>
                  <w:sz w:val="20"/>
                  <w:u w:val="single"/>
                </w:rPr>
                <w:t>Item 3. Quantitative and Qualitative Disclosure About Market Risk</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109">
              <w:r>
                <w:rPr>
                  <w:rStyle w:val="InternetLink"/>
                  <w:rFonts w:ascii="Times New Roman;sans-serif" w:hAnsi="Times New Roman;sans-serif"/>
                  <w:b w:val="false"/>
                  <w:color w:val="0000FF"/>
                  <w:sz w:val="20"/>
                  <w:u w:val="single"/>
                </w:rPr>
                <w:t>25</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112">
              <w:r>
                <w:rPr>
                  <w:rStyle w:val="InternetLink"/>
                  <w:rFonts w:ascii="Times New Roman;sans-serif" w:hAnsi="Times New Roman;sans-serif"/>
                  <w:b w:val="false"/>
                  <w:color w:val="0000FF"/>
                  <w:sz w:val="20"/>
                  <w:u w:val="single"/>
                </w:rPr>
                <w:t>Item 4. Controls and Procedures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112">
              <w:r>
                <w:rPr>
                  <w:rStyle w:val="InternetLink"/>
                  <w:rFonts w:ascii="Times New Roman;sans-serif" w:hAnsi="Times New Roman;sans-serif"/>
                  <w:b w:val="false"/>
                  <w:color w:val="0000FF"/>
                  <w:sz w:val="20"/>
                  <w:u w:val="single"/>
                </w:rPr>
                <w:t>25</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115">
              <w:r>
                <w:rPr>
                  <w:rStyle w:val="InternetLink"/>
                  <w:rFonts w:ascii="Times New Roman;sans-serif" w:hAnsi="Times New Roman;sans-serif"/>
                  <w:b w:val="false"/>
                  <w:color w:val="0000FF"/>
                  <w:sz w:val="20"/>
                  <w:u w:val="single"/>
                </w:rPr>
                <w:t>Part II: OTHER INFORMATION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118">
              <w:r>
                <w:rPr>
                  <w:rStyle w:val="InternetLink"/>
                  <w:rFonts w:ascii="Times New Roman;sans-serif" w:hAnsi="Times New Roman;sans-serif"/>
                  <w:b w:val="false"/>
                  <w:color w:val="0000FF"/>
                  <w:sz w:val="20"/>
                  <w:u w:val="single"/>
                </w:rPr>
                <w:t>Item 1. Legal Proceedings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118">
              <w:r>
                <w:rPr>
                  <w:rStyle w:val="InternetLink"/>
                  <w:rFonts w:ascii="Times New Roman;sans-serif" w:hAnsi="Times New Roman;sans-serif"/>
                  <w:b w:val="false"/>
                  <w:color w:val="0000FF"/>
                  <w:sz w:val="20"/>
                  <w:u w:val="single"/>
                </w:rPr>
                <w:t>25</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121">
              <w:r>
                <w:rPr>
                  <w:rStyle w:val="InternetLink"/>
                  <w:rFonts w:ascii="Times New Roman;sans-serif" w:hAnsi="Times New Roman;sans-serif"/>
                  <w:b w:val="false"/>
                  <w:color w:val="0000FF"/>
                  <w:sz w:val="20"/>
                  <w:u w:val="single"/>
                </w:rPr>
                <w:t>Item 1A. Risk Factors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121">
              <w:r>
                <w:rPr>
                  <w:rStyle w:val="InternetLink"/>
                  <w:rFonts w:ascii="Times New Roman;sans-serif" w:hAnsi="Times New Roman;sans-serif"/>
                  <w:b w:val="false"/>
                  <w:color w:val="0000FF"/>
                  <w:sz w:val="20"/>
                  <w:u w:val="single"/>
                </w:rPr>
                <w:t>25</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124">
              <w:r>
                <w:rPr>
                  <w:rStyle w:val="InternetLink"/>
                  <w:rFonts w:ascii="Times New Roman;sans-serif" w:hAnsi="Times New Roman;sans-serif"/>
                  <w:b w:val="false"/>
                  <w:color w:val="0000FF"/>
                  <w:sz w:val="20"/>
                  <w:u w:val="single"/>
                </w:rPr>
                <w:t>Item 2. Unregistered Sales of Equity Securities and Use of Proceeds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124">
              <w:r>
                <w:rPr>
                  <w:rStyle w:val="InternetLink"/>
                  <w:rFonts w:ascii="Times New Roman;sans-serif" w:hAnsi="Times New Roman;sans-serif"/>
                  <w:b w:val="false"/>
                  <w:color w:val="0000FF"/>
                  <w:sz w:val="20"/>
                  <w:u w:val="single"/>
                </w:rPr>
                <w:t>26</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1609">
              <w:r>
                <w:rPr>
                  <w:rStyle w:val="InternetLink"/>
                </w:rPr>
                <w:t>Item </w:t>
              </w:r>
            </w:hyperlink>
            <w:hyperlink w:anchor="i4277ed18b4444a0b9155bad8b75fa546_1609">
              <w:r>
                <w:rPr>
                  <w:rStyle w:val="InternetLink"/>
                </w:rPr>
                <w:t>3</w:t>
              </w:r>
            </w:hyperlink>
            <w:hyperlink w:anchor="i4277ed18b4444a0b9155bad8b75fa546_1609">
              <w:r>
                <w:rPr>
                  <w:rStyle w:val="InternetLink"/>
                </w:rPr>
                <w:t xml:space="preserve">. </w:t>
              </w:r>
            </w:hyperlink>
            <w:hyperlink w:anchor="i4277ed18b4444a0b9155bad8b75fa546_1609">
              <w:r>
                <w:rPr>
                  <w:rStyle w:val="InternetLink"/>
                </w:rPr>
                <w:t>D</w:t>
              </w:r>
            </w:hyperlink>
            <w:r>
              <w:rPr>
                <w:rFonts w:ascii="Times New Roman;sans-serif" w:hAnsi="Times New Roman;sans-serif"/>
                <w:b w:val="false"/>
                <w:color w:val="0000FF"/>
                <w:sz w:val="20"/>
                <w:u w:val="single"/>
              </w:rPr>
              <w:t>efaults Upon Senior Securities</w:t>
            </w:r>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1609">
              <w:r>
                <w:rPr>
                  <w:rStyle w:val="InternetLink"/>
                  <w:rFonts w:ascii="Times New Roman;sans-serif" w:hAnsi="Times New Roman;sans-serif"/>
                  <w:b w:val="false"/>
                  <w:color w:val="0000FF"/>
                  <w:sz w:val="20"/>
                  <w:u w:val="single"/>
                </w:rPr>
                <w:t>26</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1616">
              <w:r>
                <w:rPr>
                  <w:rStyle w:val="InternetLink"/>
                </w:rPr>
                <w:t>Item </w:t>
              </w:r>
            </w:hyperlink>
            <w:hyperlink w:anchor="i4277ed18b4444a0b9155bad8b75fa546_1616">
              <w:r>
                <w:rPr>
                  <w:rStyle w:val="InternetLink"/>
                </w:rPr>
                <w:t>5</w:t>
              </w:r>
            </w:hyperlink>
            <w:hyperlink w:anchor="i4277ed18b4444a0b9155bad8b75fa546_1616">
              <w:r>
                <w:rPr>
                  <w:rStyle w:val="InternetLink"/>
                </w:rPr>
                <w:t xml:space="preserve">. </w:t>
              </w:r>
            </w:hyperlink>
            <w:hyperlink w:anchor="i4277ed18b4444a0b9155bad8b75fa546_1616">
              <w:r>
                <w:rPr>
                  <w:rStyle w:val="InternetLink"/>
                </w:rPr>
                <w:t>Other Inform</w:t>
              </w:r>
            </w:hyperlink>
            <w:hyperlink w:anchor="i4277ed18b4444a0b9155bad8b75fa546_1616">
              <w:r>
                <w:rPr>
                  <w:rStyle w:val="InternetLink"/>
                </w:rPr>
                <w:t>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1616">
              <w:r>
                <w:rPr>
                  <w:rStyle w:val="InternetLink"/>
                  <w:rFonts w:ascii="Times New Roman;sans-serif" w:hAnsi="Times New Roman;sans-serif"/>
                  <w:b w:val="false"/>
                  <w:color w:val="0000FF"/>
                  <w:sz w:val="20"/>
                  <w:u w:val="single"/>
                </w:rPr>
                <w:t>26</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277ed18b4444a0b9155bad8b75fa546_127">
              <w:r>
                <w:rPr>
                  <w:rStyle w:val="InternetLink"/>
                  <w:rFonts w:ascii="Times New Roman;sans-serif" w:hAnsi="Times New Roman;sans-serif"/>
                  <w:b w:val="false"/>
                  <w:color w:val="0000FF"/>
                  <w:sz w:val="20"/>
                  <w:u w:val="single"/>
                </w:rPr>
                <w:t>Item 6. Exhibits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277ed18b4444a0b9155bad8b75fa546_127">
              <w:r>
                <w:rPr>
                  <w:rStyle w:val="InternetLink"/>
                  <w:rFonts w:ascii="Times New Roman;sans-serif" w:hAnsi="Times New Roman;sans-serif"/>
                  <w:b w:val="false"/>
                  <w:color w:val="0000FF"/>
                  <w:sz w:val="20"/>
                  <w:u w:val="single"/>
                </w:rPr>
                <w:t>27</w:t>
              </w:r>
            </w:hyperlink>
          </w:p>
        </w:tc>
      </w:tr>
      <w:tr>
        <w:trPr/>
        <w:tc>
          <w:tcPr>
            <w:tcW w:w="10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46685"/>
                <wp:effectExtent l="0" t="0" r="0" b="0"/>
                <wp:wrapNone/>
                <wp:docPr id="2" name="Frame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080"/>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spacing w:before="0" w:after="0"/>
        <w:ind w:left="0" w:right="0" w:hanging="108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CANNAE HOLDINGS,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539" w:type="dxa"/>
        <w:jc w:val="center"/>
        <w:tblInd w:w="0" w:type="dxa"/>
        <w:tblCellMar>
          <w:top w:w="28" w:type="dxa"/>
          <w:left w:w="28" w:type="dxa"/>
          <w:bottom w:w="28" w:type="dxa"/>
          <w:right w:w="28" w:type="dxa"/>
        </w:tblCellMar>
      </w:tblPr>
      <w:tblGrid>
        <w:gridCol w:w="3139"/>
        <w:gridCol w:w="2519"/>
        <w:gridCol w:w="2486"/>
        <w:gridCol w:w="196"/>
        <w:gridCol w:w="691"/>
        <w:gridCol w:w="109"/>
        <w:gridCol w:w="109"/>
        <w:gridCol w:w="109"/>
        <w:gridCol w:w="109"/>
        <w:gridCol w:w="201"/>
        <w:gridCol w:w="710"/>
        <w:gridCol w:w="161"/>
      </w:tblGrid>
      <w:tr>
        <w:trPr/>
        <w:tc>
          <w:tcPr>
            <w:tcW w:w="3139" w:type="dxa"/>
            <w:tcBorders/>
            <w:shd w:fill="auto" w:val="clear"/>
            <w:vAlign w:val="center"/>
          </w:tcPr>
          <w:p>
            <w:pPr>
              <w:pStyle w:val="TableContents"/>
              <w:spacing w:before="0" w:after="283"/>
              <w:rPr>
                <w:sz w:val="4"/>
                <w:szCs w:val="4"/>
              </w:rPr>
            </w:pPr>
            <w:r>
              <w:rPr>
                <w:sz w:val="4"/>
                <w:szCs w:val="4"/>
              </w:rPr>
            </w:r>
          </w:p>
        </w:tc>
        <w:tc>
          <w:tcPr>
            <w:tcW w:w="2519" w:type="dxa"/>
            <w:tcBorders/>
            <w:shd w:fill="auto" w:val="clear"/>
            <w:vAlign w:val="center"/>
          </w:tcPr>
          <w:p>
            <w:pPr>
              <w:pStyle w:val="TableContents"/>
              <w:spacing w:before="0" w:after="283"/>
              <w:rPr>
                <w:sz w:val="4"/>
                <w:szCs w:val="4"/>
              </w:rPr>
            </w:pPr>
            <w:r>
              <w:rPr>
                <w:sz w:val="4"/>
                <w:szCs w:val="4"/>
              </w:rPr>
            </w:r>
          </w:p>
        </w:tc>
        <w:tc>
          <w:tcPr>
            <w:tcW w:w="248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0539"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unconsolidated affiliates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 at fair value</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assets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investments and non-current assets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539"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EQUITY</w:t>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 current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current</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current</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long-term</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long-term</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 long-term</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 see Note H</w:t>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Cannae common stock, 0.0001 par value; authorized 115,000,000 shares as of March 31, 2023 and December 31, 2022; issued of 92,817,829 and 92,583,280 shares as of March 31, 2023 and December 31, 2022, respectively and outstanding of 76,486,722 and 76,254,972 shares as of March 31, 2023 and December 31, 2022, respectively,</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authorized 10,000,000 shares; issued and outstanding, none as of March 31, 2023 and December 31, 2022</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Treasury stock, 16,331,107 and 16,328,308 shares as of March 31, 2023 and December 31, 2022, respectively, at cost</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Cannae shareholders' equity</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46685"/>
                <wp:effectExtent l="0" t="0" r="0" b="0"/>
                <wp:wrapNone/>
                <wp:docPr id="3"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data)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639" w:type="dxa"/>
        <w:jc w:val="center"/>
        <w:tblInd w:w="0" w:type="dxa"/>
        <w:tblCellMar>
          <w:top w:w="28" w:type="dxa"/>
          <w:left w:w="28" w:type="dxa"/>
          <w:bottom w:w="28" w:type="dxa"/>
          <w:right w:w="28" w:type="dxa"/>
        </w:tblCellMar>
      </w:tblPr>
      <w:tblGrid>
        <w:gridCol w:w="2462"/>
        <w:gridCol w:w="2164"/>
        <w:gridCol w:w="2183"/>
        <w:gridCol w:w="217"/>
        <w:gridCol w:w="616"/>
        <w:gridCol w:w="120"/>
        <w:gridCol w:w="120"/>
        <w:gridCol w:w="120"/>
        <w:gridCol w:w="120"/>
        <w:gridCol w:w="217"/>
        <w:gridCol w:w="699"/>
        <w:gridCol w:w="120"/>
        <w:gridCol w:w="109"/>
        <w:gridCol w:w="109"/>
        <w:gridCol w:w="109"/>
        <w:gridCol w:w="154"/>
      </w:tblGrid>
      <w:tr>
        <w:trPr/>
        <w:tc>
          <w:tcPr>
            <w:tcW w:w="2462" w:type="dxa"/>
            <w:tcBorders/>
            <w:shd w:fill="auto" w:val="clear"/>
            <w:vAlign w:val="center"/>
          </w:tcPr>
          <w:p>
            <w:pPr>
              <w:pStyle w:val="TableContents"/>
              <w:spacing w:before="0" w:after="283"/>
              <w:rPr>
                <w:sz w:val="4"/>
                <w:szCs w:val="4"/>
              </w:rPr>
            </w:pPr>
            <w:r>
              <w:rPr>
                <w:sz w:val="4"/>
                <w:szCs w:val="4"/>
              </w:rPr>
            </w:r>
          </w:p>
        </w:tc>
        <w:tc>
          <w:tcPr>
            <w:tcW w:w="2164" w:type="dxa"/>
            <w:tcBorders/>
            <w:shd w:fill="auto" w:val="clear"/>
            <w:vAlign w:val="center"/>
          </w:tcPr>
          <w:p>
            <w:pPr>
              <w:pStyle w:val="TableContents"/>
              <w:spacing w:before="0" w:after="283"/>
              <w:rPr>
                <w:sz w:val="4"/>
                <w:szCs w:val="4"/>
              </w:rPr>
            </w:pPr>
            <w:r>
              <w:rPr>
                <w:sz w:val="4"/>
                <w:szCs w:val="4"/>
              </w:rPr>
            </w:r>
          </w:p>
        </w:tc>
        <w:tc>
          <w:tcPr>
            <w:tcW w:w="218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349" w:type="dxa"/>
            <w:gridSpan w:val="9"/>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8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restaurant revenue</w:t>
            </w:r>
          </w:p>
        </w:tc>
        <w:tc>
          <w:tcPr>
            <w:tcW w:w="8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w:t>
            </w:r>
          </w:p>
        </w:tc>
        <w:tc>
          <w:tcPr>
            <w:tcW w:w="8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8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investment and other income</w:t>
            </w:r>
          </w:p>
        </w:tc>
        <w:tc>
          <w:tcPr>
            <w:tcW w:w="8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Recognized gains (losses), net</w:t>
            </w:r>
          </w:p>
        </w:tc>
        <w:tc>
          <w:tcPr>
            <w:tcW w:w="8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before income taxes and equity in (losses) earnings of unconsolidated affiliates</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8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before equity in (losses) earnings of unconsolidated affiliates</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earnings of unconsolidated affiliates</w:t>
            </w:r>
          </w:p>
        </w:tc>
        <w:tc>
          <w:tcPr>
            <w:tcW w:w="8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8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Cannae Holdings, Inc. common shareholders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w:t>
            </w:r>
          </w:p>
        </w:tc>
        <w:tc>
          <w:tcPr>
            <w:tcW w:w="9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Basic</w:t>
            </w:r>
          </w:p>
        </w:tc>
        <w:tc>
          <w:tcPr>
            <w:tcW w:w="9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per share </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Diluted</w:t>
            </w:r>
          </w:p>
        </w:tc>
        <w:tc>
          <w:tcPr>
            <w:tcW w:w="9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Weighted Average Shares Outstanding</w:t>
            </w:r>
          </w:p>
        </w:tc>
        <w:tc>
          <w:tcPr>
            <w:tcW w:w="9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Cannae Holdings common stock, basic basis</w:t>
            </w:r>
          </w:p>
        </w:tc>
        <w:tc>
          <w:tcPr>
            <w:tcW w:w="8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Cannae Holdings common stock, diluted basis</w:t>
            </w:r>
          </w:p>
        </w:tc>
        <w:tc>
          <w:tcPr>
            <w:tcW w:w="83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EARNINGS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638" w:type="dxa"/>
        <w:jc w:val="center"/>
        <w:tblInd w:w="0" w:type="dxa"/>
        <w:tblCellMar>
          <w:top w:w="28" w:type="dxa"/>
          <w:left w:w="28" w:type="dxa"/>
          <w:bottom w:w="28" w:type="dxa"/>
          <w:right w:w="28" w:type="dxa"/>
        </w:tblCellMar>
      </w:tblPr>
      <w:tblGrid>
        <w:gridCol w:w="2100"/>
        <w:gridCol w:w="1840"/>
        <w:gridCol w:w="1864"/>
        <w:gridCol w:w="228"/>
        <w:gridCol w:w="526"/>
        <w:gridCol w:w="127"/>
        <w:gridCol w:w="127"/>
        <w:gridCol w:w="127"/>
        <w:gridCol w:w="127"/>
        <w:gridCol w:w="228"/>
        <w:gridCol w:w="736"/>
        <w:gridCol w:w="127"/>
        <w:gridCol w:w="109"/>
        <w:gridCol w:w="109"/>
        <w:gridCol w:w="109"/>
        <w:gridCol w:w="154"/>
      </w:tblGrid>
      <w:tr>
        <w:trPr/>
        <w:tc>
          <w:tcPr>
            <w:tcW w:w="2100" w:type="dxa"/>
            <w:tcBorders/>
            <w:shd w:fill="auto" w:val="clear"/>
            <w:vAlign w:val="center"/>
          </w:tcPr>
          <w:p>
            <w:pPr>
              <w:pStyle w:val="TableContents"/>
              <w:spacing w:before="0" w:after="283"/>
              <w:rPr>
                <w:sz w:val="4"/>
                <w:szCs w:val="4"/>
              </w:rPr>
            </w:pPr>
            <w:r>
              <w:rPr>
                <w:sz w:val="4"/>
                <w:szCs w:val="4"/>
              </w:rPr>
            </w:r>
          </w:p>
        </w:tc>
        <w:tc>
          <w:tcPr>
            <w:tcW w:w="1840"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earnings (loss), net of tax:</w:t>
            </w:r>
          </w:p>
        </w:tc>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Unrealized earnings (loss) of investments in unconsolidated affiliates </w:t>
            </w:r>
            <w:r>
              <w:rPr>
                <w:rFonts w:ascii="Times New Roman;sans-serif" w:hAnsi="Times New Roman;sans-serif"/>
                <w:b w:val="false"/>
                <w:color w:val="000000"/>
                <w:sz w:val="12"/>
              </w:rPr>
              <w:t>(1)</w:t>
            </w:r>
          </w:p>
        </w:tc>
        <w:tc>
          <w:tcPr>
            <w:tcW w:w="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loss attributable to noncontrolling interests</w:t>
            </w:r>
          </w:p>
        </w:tc>
        <w:tc>
          <w:tcPr>
            <w:tcW w:w="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Cannae Holdings, Inc. common shareholders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spacing w:lineRule="auto" w:line="288" w:before="0" w:after="0"/>
        <w:rPr>
          <w:color w:val="000000"/>
        </w:rPr>
      </w:pPr>
      <w:r>
        <w:rPr>
          <w:color w:val="000000"/>
        </w:rPr>
        <w:t> </w:t>
      </w:r>
    </w:p>
    <w:p>
      <w:pPr>
        <w:pStyle w:val="TextBody"/>
        <w:spacing w:lineRule="auto" w:line="288" w:before="0" w:after="180"/>
        <w:ind w:left="0" w:right="0" w:hanging="540"/>
        <w:jc w:val="both"/>
        <w:rPr/>
      </w:pPr>
      <w:r>
        <w:rPr>
          <w:rFonts w:ascii="Times New Roman;sans-serif" w:hAnsi="Times New Roman;sans-serif"/>
          <w:b w:val="false"/>
          <w:color w:val="000000"/>
          <w:sz w:val="18"/>
        </w:rPr>
        <w:t>(1)Net of income tax expense (benefit) of $0.3 million and $(0.3) million for the three months ended March 31, 2023 and 2022, respectively.</w:t>
      </w:r>
      <w:r>
        <w:rPr>
          <w:color w:val="000000"/>
        </w:rPr>
        <w:t>    </w:t>
      </w:r>
    </w:p>
    <w:p>
      <w:pPr>
        <w:pStyle w:val="TextBody"/>
        <w:spacing w:lineRule="auto" w:line="288" w:before="3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pStyle w:val="TextBody"/>
        <w:spacing w:before="0" w:after="0"/>
        <w:rPr/>
      </w:pPr>
      <w:r>
        <w:rPr/>
      </w:r>
    </w:p>
    <w:p>
      <w:pPr>
        <w:pStyle w:val="TextBody"/>
        <w:spacing w:before="340" w:after="340"/>
        <w:rPr/>
      </w:pPr>
      <w:r>
        <w:rPr/>
      </w:r>
    </w:p>
    <w:p>
      <w:pPr>
        <w:pStyle w:val="TextBody"/>
        <w:spacing w:before="360" w:after="283"/>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before="0" w:after="0"/>
        <w:jc w:val="center"/>
        <w:rPr/>
      </w:pPr>
      <w:r>
        <w:rPr/>
      </w:r>
    </w:p>
    <w:tbl>
      <w:tblPr>
        <w:tblW w:w="11883" w:type="dxa"/>
        <w:jc w:val="center"/>
        <w:tblInd w:w="0" w:type="dxa"/>
        <w:tblCellMar>
          <w:top w:w="28" w:type="dxa"/>
          <w:left w:w="28" w:type="dxa"/>
          <w:bottom w:w="28" w:type="dxa"/>
          <w:right w:w="28" w:type="dxa"/>
        </w:tblCellMar>
      </w:tblPr>
      <w:tblGrid>
        <w:gridCol w:w="623"/>
        <w:gridCol w:w="548"/>
        <w:gridCol w:w="240"/>
        <w:gridCol w:w="233"/>
        <w:gridCol w:w="233"/>
        <w:gridCol w:w="171"/>
        <w:gridCol w:w="109"/>
        <w:gridCol w:w="109"/>
        <w:gridCol w:w="109"/>
        <w:gridCol w:w="196"/>
        <w:gridCol w:w="406"/>
        <w:gridCol w:w="109"/>
        <w:gridCol w:w="109"/>
        <w:gridCol w:w="109"/>
        <w:gridCol w:w="109"/>
        <w:gridCol w:w="196"/>
        <w:gridCol w:w="691"/>
        <w:gridCol w:w="109"/>
        <w:gridCol w:w="109"/>
        <w:gridCol w:w="109"/>
        <w:gridCol w:w="109"/>
        <w:gridCol w:w="196"/>
        <w:gridCol w:w="691"/>
        <w:gridCol w:w="109"/>
        <w:gridCol w:w="109"/>
        <w:gridCol w:w="109"/>
        <w:gridCol w:w="109"/>
        <w:gridCol w:w="217"/>
        <w:gridCol w:w="533"/>
        <w:gridCol w:w="121"/>
        <w:gridCol w:w="109"/>
        <w:gridCol w:w="109"/>
        <w:gridCol w:w="109"/>
        <w:gridCol w:w="233"/>
        <w:gridCol w:w="233"/>
        <w:gridCol w:w="196"/>
        <w:gridCol w:w="109"/>
        <w:gridCol w:w="109"/>
        <w:gridCol w:w="109"/>
        <w:gridCol w:w="196"/>
        <w:gridCol w:w="571"/>
        <w:gridCol w:w="109"/>
        <w:gridCol w:w="109"/>
        <w:gridCol w:w="109"/>
        <w:gridCol w:w="109"/>
        <w:gridCol w:w="300"/>
        <w:gridCol w:w="598"/>
        <w:gridCol w:w="168"/>
        <w:gridCol w:w="109"/>
        <w:gridCol w:w="109"/>
        <w:gridCol w:w="109"/>
        <w:gridCol w:w="196"/>
        <w:gridCol w:w="691"/>
        <w:gridCol w:w="154"/>
      </w:tblGrid>
      <w:tr>
        <w:trPr/>
        <w:tc>
          <w:tcPr>
            <w:tcW w:w="62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6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 (Loss)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0" w:type="dxa"/>
            <w:gridSpan w:val="3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2021</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earnings — unrealized losses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repurchases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consolidated subsidiaries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unconsolidated affiliates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March 31, 2022</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2022</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earnings — unrealized earnings of investments in unconsolidated affiliates, net of tax</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consolidated subsidiaries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for shares withheld for taxes and in treasury</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unconsolidated affiliates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dividends paid to noncontrolling interests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March 31, 2023</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See Notes to Condensed Consolidated Financial Statements </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054" w:type="dxa"/>
        <w:jc w:val="center"/>
        <w:tblInd w:w="0" w:type="dxa"/>
        <w:tblCellMar>
          <w:top w:w="28" w:type="dxa"/>
          <w:left w:w="28" w:type="dxa"/>
          <w:bottom w:w="28" w:type="dxa"/>
          <w:right w:w="28" w:type="dxa"/>
        </w:tblCellMar>
      </w:tblPr>
      <w:tblGrid>
        <w:gridCol w:w="2413"/>
        <w:gridCol w:w="2114"/>
        <w:gridCol w:w="2132"/>
        <w:gridCol w:w="216"/>
        <w:gridCol w:w="615"/>
        <w:gridCol w:w="120"/>
        <w:gridCol w:w="120"/>
        <w:gridCol w:w="120"/>
        <w:gridCol w:w="120"/>
        <w:gridCol w:w="216"/>
        <w:gridCol w:w="698"/>
        <w:gridCol w:w="170"/>
      </w:tblGrid>
      <w:tr>
        <w:trPr/>
        <w:tc>
          <w:tcPr>
            <w:tcW w:w="2413" w:type="dxa"/>
            <w:tcBorders/>
            <w:shd w:fill="auto" w:val="clear"/>
            <w:vAlign w:val="center"/>
          </w:tcPr>
          <w:p>
            <w:pPr>
              <w:pStyle w:val="TableContents"/>
              <w:spacing w:before="0" w:after="283"/>
              <w:rPr>
                <w:sz w:val="4"/>
                <w:szCs w:val="4"/>
              </w:rPr>
            </w:pPr>
            <w:r>
              <w:rPr>
                <w:sz w:val="4"/>
                <w:szCs w:val="4"/>
              </w:rPr>
            </w:r>
          </w:p>
        </w:tc>
        <w:tc>
          <w:tcPr>
            <w:tcW w:w="2114" w:type="dxa"/>
            <w:tcBorders/>
            <w:shd w:fill="auto" w:val="clear"/>
            <w:vAlign w:val="center"/>
          </w:tcPr>
          <w:p>
            <w:pPr>
              <w:pStyle w:val="TableContents"/>
              <w:spacing w:before="0" w:after="283"/>
              <w:rPr>
                <w:sz w:val="4"/>
                <w:szCs w:val="4"/>
              </w:rPr>
            </w:pPr>
            <w:r>
              <w:rPr>
                <w:sz w:val="4"/>
                <w:szCs w:val="4"/>
              </w:rPr>
            </w:r>
          </w:p>
        </w:tc>
        <w:tc>
          <w:tcPr>
            <w:tcW w:w="213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(249.4)</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Depreciation and amortization</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Equity in losses (earnings) of unconsolidated affiliates</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Distributions from investments in unconsolidated affiliates</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 xml:space="preserve">Recognized (gains) losses and asset impairments, net </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Lease asset amortization</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Stock-based compensation expense</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Non-cash carried interest expense</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 net of effects from acquisitions: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other assets</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lease liabilities</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accounts payable, accrued liabilities, deferred revenue and other liabilities</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income taxes</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sales of Ceridian shares </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173.3 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Additions to property and equipment and other intangible assets</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investments in unconsolidated affiliates and other long term investments</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System1</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(246.5)</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investments in unconsolidated affiliates</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other long term investments</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investments in unconsolidated affiliates</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purchases of short-term investment securities</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investing activities</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service payments</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vested shares withheld for taxes and in treasury</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repurchases</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and cash equivalents</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
        <w:jc w:val="center"/>
        <w:rPr/>
      </w:pPr>
      <w:r>
        <w:rPr>
          <w:rFonts w:ascii="Times New Roman;sans-serif" w:hAnsi="Times New Roman;sans-serif"/>
          <w:b w:val="false"/>
          <w:color w:val="000000"/>
          <w:sz w:val="20"/>
        </w:rPr>
        <w:t>S</w:t>
      </w:r>
      <w:r>
        <w:rPr>
          <w:rFonts w:ascii="Times New Roman;sans-serif" w:hAnsi="Times New Roman;sans-serif"/>
          <w:b w:val="false"/>
          <w:color w:val="000000"/>
          <w:sz w:val="16"/>
        </w:rPr>
        <w:t xml:space="preserve">ee Notes to Condensed Consolidated Financial Statements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A — Basis of Financial Statements</w:t>
      </w:r>
    </w:p>
    <w:p>
      <w:pPr>
        <w:pStyle w:val="TextBody"/>
        <w:spacing w:lineRule="auto" w:line="288" w:before="120" w:after="12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describes the significant accounting policies of Cannae Holdings, Inc. and its subsidiaries (collectively, "we," "us," "our,” "Cannae," "CNNE," or the "Company"), which have been followed in preparing the accompanying Condensed Consolidated Financial Statements.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March 31, 2023 include our ownership interests in Dun &amp; Bradstreet Holdings, Inc. ("Dun &amp; Bradstreet" or "D&amp;B"); Ceridian HCM Holding, Inc. ("Ceridian"); Alight, Inc. ("Alight"); Paysafe Limited ("Paysafe"); Sightline Payments Holdings, LLC ("Sightline"); System1, Inc. ("System1"); Black Knight Football and Entertainment, LP ("BKFE"); Computer Services, Inc. ("CSI"); AmeriLife Group, LLC ("AmeriLife"); O'Charley's Holdings, LLC ("O'Charley's"); 99 Restaurants Holdings, LLC ("99 Restaurants"); and various other controlled portfolio companies and minority equity ownership interests.</w:t>
      </w:r>
    </w:p>
    <w:p>
      <w:pPr>
        <w:pStyle w:val="TextBody"/>
        <w:spacing w:lineRule="auto" w:line="288" w:before="120" w:after="120"/>
        <w:ind w:left="0" w:right="0" w:firstLine="360"/>
        <w:jc w:val="both"/>
        <w:rPr/>
      </w:pPr>
      <w:r>
        <w:rPr>
          <w:rFonts w:ascii="Times New Roman;sans-serif" w:hAnsi="Times New Roman;sans-serif"/>
          <w:b w:val="false"/>
          <w:color w:val="000000"/>
          <w:sz w:val="20"/>
        </w:rPr>
        <w:t xml:space="preserve">See Note E </w:t>
      </w:r>
      <w:r>
        <w:rPr>
          <w:rFonts w:ascii="Times New Roman;sans-serif" w:hAnsi="Times New Roman;sans-serif"/>
          <w:b w:val="false"/>
          <w:i/>
          <w:color w:val="000000"/>
          <w:sz w:val="20"/>
        </w:rPr>
        <w:t>Segment Information</w:t>
      </w:r>
      <w:r>
        <w:rPr>
          <w:color w:val="000000"/>
        </w:rPr>
        <w:t> </w:t>
      </w:r>
      <w:r>
        <w:rPr>
          <w:rFonts w:ascii="Times New Roman;sans-serif" w:hAnsi="Times New Roman;sans-serif"/>
          <w:b w:val="false"/>
          <w:color w:val="000000"/>
          <w:sz w:val="20"/>
        </w:rPr>
        <w:t>for further discussion of the businesses comprising our reportable segments.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spacing w:lineRule="auto" w:line="288" w:before="120" w:after="120"/>
        <w:ind w:left="0" w:right="0" w:firstLine="360"/>
        <w:jc w:val="both"/>
        <w:rPr/>
      </w:pPr>
      <w:r>
        <w:rPr>
          <w:rFonts w:ascii="Times New Roman;sans-serif" w:hAnsi="Times New Roman;sans-serif"/>
          <w:b w:val="false"/>
          <w:color w:val="000000"/>
          <w:sz w:val="20"/>
        </w:rPr>
        <w:t xml:space="preserve">The accompanying Condensed Consolidated Financial Statements are prepared in accordance with generally accepted accounting principles in the United States ("GAAP") </w:t>
      </w:r>
      <w:r>
        <w:rPr>
          <w:rFonts w:ascii="Times New Roman;sans-serif" w:hAnsi="Times New Roman;sans-serif"/>
          <w:b w:val="false"/>
          <w:color w:val="000000"/>
          <w:sz w:val="20"/>
          <w:highlight w:val="white"/>
        </w:rPr>
        <w:t>and the instructions to Form 10-Q and Article 10 of Regulation S-X</w:t>
      </w:r>
      <w:r>
        <w:rPr>
          <w:color w:val="000000"/>
        </w:rPr>
        <w:t xml:space="preserve"> </w:t>
      </w:r>
      <w:r>
        <w:rPr>
          <w:rFonts w:ascii="Times New Roman;sans-serif" w:hAnsi="Times New Roman;sans-serif"/>
          <w:b w:val="false"/>
          <w:color w:val="000000"/>
          <w:sz w:val="20"/>
        </w:rPr>
        <w:t>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2022.</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Management Estimates</w:t>
      </w:r>
    </w:p>
    <w:p>
      <w:pPr>
        <w:pStyle w:val="TextBody"/>
        <w:spacing w:lineRule="auto" w:line="288" w:before="120" w:after="120"/>
        <w:ind w:left="0" w:right="0" w:firstLine="360"/>
        <w:jc w:val="both"/>
        <w:rPr/>
      </w:pPr>
      <w:r>
        <w:rPr>
          <w:rFonts w:ascii="Times New Roman;sans-serif" w:hAnsi="Times New Roman;sans-serif"/>
          <w:b w:val="false"/>
          <w:color w:val="000000"/>
          <w:sz w:val="20"/>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(See Note C -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Actual results may differ from estimates.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spacing w:lineRule="auto" w:line="288"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Ceridian</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completed the sale of 1.0 million shares of common stock of Ceridian. In connection with the sale, we received proceeds of $78.0 million.</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spacing w:before="0" w:after="0"/>
        <w:jc w:val="center"/>
        <w:rPr/>
      </w:pPr>
      <w:r>
        <w:rPr/>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owned 5.0 million shares of Ceridian common stock as of March 31, 2023, which represented approximately 3.2% of its outstanding stock as of March 31, 2023. </w:t>
      </w:r>
    </w:p>
    <w:p>
      <w:pPr>
        <w:pStyle w:val="TextBody"/>
        <w:spacing w:lineRule="auto" w:line="288" w:before="120" w:after="120"/>
        <w:ind w:left="0" w:right="0" w:firstLine="360"/>
        <w:jc w:val="both"/>
        <w:rPr/>
      </w:pPr>
      <w:r>
        <w:rPr>
          <w:rFonts w:ascii="Times New Roman;sans-serif" w:hAnsi="Times New Roman;sans-serif"/>
          <w:b w:val="false"/>
          <w:color w:val="000000"/>
          <w:sz w:val="20"/>
        </w:rPr>
        <w:t xml:space="preserve">Refer to Notes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 xml:space="preserve">and C - </w:t>
      </w:r>
      <w:r>
        <w:rPr>
          <w:rFonts w:ascii="Times New Roman;sans-serif" w:hAnsi="Times New Roman;sans-serif"/>
          <w:b w:val="false"/>
          <w:i/>
          <w:color w:val="000000"/>
          <w:sz w:val="20"/>
        </w:rPr>
        <w:t>Fair Value Measurements</w:t>
      </w:r>
      <w:r>
        <w:rPr>
          <w:color w:val="000000"/>
        </w:rPr>
        <w:t xml:space="preserve"> </w:t>
      </w:r>
      <w:r>
        <w:rPr>
          <w:rFonts w:ascii="Times New Roman;sans-serif" w:hAnsi="Times New Roman;sans-serif"/>
          <w:b w:val="false"/>
          <w:color w:val="000000"/>
          <w:sz w:val="20"/>
        </w:rPr>
        <w:t xml:space="preserve">for further discussion of our accounting for our ownership interest in Ceridian and other equity securities. </w:t>
      </w:r>
    </w:p>
    <w:p>
      <w:pPr>
        <w:pStyle w:val="TextBody"/>
        <w:spacing w:lineRule="auto" w:line="288"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Dun &amp; Bradstreet</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9, 2023, the board of directors of D&amp;B declared a quarterly cash dividend of $0.05 per share of DNB common stock. In March 2023, we received $4.0 million of cash dividends from D&amp;B which are recorded as a reduction to the basis of our recorded asset for D&amp;B.</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owned 79.0 million shares of D&amp;B, which represented approximately 18.0% of its outstanding common stock.</w:t>
      </w:r>
    </w:p>
    <w:p>
      <w:pPr>
        <w:pStyle w:val="TextBody"/>
        <w:spacing w:lineRule="auto" w:line="288" w:before="120" w:after="120"/>
        <w:ind w:left="0" w:right="0" w:firstLine="360"/>
        <w:jc w:val="both"/>
        <w:rPr/>
      </w:pPr>
      <w:r>
        <w:rPr>
          <w:rFonts w:ascii="Times New Roman;sans-serif" w:hAnsi="Times New Roman;sans-serif"/>
          <w:b w:val="false"/>
          <w:color w:val="000000"/>
          <w:sz w:val="20"/>
        </w:rPr>
        <w:t xml:space="preserve">See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for further discussion of our accounting for our ownership interest in D&amp;B and other equity method investments.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we incurred management fee expenses payable to our Manager of $9.4 million and $10.6 million, respectively. During the three months ended March 31, 2022, we incurred $45.2 million of carried interest expense related to the disposition of certain of the Company's assets and ownership interests. These expenses are recorded in Other operating expenses on our Condensed Consolidated Statement of Operations.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as presented on the Condensed Consolidated Statement of Operations, is computed by dividing net earnings available to common shareholders by the weighted average number of common shares outstanding during the period.</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that have been treated as common share equivalents for purposes of calculating diluted earnings per share for periods in which positive earnings have been reported.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Instruments that provide the ability to purchase shares of our common stock that are antidilutive are excluded from the computation of diluted earnings per share. For the three months ended March 31, 2023 and 2022, there were 0.4 million and 0.1 million antidilutive shares of restricted stock outstanding, respectively, that were excluded from the calculation of diluted earnings per share.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was 9.4% and 18.0% in the three months ended March 31, 2023 and 2022, respectively. The change in the effective tax rate in the three-month period ended March 31, 2023 compared to the corresponding prior year period was primarily attributable to the varying impact of equity in (losses) earnings of unconsolidated affiliates on income tax expense (benefit).</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Deferred tax asset of $31.1 million and $22.7 million as of March 31, 2023 and December 31, 2022, respectively. The $8.4 million change in deferred taxes in the three months ended March 31, 2023 is primarily attributable to equity in losses of unconsolidated affiliates partially offset by sales of Ceridian shares and mark to market gains recorded on Ceridian.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completed our evaluation of the recently issued accounting pronouncements and we did not identify any that are expected to, if currently adopted, have a material impact on our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spacing w:before="0" w:after="0"/>
        <w:jc w:val="center"/>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Note B — Investments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Equity Securities</w:t>
      </w:r>
    </w:p>
    <w:p>
      <w:pPr>
        <w:pStyle w:val="TextBody"/>
        <w:spacing w:lineRule="auto" w:line="288" w:before="120" w:after="120"/>
        <w:ind w:left="0" w:right="0" w:firstLine="360"/>
        <w:jc w:val="both"/>
        <w:rPr/>
      </w:pPr>
      <w:r>
        <w:rPr>
          <w:rFonts w:ascii="Times New Roman;sans-serif" w:hAnsi="Times New Roman;sans-serif"/>
          <w:b w:val="false"/>
          <w:color w:val="000000"/>
          <w:sz w:val="20"/>
          <w:highlight w:val="white"/>
        </w:rPr>
        <w:t xml:space="preserve">Gains (losses) on equity securities included in Recognized gains (losses), net on the Condensed Consolidated Statements of Operations consisted of the following for the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highlight w:val="white"/>
        </w:rPr>
        <w:t>months ended March 31, 2023 and 2022:</w:t>
      </w:r>
    </w:p>
    <w:tbl>
      <w:tblPr>
        <w:tblW w:w="10539" w:type="dxa"/>
        <w:jc w:val="center"/>
        <w:tblInd w:w="0" w:type="dxa"/>
        <w:tblCellMar>
          <w:top w:w="28" w:type="dxa"/>
          <w:left w:w="28" w:type="dxa"/>
          <w:bottom w:w="28" w:type="dxa"/>
          <w:right w:w="28" w:type="dxa"/>
        </w:tblCellMar>
      </w:tblPr>
      <w:tblGrid>
        <w:gridCol w:w="2806"/>
        <w:gridCol w:w="2447"/>
        <w:gridCol w:w="2456"/>
        <w:gridCol w:w="229"/>
        <w:gridCol w:w="556"/>
        <w:gridCol w:w="118"/>
        <w:gridCol w:w="118"/>
        <w:gridCol w:w="118"/>
        <w:gridCol w:w="118"/>
        <w:gridCol w:w="229"/>
        <w:gridCol w:w="741"/>
        <w:gridCol w:w="118"/>
        <w:gridCol w:w="109"/>
        <w:gridCol w:w="109"/>
        <w:gridCol w:w="109"/>
        <w:gridCol w:w="158"/>
      </w:tblGrid>
      <w:tr>
        <w:trPr/>
        <w:tc>
          <w:tcPr>
            <w:tcW w:w="2806" w:type="dxa"/>
            <w:tcBorders/>
            <w:shd w:fill="auto" w:val="clear"/>
            <w:vAlign w:val="center"/>
          </w:tcPr>
          <w:p>
            <w:pPr>
              <w:pStyle w:val="TableContents"/>
              <w:spacing w:before="0" w:after="283"/>
              <w:rPr>
                <w:sz w:val="4"/>
                <w:szCs w:val="4"/>
              </w:rPr>
            </w:pPr>
            <w:r>
              <w:rPr>
                <w:sz w:val="4"/>
                <w:szCs w:val="4"/>
              </w:rPr>
            </w:r>
          </w:p>
        </w:tc>
        <w:tc>
          <w:tcPr>
            <w:tcW w:w="2447" w:type="dxa"/>
            <w:tcBorders/>
            <w:shd w:fill="auto" w:val="clear"/>
            <w:vAlign w:val="center"/>
          </w:tcPr>
          <w:p>
            <w:pPr>
              <w:pStyle w:val="TableContents"/>
              <w:spacing w:before="0" w:after="283"/>
              <w:rPr>
                <w:sz w:val="4"/>
                <w:szCs w:val="4"/>
              </w:rPr>
            </w:pPr>
            <w:r>
              <w:rPr>
                <w:sz w:val="4"/>
                <w:szCs w:val="4"/>
              </w:rPr>
            </w:r>
          </w:p>
        </w:tc>
        <w:tc>
          <w:tcPr>
            <w:tcW w:w="245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5" w:type="dxa"/>
            <w:gridSpan w:val="4"/>
            <w:tcBorders/>
            <w:shd w:fill="auto" w:val="clear"/>
          </w:tcPr>
          <w:p>
            <w:pPr>
              <w:pStyle w:val="TableContents"/>
              <w:spacing w:before="0" w:after="283"/>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recognized during the period on equity securities</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gains (losses) recognized during the period on equity securities sold or transferred during the period</w:t>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recognized during the reporting period on equity securities held at the reporting date</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Affiliates</w:t>
      </w:r>
    </w:p>
    <w:p>
      <w:pPr>
        <w:pStyle w:val="TextBody"/>
        <w:spacing w:lineRule="auto" w:line="288" w:before="120" w:after="12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Investments in unconsolidated affiliates recorded using the equity method of accounting as of March 31, 2023 and December 31, 2022 consisted of the following:</w:t>
      </w:r>
    </w:p>
    <w:tbl>
      <w:tblPr>
        <w:tblW w:w="7269" w:type="dxa"/>
        <w:jc w:val="left"/>
        <w:tblInd w:w="0" w:type="dxa"/>
        <w:tblCellMar>
          <w:top w:w="28" w:type="dxa"/>
          <w:left w:w="28" w:type="dxa"/>
          <w:bottom w:w="28" w:type="dxa"/>
          <w:right w:w="28" w:type="dxa"/>
        </w:tblCellMar>
      </w:tblPr>
      <w:tblGrid>
        <w:gridCol w:w="554"/>
        <w:gridCol w:w="487"/>
        <w:gridCol w:w="489"/>
        <w:gridCol w:w="507"/>
        <w:gridCol w:w="507"/>
        <w:gridCol w:w="1266"/>
        <w:gridCol w:w="109"/>
        <w:gridCol w:w="109"/>
        <w:gridCol w:w="109"/>
        <w:gridCol w:w="245"/>
        <w:gridCol w:w="889"/>
        <w:gridCol w:w="126"/>
        <w:gridCol w:w="109"/>
        <w:gridCol w:w="109"/>
        <w:gridCol w:w="109"/>
        <w:gridCol w:w="288"/>
        <w:gridCol w:w="1047"/>
        <w:gridCol w:w="210"/>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Ownership 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2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2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Sightline</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2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auto" w:val="clear"/>
            <w:vAlign w:val="center"/>
          </w:tcPr>
          <w:p>
            <w:pPr>
              <w:pStyle w:val="TableContents"/>
              <w:spacing w:before="0" w:after="283"/>
              <w:rPr>
                <w:sz w:val="4"/>
                <w:szCs w:val="4"/>
              </w:rPr>
            </w:pPr>
            <w:r>
              <w:rPr>
                <w:sz w:val="4"/>
                <w:szCs w:val="4"/>
              </w:rPr>
            </w:r>
          </w:p>
        </w:tc>
        <w:tc>
          <w:tcPr>
            <w:tcW w:w="2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vAlign w:val="center"/>
          </w:tcPr>
          <w:p>
            <w:pPr>
              <w:pStyle w:val="TableContents"/>
              <w:spacing w:before="0" w:after="283"/>
              <w:rPr>
                <w:sz w:val="4"/>
                <w:szCs w:val="4"/>
              </w:rPr>
            </w:pPr>
            <w:r>
              <w:rPr>
                <w:sz w:val="4"/>
                <w:szCs w:val="4"/>
              </w:rPr>
            </w:r>
          </w:p>
        </w:tc>
        <w:tc>
          <w:tcPr>
            <w:tcW w:w="2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auto" w:val="clear"/>
            <w:vAlign w:val="center"/>
          </w:tcPr>
          <w:p>
            <w:pPr>
              <w:pStyle w:val="TableContents"/>
              <w:spacing w:before="0" w:after="283"/>
              <w:rPr>
                <w:sz w:val="4"/>
                <w:szCs w:val="4"/>
              </w:rPr>
            </w:pPr>
            <w:r>
              <w:rPr>
                <w:sz w:val="4"/>
                <w:szCs w:val="4"/>
              </w:rPr>
            </w:r>
          </w:p>
        </w:tc>
        <w:tc>
          <w:tcPr>
            <w:tcW w:w="2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aggregate fair value of our direct and indirect ownership in the common stock of unconsolidated affiliates that have quoted market prices as of March 31, 2023 consisted of the following:</w:t>
      </w:r>
    </w:p>
    <w:tbl>
      <w:tblPr>
        <w:tblW w:w="2835" w:type="dxa"/>
        <w:jc w:val="left"/>
        <w:tblInd w:w="0" w:type="dxa"/>
        <w:tblCellMar>
          <w:top w:w="28" w:type="dxa"/>
          <w:left w:w="28" w:type="dxa"/>
          <w:bottom w:w="28" w:type="dxa"/>
          <w:right w:w="28" w:type="dxa"/>
        </w:tblCellMar>
      </w:tblPr>
      <w:tblGrid>
        <w:gridCol w:w="554"/>
        <w:gridCol w:w="487"/>
        <w:gridCol w:w="489"/>
        <w:gridCol w:w="280"/>
        <w:gridCol w:w="820"/>
        <w:gridCol w:w="205"/>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w:t>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System1</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12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spacing w:before="0" w:after="0"/>
        <w:jc w:val="center"/>
        <w:rPr/>
      </w:pPr>
      <w:r>
        <w:rPr/>
      </w:r>
    </w:p>
    <w:p>
      <w:pPr>
        <w:pStyle w:val="TextBody"/>
        <w:spacing w:lineRule="auto" w:line="288" w:before="120" w:after="120"/>
        <w:ind w:left="0" w:right="0" w:firstLine="360"/>
        <w:jc w:val="both"/>
        <w:rPr/>
      </w:pPr>
      <w:r>
        <w:rPr>
          <w:rFonts w:ascii="Times New Roman;sans-serif" w:hAnsi="Times New Roman;sans-serif"/>
          <w:b w:val="false"/>
          <w:color w:val="000000"/>
          <w:sz w:val="20"/>
          <w:highlight w:val="white"/>
        </w:rPr>
        <w:t xml:space="preserve">Equity in (losses) earnings of unconsolidated affiliates for the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highlight w:val="white"/>
        </w:rPr>
        <w:t>months ended March 31, 2023 and 2022 consisted of the following:</w:t>
      </w:r>
    </w:p>
    <w:tbl>
      <w:tblPr>
        <w:tblW w:w="4615" w:type="dxa"/>
        <w:jc w:val="left"/>
        <w:tblInd w:w="0" w:type="dxa"/>
        <w:tblCellMar>
          <w:top w:w="28" w:type="dxa"/>
          <w:left w:w="28" w:type="dxa"/>
          <w:bottom w:w="28" w:type="dxa"/>
          <w:right w:w="28" w:type="dxa"/>
        </w:tblCellMar>
      </w:tblPr>
      <w:tblGrid>
        <w:gridCol w:w="630"/>
        <w:gridCol w:w="553"/>
        <w:gridCol w:w="556"/>
        <w:gridCol w:w="245"/>
        <w:gridCol w:w="681"/>
        <w:gridCol w:w="126"/>
        <w:gridCol w:w="126"/>
        <w:gridCol w:w="126"/>
        <w:gridCol w:w="126"/>
        <w:gridCol w:w="245"/>
        <w:gridCol w:w="594"/>
        <w:gridCol w:w="126"/>
        <w:gridCol w:w="109"/>
        <w:gridCol w:w="109"/>
        <w:gridCol w:w="109"/>
        <w:gridCol w:w="154"/>
      </w:tblGrid>
      <w:tr>
        <w:trPr/>
        <w:tc>
          <w:tcPr>
            <w:tcW w:w="63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Dun &amp; Bradstreet </w:t>
            </w:r>
            <w:r>
              <w:rPr>
                <w:rFonts w:ascii="Times New Roman;sans-serif" w:hAnsi="Times New Roman;sans-serif"/>
                <w:b w:val="false"/>
                <w:color w:val="000000"/>
                <w:sz w:val="13"/>
              </w:rPr>
              <w:t>(1)</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Sightline</w:t>
            </w:r>
            <w:r>
              <w:rPr>
                <w:rFonts w:ascii="Times New Roman;sans-serif" w:hAnsi="Times New Roman;sans-serif"/>
                <w:b w:val="false"/>
                <w:color w:val="000000"/>
                <w:sz w:val="13"/>
              </w:rPr>
              <w:t>(2)</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_____________________________________</w:t>
      </w:r>
    </w:p>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(1) Equity in losses for D&amp;B includes $2.1 million and $1.1 million of loss for the three months ended March 31, 2023 and 2022, respectively, related to amortization of Cannae's basis difference between the book value of its ownership interest and ratable portion of the underlying equity in net assets of D&amp;B.</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 xml:space="preserve">(2) Equity in losses for Sightline includes $1.9 million of loss in the three months ended March 31, 2023 and 2022, respectively, related to amortization of Cannae's basis difference between the book value of its investment and ratable portion of the underlying equity in net assets of Sightline.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Dun &amp; Bradstreet</w:t>
      </w:r>
    </w:p>
    <w:p>
      <w:pPr>
        <w:pStyle w:val="TextBody"/>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Summarized financial information for D&amp;B for the relevant dates and time periods included in Investments in unconsolidated affiliates and Equity in earnings of unconsolidated affiliates in our Condensed Consolidated Balance Sheets and Statements of Operations, respectively, is presented below. </w:t>
      </w:r>
    </w:p>
    <w:tbl>
      <w:tblPr>
        <w:tblW w:w="6675" w:type="dxa"/>
        <w:jc w:val="left"/>
        <w:tblInd w:w="0" w:type="dxa"/>
        <w:tblCellMar>
          <w:top w:w="28" w:type="dxa"/>
          <w:left w:w="28" w:type="dxa"/>
          <w:bottom w:w="28" w:type="dxa"/>
          <w:right w:w="28" w:type="dxa"/>
        </w:tblCellMar>
      </w:tblPr>
      <w:tblGrid>
        <w:gridCol w:w="1243"/>
        <w:gridCol w:w="1094"/>
        <w:gridCol w:w="1098"/>
        <w:gridCol w:w="245"/>
        <w:gridCol w:w="889"/>
        <w:gridCol w:w="126"/>
        <w:gridCol w:w="109"/>
        <w:gridCol w:w="109"/>
        <w:gridCol w:w="109"/>
        <w:gridCol w:w="291"/>
        <w:gridCol w:w="1058"/>
        <w:gridCol w:w="150"/>
        <w:gridCol w:w="154"/>
      </w:tblGrid>
      <w:tr>
        <w:trPr/>
        <w:tc>
          <w:tcPr>
            <w:tcW w:w="1243"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 net</w:t>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7525" w:type="dxa"/>
        <w:jc w:val="center"/>
        <w:tblInd w:w="0" w:type="dxa"/>
        <w:tblCellMar>
          <w:top w:w="28" w:type="dxa"/>
          <w:left w:w="28" w:type="dxa"/>
          <w:bottom w:w="28" w:type="dxa"/>
          <w:right w:w="28" w:type="dxa"/>
        </w:tblCellMar>
      </w:tblPr>
      <w:tblGrid>
        <w:gridCol w:w="1697"/>
        <w:gridCol w:w="1495"/>
        <w:gridCol w:w="1502"/>
        <w:gridCol w:w="226"/>
        <w:gridCol w:w="659"/>
        <w:gridCol w:w="116"/>
        <w:gridCol w:w="116"/>
        <w:gridCol w:w="116"/>
        <w:gridCol w:w="116"/>
        <w:gridCol w:w="226"/>
        <w:gridCol w:w="659"/>
        <w:gridCol w:w="116"/>
        <w:gridCol w:w="109"/>
        <w:gridCol w:w="109"/>
        <w:gridCol w:w="109"/>
        <w:gridCol w:w="154"/>
      </w:tblGrid>
      <w:tr>
        <w:trPr/>
        <w:tc>
          <w:tcPr>
            <w:tcW w:w="1697"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earnings attributable to noncontrolling interest</w:t>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Dun &amp; Bradstreet</w:t>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Equity Security Investments Without Readily Determinable Fair Values</w:t>
      </w:r>
    </w:p>
    <w:p>
      <w:pPr>
        <w:pStyle w:val="TextBody"/>
        <w:spacing w:lineRule="auto" w:line="288" w:before="120" w:after="120"/>
        <w:ind w:left="0" w:right="0" w:firstLine="360"/>
        <w:jc w:val="both"/>
        <w:rPr/>
      </w:pPr>
      <w:r>
        <w:rPr>
          <w:rFonts w:ascii="Times New Roman;sans-serif" w:hAnsi="Times New Roman;sans-serif"/>
          <w:b w:val="false"/>
          <w:color w:val="000000"/>
          <w:sz w:val="20"/>
          <w:highlight w:val="white"/>
        </w:rPr>
        <w:t xml:space="preserve">We account for our investments in AmeriLife and certain other ownership interests at cost less impairment, </w:t>
      </w:r>
      <w:r>
        <w:rPr>
          <w:rFonts w:ascii="Times New Roman;sans-serif" w:hAnsi="Times New Roman;sans-serif"/>
          <w:b w:val="false"/>
          <w:color w:val="000000"/>
          <w:sz w:val="20"/>
        </w:rPr>
        <w:t>if any, plus or minus changes resulting from observable price changes in orderly market transactions</w:t>
      </w:r>
      <w:r>
        <w:rPr>
          <w:rFonts w:ascii="Times New Roman;sans-serif" w:hAnsi="Times New Roman;sans-serif"/>
          <w:b w:val="false"/>
          <w:color w:val="000000"/>
          <w:sz w:val="20"/>
          <w:highlight w:val="white"/>
        </w:rPr>
        <w:t xml:space="preserve">. As of March 31, 2023 and December 31,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spacing w:before="0" w:after="0"/>
        <w:jc w:val="center"/>
        <w:rPr/>
      </w:pPr>
      <w:r>
        <w:rPr/>
      </w:r>
    </w:p>
    <w:p>
      <w:pPr>
        <w:pStyle w:val="TextBody"/>
        <w:spacing w:lineRule="auto" w:line="288" w:before="12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2022, we have $128.3 million and $114.8 million, respectively, recorded for such investments, which is included in Other long term investments and noncurrent assets on our Condensed Consolidated Balance Sheets.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C — Fair Value Measurements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pStyle w:val="TextBody"/>
        <w:spacing w:lineRule="auto" w:line="288" w:before="0" w:after="100"/>
        <w:ind w:left="0" w:right="0" w:firstLine="720"/>
        <w:jc w:val="both"/>
        <w:rPr/>
      </w:pPr>
      <w:r>
        <w:rPr>
          <w:rFonts w:ascii="Times New Roman;sans-serif" w:hAnsi="Times New Roman;sans-serif"/>
          <w:b w:val="false"/>
          <w:i/>
          <w:color w:val="000000"/>
          <w:sz w:val="20"/>
          <w:highlight w:val="white"/>
        </w:rPr>
        <w:t xml:space="preserve">Level 1. </w:t>
      </w:r>
      <w:r>
        <w:rPr>
          <w:rFonts w:ascii="Times New Roman;sans-serif" w:hAnsi="Times New Roman;sans-serif"/>
          <w:b w:val="false"/>
          <w:color w:val="000000"/>
          <w:sz w:val="20"/>
          <w:highlight w:val="white"/>
        </w:rPr>
        <w:t>Financial assets and liabilities whose values are based on unadjusted quoted prices for identical assets or liabilities in an active market that we have the ability to access.</w:t>
      </w:r>
    </w:p>
    <w:p>
      <w:pPr>
        <w:pStyle w:val="TextBody"/>
        <w:spacing w:lineRule="auto" w:line="288" w:before="0" w:after="100"/>
        <w:ind w:left="0" w:right="0" w:firstLine="720"/>
        <w:jc w:val="both"/>
        <w:rPr/>
      </w:pPr>
      <w:r>
        <w:rPr>
          <w:rFonts w:ascii="Times New Roman;sans-serif" w:hAnsi="Times New Roman;sans-serif"/>
          <w:b w:val="false"/>
          <w:i/>
          <w:color w:val="000000"/>
          <w:sz w:val="20"/>
          <w:highlight w:val="white"/>
        </w:rPr>
        <w:t xml:space="preserve">Level 2. </w:t>
      </w:r>
      <w:r>
        <w:rPr>
          <w:rFonts w:ascii="Times New Roman;sans-serif" w:hAnsi="Times New Roman;sans-serif"/>
          <w:b w:val="false"/>
          <w:color w:val="000000"/>
          <w:sz w:val="20"/>
          <w:highlight w:val="white"/>
        </w:rPr>
        <w:t>Financial assets and liabilities whose values are based on quoted prices in markets that are not active or model inputs that are observable either directly or indirectly for substantially the full term of the asset or liability.</w:t>
      </w:r>
    </w:p>
    <w:p>
      <w:pPr>
        <w:pStyle w:val="TextBody"/>
        <w:spacing w:lineRule="auto" w:line="288" w:before="0" w:after="100"/>
        <w:ind w:left="0" w:right="0" w:firstLine="720"/>
        <w:jc w:val="both"/>
        <w:rPr/>
      </w:pPr>
      <w:r>
        <w:rPr>
          <w:rFonts w:ascii="Times New Roman;sans-serif" w:hAnsi="Times New Roman;sans-serif"/>
          <w:b w:val="false"/>
          <w:i/>
          <w:color w:val="000000"/>
          <w:sz w:val="20"/>
          <w:highlight w:val="white"/>
        </w:rPr>
        <w:t xml:space="preserve">Level 3. </w:t>
      </w:r>
      <w:r>
        <w:rPr>
          <w:rFonts w:ascii="Times New Roman;sans-serif" w:hAnsi="Times New Roman;sans-serif"/>
          <w:b w:val="false"/>
          <w:color w:val="000000"/>
          <w:sz w:val="20"/>
          <w:highlight w:val="white"/>
        </w:rPr>
        <w:t>Financial assets and liabilities whose values are based on model inputs that are unobservable.</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spacing w:lineRule="auto" w:line="288" w:before="120" w:after="12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our fair value hierarchy for those assets and liabilities measured at fair value on a recurring basis as of March 31, 2023 and December 31, 2022, respectively:</w:t>
      </w:r>
    </w:p>
    <w:tbl>
      <w:tblPr>
        <w:tblW w:w="6723" w:type="dxa"/>
        <w:jc w:val="left"/>
        <w:tblInd w:w="0" w:type="dxa"/>
        <w:tblCellMar>
          <w:top w:w="28" w:type="dxa"/>
          <w:left w:w="28" w:type="dxa"/>
          <w:bottom w:w="28" w:type="dxa"/>
          <w:right w:w="28" w:type="dxa"/>
        </w:tblCellMar>
      </w:tblPr>
      <w:tblGrid>
        <w:gridCol w:w="818"/>
        <w:gridCol w:w="720"/>
        <w:gridCol w:w="726"/>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54"/>
      </w:tblGrid>
      <w:tr>
        <w:trPr/>
        <w:tc>
          <w:tcPr>
            <w:tcW w:w="8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30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30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Ceridian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6614" w:type="dxa"/>
        <w:jc w:val="left"/>
        <w:tblInd w:w="0" w:type="dxa"/>
        <w:tblCellMar>
          <w:top w:w="28" w:type="dxa"/>
          <w:left w:w="28" w:type="dxa"/>
          <w:bottom w:w="28" w:type="dxa"/>
          <w:right w:w="28" w:type="dxa"/>
        </w:tblCellMar>
      </w:tblPr>
      <w:tblGrid>
        <w:gridCol w:w="818"/>
        <w:gridCol w:w="720"/>
        <w:gridCol w:w="726"/>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8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35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35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Ceridian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no material assets or liabilities valued on a recurring basis using Level 3 inputs as of or for the three months ended March 31, 2023 and December 31, 2022.</w:t>
      </w:r>
    </w:p>
    <w:p>
      <w:pPr>
        <w:pStyle w:val="TextBody"/>
        <w:spacing w:lineRule="auto" w:line="288" w:before="120" w:after="120"/>
        <w:ind w:left="0" w:right="0" w:firstLine="360"/>
        <w:jc w:val="both"/>
        <w:rPr/>
      </w:pPr>
      <w:r>
        <w:rPr>
          <w:rFonts w:ascii="Times New Roman;sans-serif" w:hAnsi="Times New Roman;sans-serif"/>
          <w:b w:val="false"/>
          <w:color w:val="000000"/>
          <w:sz w:val="20"/>
        </w:rPr>
        <w:t xml:space="preserve">Additional information regarding the fair value of our investment portfolio is included in Note B - </w:t>
      </w:r>
      <w:r>
        <w:rPr>
          <w:rFonts w:ascii="Times New Roman;sans-serif" w:hAnsi="Times New Roman;sans-serif"/>
          <w:b w:val="false"/>
          <w:i/>
          <w:color w:val="000000"/>
          <w:sz w:val="20"/>
        </w:rPr>
        <w:t>Investments</w:t>
      </w:r>
      <w:r>
        <w:rPr>
          <w:rFonts w:ascii="Times New Roman;sans-serif" w:hAnsi="Times New Roman;sans-serif"/>
          <w:b w:val="false"/>
          <w:color w:val="000000"/>
          <w:sz w:val="20"/>
        </w:rPr>
        <w: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D — Variable Interest Entities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spacing w:before="0" w:after="0"/>
        <w:jc w:val="center"/>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as deemed appropriate. As of and for the periods ended March 31, 2023 and December 31, 2022, we are not the primary beneficiary of any VIEs.</w:t>
      </w:r>
    </w:p>
    <w:p>
      <w:pPr>
        <w:pStyle w:val="TextBody"/>
        <w:spacing w:lineRule="auto" w:line="288" w:before="12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Unconsolidated VIEs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select information related to variable interests held by the Company as of March 31, 2023 and December 31, 2022, of which we are not the primary beneficiary:</w:t>
      </w:r>
    </w:p>
    <w:tbl>
      <w:tblPr>
        <w:tblW w:w="9716" w:type="dxa"/>
        <w:jc w:val="left"/>
        <w:tblInd w:w="0" w:type="dxa"/>
        <w:tblCellMar>
          <w:top w:w="28" w:type="dxa"/>
          <w:left w:w="28" w:type="dxa"/>
          <w:bottom w:w="28" w:type="dxa"/>
          <w:right w:w="28" w:type="dxa"/>
        </w:tblCellMar>
      </w:tblPr>
      <w:tblGrid>
        <w:gridCol w:w="1216"/>
        <w:gridCol w:w="1070"/>
        <w:gridCol w:w="1073"/>
        <w:gridCol w:w="109"/>
        <w:gridCol w:w="109"/>
        <w:gridCol w:w="109"/>
        <w:gridCol w:w="254"/>
        <w:gridCol w:w="743"/>
        <w:gridCol w:w="131"/>
        <w:gridCol w:w="131"/>
        <w:gridCol w:w="351"/>
        <w:gridCol w:w="1027"/>
        <w:gridCol w:w="181"/>
        <w:gridCol w:w="129"/>
        <w:gridCol w:w="129"/>
        <w:gridCol w:w="129"/>
        <w:gridCol w:w="250"/>
        <w:gridCol w:w="732"/>
        <w:gridCol w:w="129"/>
        <w:gridCol w:w="109"/>
        <w:gridCol w:w="345"/>
        <w:gridCol w:w="1008"/>
        <w:gridCol w:w="252"/>
      </w:tblGrid>
      <w:tr>
        <w:trPr/>
        <w:tc>
          <w:tcPr>
            <w:tcW w:w="121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4"/>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714" w:type="dxa"/>
            <w:gridSpan w:val="4"/>
            <w:tcBorders/>
            <w:shd w:fill="auto" w:val="clea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Assets</w:t>
            </w:r>
          </w:p>
        </w:tc>
        <w:tc>
          <w:tcPr>
            <w:tcW w:w="131" w:type="dxa"/>
            <w:tcBorders/>
            <w:shd w:fill="auto" w:val="clear"/>
            <w:vAlign w:val="center"/>
          </w:tcPr>
          <w:p>
            <w:pPr>
              <w:pStyle w:val="TableContents"/>
              <w:spacing w:before="0" w:after="283"/>
              <w:rPr>
                <w:sz w:val="4"/>
                <w:szCs w:val="4"/>
              </w:rPr>
            </w:pPr>
            <w:r>
              <w:rPr>
                <w:sz w:val="4"/>
                <w:szCs w:val="4"/>
              </w:rPr>
            </w:r>
          </w:p>
        </w:tc>
        <w:tc>
          <w:tcPr>
            <w:tcW w:w="155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w:t>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Assets</w:t>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w:t>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643" w:type="dxa"/>
            <w:gridSpan w:val="1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714" w:type="dxa"/>
            <w:gridSpan w:val="4"/>
            <w:tcBorders/>
            <w:shd w:fill="auto" w:val="clea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Affiliates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we held variable interests in certain unconsolidated affiliates, which are primarily comprised of our ownership interests in BKFE and CSI. Cannae does not have the power to direct the activities that most significantly impact the economic performance of these unconsolidated affiliates; therefore, we are not the primary beneficiary.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risk to which these investments and funds are exposed is the credit risk of the underlying investees. Cannae has guaranteed certain payment obligations of BKFE related to earnouts of its acquisitions of interests in football clubs and investment commitments associated with these acquisitions. These BKFE obligations total an estimated amount of approximately $100.8 million in the aggregate as of the date of this Quarterly Report and are potentially payable at various increments over the next five years. The underlying obligation of BKFE to fund these amounts is contingent on certain earnout criteria being met or the exercise of certain investment options by BKFE or other parties. Cannae is required to fund such payments solely to the extent BKFE is unable to meet these obligations. We do not provide any other implicit or explicit liquidity guarantees or principal value guarantees to these VIEs. </w:t>
      </w:r>
    </w:p>
    <w:p>
      <w:pPr>
        <w:pStyle w:val="TextBody"/>
        <w:spacing w:lineRule="auto" w:line="288" w:before="120" w:after="120"/>
        <w:ind w:left="0" w:right="0" w:firstLine="360"/>
        <w:jc w:val="both"/>
        <w:rPr/>
      </w:pPr>
      <w:r>
        <w:rPr>
          <w:rFonts w:ascii="Times New Roman;sans-serif" w:hAnsi="Times New Roman;sans-serif"/>
          <w:b w:val="false"/>
          <w:color w:val="000000"/>
          <w:sz w:val="20"/>
        </w:rPr>
        <w:t xml:space="preserve">The assets are included in Investments in unconsolidated affiliates on the Condensed Consolidated Balance Sheets and accounted for under the equity method of accounting. See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 xml:space="preserve">for further discussion of our accounting for investments in unconsolidated affiliates.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spacing w:before="0" w:after="0"/>
        <w:jc w:val="center"/>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Note E — Segment Information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concerning our reportable segments is shown in the following tables.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and for the three months ended March 31, 2023:</w:t>
      </w:r>
    </w:p>
    <w:tbl>
      <w:tblPr>
        <w:tblW w:w="11616" w:type="dxa"/>
        <w:jc w:val="center"/>
        <w:tblInd w:w="0" w:type="dxa"/>
        <w:tblCellMar>
          <w:top w:w="28" w:type="dxa"/>
          <w:left w:w="28" w:type="dxa"/>
          <w:bottom w:w="28" w:type="dxa"/>
          <w:right w:w="28" w:type="dxa"/>
        </w:tblCellMar>
      </w:tblPr>
      <w:tblGrid>
        <w:gridCol w:w="634"/>
        <w:gridCol w:w="268"/>
        <w:gridCol w:w="269"/>
        <w:gridCol w:w="196"/>
        <w:gridCol w:w="556"/>
        <w:gridCol w:w="109"/>
        <w:gridCol w:w="109"/>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556"/>
        <w:gridCol w:w="109"/>
        <w:gridCol w:w="109"/>
        <w:gridCol w:w="109"/>
        <w:gridCol w:w="109"/>
        <w:gridCol w:w="196"/>
        <w:gridCol w:w="691"/>
        <w:gridCol w:w="109"/>
        <w:gridCol w:w="109"/>
        <w:gridCol w:w="109"/>
        <w:gridCol w:w="109"/>
        <w:gridCol w:w="196"/>
        <w:gridCol w:w="796"/>
        <w:gridCol w:w="109"/>
        <w:gridCol w:w="109"/>
        <w:gridCol w:w="109"/>
        <w:gridCol w:w="109"/>
        <w:gridCol w:w="196"/>
        <w:gridCol w:w="691"/>
        <w:gridCol w:w="154"/>
      </w:tblGrid>
      <w:tr>
        <w:trPr/>
        <w:tc>
          <w:tcPr>
            <w:tcW w:w="6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Restaurant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Dun &amp; Bradstreet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Paysafe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Alight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Sightline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Corporate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Affiliate Elimination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77" w:type="dxa"/>
            <w:gridSpan w:val="4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368" w:type="dxa"/>
            <w:gridSpan w:val="6"/>
            <w:tcBorders/>
            <w:shd w:fill="auto" w:val="clea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Restaurant revenues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revenues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from external customers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investment and other income, including recognized gains (losses), net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other income and realized gains (losses), net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earnings before income taxes and equity in earnings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 expense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earnings, before equity in (losses) earnings of unconsolidated affiliates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earnings (losses) of unconsolidated affiliates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earnings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5,957.1 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(26,357.0)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3,132.8 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As of and for the three months ended March 31, 2022:</w:t>
      </w:r>
    </w:p>
    <w:tbl>
      <w:tblPr>
        <w:tblW w:w="11725" w:type="dxa"/>
        <w:jc w:val="left"/>
        <w:tblInd w:w="0" w:type="dxa"/>
        <w:tblCellMar>
          <w:top w:w="28" w:type="dxa"/>
          <w:left w:w="28" w:type="dxa"/>
          <w:bottom w:w="28" w:type="dxa"/>
          <w:right w:w="28" w:type="dxa"/>
        </w:tblCellMar>
      </w:tblPr>
      <w:tblGrid>
        <w:gridCol w:w="634"/>
        <w:gridCol w:w="268"/>
        <w:gridCol w:w="269"/>
        <w:gridCol w:w="196"/>
        <w:gridCol w:w="556"/>
        <w:gridCol w:w="109"/>
        <w:gridCol w:w="109"/>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556"/>
        <w:gridCol w:w="109"/>
        <w:gridCol w:w="109"/>
        <w:gridCol w:w="109"/>
        <w:gridCol w:w="109"/>
        <w:gridCol w:w="196"/>
        <w:gridCol w:w="691"/>
        <w:gridCol w:w="109"/>
        <w:gridCol w:w="109"/>
        <w:gridCol w:w="109"/>
        <w:gridCol w:w="109"/>
        <w:gridCol w:w="196"/>
        <w:gridCol w:w="796"/>
        <w:gridCol w:w="109"/>
        <w:gridCol w:w="109"/>
        <w:gridCol w:w="109"/>
        <w:gridCol w:w="109"/>
        <w:gridCol w:w="196"/>
        <w:gridCol w:w="691"/>
        <w:gridCol w:w="109"/>
        <w:gridCol w:w="154"/>
      </w:tblGrid>
      <w:tr>
        <w:trPr/>
        <w:tc>
          <w:tcPr>
            <w:tcW w:w="6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Restaurant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Dun &amp; Bradstreet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Paysafe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Alight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Sightline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4"/>
              </w:rPr>
              <w:t>Corporate</w:t>
              <w:br/>
              <w:t>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Affiliate Elimination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77" w:type="dxa"/>
            <w:gridSpan w:val="4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4"/>
            <w:tcBorders/>
            <w:shd w:fill="auto" w:val="clea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Restaurant revenues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revenues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from external customers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investment and other income (expense), including recognized gains (losses), net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other income and recognized gains (losses), net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earnings before income taxes and equity in earnings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 expense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earnings before equity in earnings of unconsolidated affiliates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earnings (losses) of unconsolidated affiliates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earnings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(28,527.9)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The activities in our segments include the following:</w:t>
      </w:r>
    </w:p>
    <w:p>
      <w:pPr>
        <w:pStyle w:val="TextBody"/>
        <w:spacing w:lineRule="auto" w:line="288" w:before="120" w:after="120"/>
        <w:ind w:left="0" w:right="0" w:hanging="450"/>
        <w:jc w:val="both"/>
        <w:rPr/>
      </w:pPr>
      <w:r>
        <w:rPr>
          <w:color w:val="000000"/>
        </w:rPr>
        <w:t>•</w:t>
      </w:r>
      <w:r>
        <w:rPr>
          <w:rFonts w:ascii="Times New Roman;sans-serif" w:hAnsi="Times New Roman;sans-serif"/>
          <w:b w:val="false"/>
          <w:i/>
          <w:color w:val="000000"/>
          <w:sz w:val="20"/>
        </w:rPr>
        <w:t xml:space="preserve">Restaurant Group. </w:t>
      </w:r>
      <w:r>
        <w:rPr>
          <w:rFonts w:ascii="Times New Roman;sans-serif" w:hAnsi="Times New Roman;sans-serif"/>
          <w:b w:val="false"/>
          <w:color w:val="000000"/>
          <w:sz w:val="20"/>
        </w:rPr>
        <w:t xml:space="preserve">This segment consists primarily of the operations of O'Charley's and 99 Restaurants in which we have 65.4% and 88.5% ownership interests, respectively. O'Charley's and 99 Restaurants and their affiliates are the owners and operators of the O'Charley's and Ninety Nine Restaurants restaurant concepts, respectively.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spacing w:before="0" w:after="0"/>
        <w:jc w:val="center"/>
        <w:rPr/>
      </w:pPr>
      <w:r>
        <w:rPr/>
      </w:r>
    </w:p>
    <w:p>
      <w:pPr>
        <w:pStyle w:val="TextBody"/>
        <w:spacing w:lineRule="auto" w:line="288" w:before="120" w:after="120"/>
        <w:ind w:left="0" w:right="0" w:hanging="450"/>
        <w:jc w:val="both"/>
        <w:rPr/>
      </w:pPr>
      <w:r>
        <w:rPr>
          <w:color w:val="000000"/>
        </w:rPr>
        <w:t>•</w:t>
      </w:r>
      <w:r>
        <w:rPr>
          <w:rFonts w:ascii="Times New Roman;sans-serif" w:hAnsi="Times New Roman;sans-serif"/>
          <w:b w:val="false"/>
          <w:i/>
          <w:color w:val="000000"/>
          <w:sz w:val="20"/>
        </w:rPr>
        <w:t xml:space="preserve">Dun &amp; Bradstreet. </w:t>
      </w:r>
      <w:r>
        <w:rPr>
          <w:rFonts w:ascii="Times New Roman;sans-serif" w:hAnsi="Times New Roman;sans-serif"/>
          <w:b w:val="false"/>
          <w:color w:val="000000"/>
          <w:sz w:val="20"/>
        </w:rPr>
        <w:t>This segment consists of our 18.0% ownership interest in Dun &amp; Bradstreet. Dun &amp; Bradstreet is a leading global provider of business decisioning data and analytics.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2022 contained hundreds of millions of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in the tables above. We account for Dun &amp; Bradstreet using the equity method of accounting; therefore, its results do not consolidate into ours. Accordingly, we have presented the elimination of Dun &amp; Bradstreet's results in the </w:t>
      </w:r>
      <w:r>
        <w:rPr>
          <w:rFonts w:ascii="Times New Roman;sans-serif" w:hAnsi="Times New Roman;sans-serif"/>
          <w:b w:val="false"/>
          <w:i/>
          <w:color w:val="000000"/>
          <w:sz w:val="20"/>
        </w:rPr>
        <w:t>Affiliate Elimination</w:t>
      </w:r>
      <w:r>
        <w:rPr>
          <w:color w:val="000000"/>
        </w:rPr>
        <w:t> </w:t>
      </w:r>
      <w:r>
        <w:rPr>
          <w:rFonts w:ascii="Times New Roman;sans-serif" w:hAnsi="Times New Roman;sans-serif"/>
          <w:b w:val="false"/>
          <w:color w:val="000000"/>
          <w:sz w:val="20"/>
        </w:rPr>
        <w:t xml:space="preserve">section of the segment presentation above. </w:t>
      </w:r>
    </w:p>
    <w:p>
      <w:pPr>
        <w:pStyle w:val="TextBody"/>
        <w:spacing w:lineRule="auto" w:line="288" w:before="120" w:after="120"/>
        <w:ind w:left="0" w:right="0" w:hanging="450"/>
        <w:jc w:val="both"/>
        <w:rPr/>
      </w:pPr>
      <w:r>
        <w:rPr>
          <w:color w:val="000000"/>
        </w:rPr>
        <w:t>•</w:t>
      </w:r>
      <w:r>
        <w:rPr>
          <w:rFonts w:ascii="Times New Roman;sans-serif" w:hAnsi="Times New Roman;sans-serif"/>
          <w:b w:val="false"/>
          <w:i/>
          <w:color w:val="000000"/>
          <w:sz w:val="20"/>
        </w:rPr>
        <w:t>Alight</w:t>
      </w:r>
      <w:r>
        <w:rPr>
          <w:rFonts w:ascii="Times New Roman;sans-serif" w:hAnsi="Times New Roman;sans-serif"/>
          <w:b w:val="false"/>
          <w:color w:val="000000"/>
          <w:sz w:val="20"/>
        </w:rPr>
        <w:t xml:space="preserve">. This segment consists of our 9.7% ownership interest in Alight. Alight is a leading cloud-based human capital technology and services provider that powers confident health, wealth and wellbeing decisions for millions of people and their dependents. Its Alight Worklife® platform combines data and analytics with a simple, seamless user experience. Supported by its global delivery capabilities, Alight Worklife is transforming the employee experience for people around the world through personalized, data-driven health, wealth, pay and wellbeing insights. Our chief operating decision maker reviews the full financial results of Alight for purposes of assessing performance and allocating resources. Thus, we consider Alight a reportable segment and have included the full results of Alight subsequent to our initial acquisition of an ownership interest in the tables above. We account for Alight using the equity method of accounting, and therefore, its results do not consolidate into ours. Accordingly, we have presented the elimination of Alight's results in the </w:t>
      </w:r>
      <w:r>
        <w:rPr>
          <w:rFonts w:ascii="Times New Roman;sans-serif" w:hAnsi="Times New Roman;sans-serif"/>
          <w:b w:val="false"/>
          <w:i/>
          <w:color w:val="000000"/>
          <w:sz w:val="20"/>
        </w:rPr>
        <w:t>Affiliate Elimination</w:t>
      </w:r>
      <w:r>
        <w:rPr>
          <w:color w:val="000000"/>
        </w:rPr>
        <w:t xml:space="preserve"> </w:t>
      </w:r>
      <w:r>
        <w:rPr>
          <w:rFonts w:ascii="Times New Roman;sans-serif" w:hAnsi="Times New Roman;sans-serif"/>
          <w:b w:val="false"/>
          <w:color w:val="000000"/>
          <w:sz w:val="20"/>
        </w:rPr>
        <w:t xml:space="preserve">section of the segment presentation above. </w:t>
      </w:r>
    </w:p>
    <w:p>
      <w:pPr>
        <w:pStyle w:val="TextBody"/>
        <w:spacing w:lineRule="auto" w:line="288" w:before="120" w:after="120"/>
        <w:ind w:left="0" w:right="0" w:hanging="450"/>
        <w:jc w:val="both"/>
        <w:rPr/>
      </w:pPr>
      <w:r>
        <w:rPr>
          <w:color w:val="000000"/>
        </w:rPr>
        <w:t>•</w:t>
      </w:r>
      <w:r>
        <w:rPr>
          <w:rFonts w:ascii="Times New Roman;sans-serif" w:hAnsi="Times New Roman;sans-serif"/>
          <w:b w:val="false"/>
          <w:i/>
          <w:color w:val="000000"/>
          <w:sz w:val="20"/>
        </w:rPr>
        <w:t>Paysafe</w:t>
      </w:r>
      <w:r>
        <w:rPr>
          <w:rFonts w:ascii="Times New Roman;sans-serif" w:hAnsi="Times New Roman;sans-serif"/>
          <w:b w:val="false"/>
          <w:color w:val="000000"/>
          <w:sz w:val="20"/>
        </w:rPr>
        <w:t xml:space="preserve">. This segment consists of our 5.6% ownership interest in Paysafe. Paysafe is a leading payments platform with an extensive track record of serving merchants and consumers in the global entertainment sectors. Its core purpose is to enable businesses and consumers to connect and transact seamlessly through industry-leading capabilities in payment processing, digital wallet, and online cash solutions. Our chief operating decision maker reviews the full financial results of Paysafe for purposes of assessing performance and allocating resources. Thus, we consider Paysafe a reportable segment and have included the full results of Paysafe subsequent to our initial acquisition of an ownership interest in the tables above. We account for Paysafe using the equity method of accounting, and therefore, its results do not consolidate into ours. Accordingly, we have presented the elimination of Paysafe's results in the </w:t>
      </w:r>
      <w:r>
        <w:rPr>
          <w:rFonts w:ascii="Times New Roman;sans-serif" w:hAnsi="Times New Roman;sans-serif"/>
          <w:b w:val="false"/>
          <w:i/>
          <w:color w:val="000000"/>
          <w:sz w:val="20"/>
        </w:rPr>
        <w:t>Affiliate Elimination</w:t>
      </w:r>
      <w:r>
        <w:rPr>
          <w:color w:val="000000"/>
        </w:rPr>
        <w:t xml:space="preserve"> </w:t>
      </w:r>
      <w:r>
        <w:rPr>
          <w:rFonts w:ascii="Times New Roman;sans-serif" w:hAnsi="Times New Roman;sans-serif"/>
          <w:b w:val="false"/>
          <w:color w:val="000000"/>
          <w:sz w:val="20"/>
        </w:rPr>
        <w:t xml:space="preserve">section of the segment presentation above. We report our equity in earnings or loss of Paysafe on a three-month lag and we acquired our ownership interest on March 30, 2021. Accordingly, our net earnings and the segment tables above, respectively, for the three months ended March 31, 2023 and 2022, include our equity in Paysafe’s earnings and complete results of Paysafe, respectively, for the three months ended December 31, 2022 and 2021, respectively. </w:t>
      </w:r>
    </w:p>
    <w:p>
      <w:pPr>
        <w:pStyle w:val="TextBody"/>
        <w:spacing w:lineRule="auto" w:line="288" w:before="120" w:after="120"/>
        <w:ind w:left="0" w:right="0" w:hanging="450"/>
        <w:jc w:val="both"/>
        <w:rPr/>
      </w:pPr>
      <w:r>
        <w:rPr>
          <w:color w:val="000000"/>
        </w:rPr>
        <w:t>•</w:t>
      </w:r>
      <w:r>
        <w:rPr>
          <w:rFonts w:ascii="Times New Roman;sans-serif" w:hAnsi="Times New Roman;sans-serif"/>
          <w:b w:val="false"/>
          <w:i/>
          <w:color w:val="000000"/>
          <w:sz w:val="20"/>
        </w:rPr>
        <w:t>Sightline</w:t>
      </w:r>
      <w:r>
        <w:rPr>
          <w:rFonts w:ascii="Times New Roman;sans-serif" w:hAnsi="Times New Roman;sans-serif"/>
          <w:b w:val="false"/>
          <w:color w:val="000000"/>
          <w:sz w:val="20"/>
        </w:rPr>
        <w:t xml:space="preserve">. This segment consists of our 32.4% ownership interest in Sightline Payments. Sightline Payments is a leading digital payments provider and mobile application developer to the United States' sports betting and casino gaming market. Our chief operating decision maker reviews the full financial results of Sightline for purposes of assessing performance and allocating resources. Thus, we consider Sightline a reportable segment and have included the full results of Sightline subsequent to our initial acquisition of an ownership interest in the tables above. We account for Sightline using the equity method of accounting, and therefore, its results do not consolidate into ours. Accordingly, we have presented the elimination of Sightline's results in the </w:t>
      </w:r>
      <w:r>
        <w:rPr>
          <w:rFonts w:ascii="Times New Roman;sans-serif" w:hAnsi="Times New Roman;sans-serif"/>
          <w:b w:val="false"/>
          <w:i/>
          <w:color w:val="000000"/>
          <w:sz w:val="20"/>
        </w:rPr>
        <w:t>Affiliate Elimination</w:t>
      </w:r>
      <w:r>
        <w:rPr>
          <w:color w:val="000000"/>
        </w:rPr>
        <w:t xml:space="preserve"> </w:t>
      </w:r>
      <w:r>
        <w:rPr>
          <w:rFonts w:ascii="Times New Roman;sans-serif" w:hAnsi="Times New Roman;sans-serif"/>
          <w:b w:val="false"/>
          <w:color w:val="000000"/>
          <w:sz w:val="20"/>
        </w:rPr>
        <w:t>section of the segment presentation above. We report our equity in earnings or loss of Sightline on a three-month lag and we acquired our ownership interest on March 31, 2021. Accordingly, our net earnings and the segment tables above, respectively, for the three months ended March 31, 2023 and 2022, include our equity in Sightline’s earnings and complete results of Sightline, respectively, for the three months ended December 31, 2022 and 2021, respectively.</w:t>
      </w:r>
    </w:p>
    <w:p>
      <w:pPr>
        <w:pStyle w:val="TextBody"/>
        <w:spacing w:lineRule="auto" w:line="288" w:before="120" w:after="120"/>
        <w:ind w:left="0" w:right="0" w:hanging="450"/>
        <w:jc w:val="both"/>
        <w:rPr/>
      </w:pPr>
      <w:r>
        <w:rPr>
          <w:color w:val="000000"/>
        </w:rPr>
        <w:t>•</w:t>
      </w:r>
      <w:r>
        <w:rPr>
          <w:rFonts w:ascii="Times New Roman;sans-serif" w:hAnsi="Times New Roman;sans-serif"/>
          <w:b w:val="false"/>
          <w:i/>
          <w:color w:val="000000"/>
          <w:sz w:val="20"/>
        </w:rPr>
        <w:t>Corporate and Other.</w:t>
      </w:r>
      <w:r>
        <w:rPr>
          <w:color w:val="000000"/>
        </w:rPr>
        <w:t xml:space="preserve"> </w:t>
      </w:r>
      <w:r>
        <w:rPr>
          <w:rFonts w:ascii="Times New Roman;sans-serif" w:hAnsi="Times New Roman;sans-serif"/>
          <w:b w:val="false"/>
          <w:color w:val="000000"/>
          <w:sz w:val="20"/>
        </w:rPr>
        <w:t xml:space="preserve">This nonreportable segment consists of our share in the operations of certain controlled portfolio companies and other equity interests, activity of the corporate holding company and certain intercompany eliminations and taxes.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spacing w:before="0" w:after="0"/>
        <w:jc w:val="center"/>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F — Revenue Recognition</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spacing w:lineRule="auto" w:line="288" w:before="10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consists of:</w:t>
      </w:r>
    </w:p>
    <w:tbl>
      <w:tblPr>
        <w:tblW w:w="7234" w:type="dxa"/>
        <w:jc w:val="center"/>
        <w:tblInd w:w="0" w:type="dxa"/>
        <w:tblCellMar>
          <w:top w:w="28" w:type="dxa"/>
          <w:left w:w="28" w:type="dxa"/>
          <w:bottom w:w="28" w:type="dxa"/>
          <w:right w:w="28" w:type="dxa"/>
        </w:tblCellMar>
      </w:tblPr>
      <w:tblGrid>
        <w:gridCol w:w="792"/>
        <w:gridCol w:w="696"/>
        <w:gridCol w:w="701"/>
        <w:gridCol w:w="109"/>
        <w:gridCol w:w="109"/>
        <w:gridCol w:w="109"/>
        <w:gridCol w:w="503"/>
        <w:gridCol w:w="503"/>
        <w:gridCol w:w="509"/>
        <w:gridCol w:w="109"/>
        <w:gridCol w:w="109"/>
        <w:gridCol w:w="109"/>
        <w:gridCol w:w="229"/>
        <w:gridCol w:w="651"/>
        <w:gridCol w:w="127"/>
        <w:gridCol w:w="127"/>
        <w:gridCol w:w="127"/>
        <w:gridCol w:w="127"/>
        <w:gridCol w:w="229"/>
        <w:gridCol w:w="651"/>
        <w:gridCol w:w="127"/>
        <w:gridCol w:w="109"/>
        <w:gridCol w:w="109"/>
        <w:gridCol w:w="109"/>
        <w:gridCol w:w="154"/>
      </w:tblGrid>
      <w:tr>
        <w:trPr/>
        <w:tc>
          <w:tcPr>
            <w:tcW w:w="7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Stream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w:t>
            </w:r>
          </w:p>
        </w:tc>
        <w:tc>
          <w:tcPr>
            <w:tcW w:w="481" w:type="dxa"/>
            <w:gridSpan w:val="4"/>
            <w:tcBorders/>
            <w:shd w:fill="auto" w:val="clear"/>
          </w:tcPr>
          <w:p>
            <w:pPr>
              <w:pStyle w:val="TableContents"/>
              <w:spacing w:before="0" w:after="283"/>
              <w:rPr>
                <w:sz w:val="4"/>
                <w:szCs w:val="4"/>
              </w:rPr>
            </w:pPr>
            <w:r>
              <w:rPr>
                <w:sz w:val="4"/>
                <w:szCs w:val="4"/>
              </w:rPr>
            </w:r>
          </w:p>
        </w:tc>
      </w:tr>
      <w:tr>
        <w:trPr/>
        <w:tc>
          <w:tcPr>
            <w:tcW w:w="2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Restaurant Group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Restaurant Group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and resort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operating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Restaurant revenue consists of restaurant sales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trade receivables and deferred revenue:</w:t>
      </w:r>
    </w:p>
    <w:tbl>
      <w:tblPr>
        <w:tblW w:w="6281" w:type="dxa"/>
        <w:jc w:val="center"/>
        <w:tblInd w:w="0" w:type="dxa"/>
        <w:tblCellMar>
          <w:top w:w="28" w:type="dxa"/>
          <w:left w:w="28" w:type="dxa"/>
          <w:bottom w:w="28" w:type="dxa"/>
          <w:right w:w="28" w:type="dxa"/>
        </w:tblCellMar>
      </w:tblPr>
      <w:tblGrid>
        <w:gridCol w:w="1139"/>
        <w:gridCol w:w="1002"/>
        <w:gridCol w:w="1009"/>
        <w:gridCol w:w="366"/>
        <w:gridCol w:w="705"/>
        <w:gridCol w:w="189"/>
        <w:gridCol w:w="109"/>
        <w:gridCol w:w="109"/>
        <w:gridCol w:w="109"/>
        <w:gridCol w:w="422"/>
        <w:gridCol w:w="812"/>
        <w:gridCol w:w="310"/>
      </w:tblGrid>
      <w:tr>
        <w:trPr/>
        <w:tc>
          <w:tcPr>
            <w:tcW w:w="1139"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1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(contract liabilities)</w:t>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jc w:val="both"/>
        <w:rPr/>
      </w:pPr>
      <w:r>
        <w:rPr>
          <w:rFonts w:ascii="Times New Roman;sans-serif" w:hAnsi="Times New Roman;sans-serif"/>
          <w:b w:val="false"/>
          <w:color w:val="000000"/>
          <w:sz w:val="20"/>
        </w:rPr>
        <w:t xml:space="preserve">Deferred revenue is recorded primarily for restaurant gift card sales. The unrecognized portion of such revenue is recorded as Deferred revenue in the Condensed Consolidated Balance Sheets. Revenue of $1.7 million and $2.4 million was recognized in the three months ended </w:t>
      </w:r>
      <w:r>
        <w:rPr>
          <w:rFonts w:ascii="Times New Roman;sans-serif" w:hAnsi="Times New Roman;sans-serif"/>
          <w:b w:val="false"/>
          <w:color w:val="000000"/>
          <w:sz w:val="20"/>
          <w:highlight w:val="white"/>
        </w:rPr>
        <w:t>March 31, 2023 and</w:t>
      </w:r>
      <w:r>
        <w:rPr>
          <w:color w:val="000000"/>
        </w:rPr>
        <w:t xml:space="preserve"> </w:t>
      </w:r>
      <w:r>
        <w:rPr>
          <w:rFonts w:ascii="Times New Roman;sans-serif" w:hAnsi="Times New Roman;sans-serif"/>
          <w:b w:val="false"/>
          <w:color w:val="000000"/>
          <w:sz w:val="20"/>
          <w:highlight w:val="white"/>
        </w:rPr>
        <w:t>2022</w:t>
      </w:r>
      <w:r>
        <w:rPr>
          <w:rFonts w:ascii="Times New Roman;sans-serif" w:hAnsi="Times New Roman;sans-serif"/>
          <w:b w:val="false"/>
          <w:color w:val="000000"/>
          <w:sz w:val="20"/>
        </w:rPr>
        <w:t>, respectively, that was included in Deferred revenue at the beginning of the period.</w:t>
      </w:r>
    </w:p>
    <w:p>
      <w:pPr>
        <w:pStyle w:val="TextBody"/>
        <w:spacing w:lineRule="auto" w:line="288" w:before="10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impairment related to contract balances.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G — Notes Payable</w:t>
      </w:r>
    </w:p>
    <w:p>
      <w:pPr>
        <w:pStyle w:val="TextBody"/>
        <w:spacing w:lineRule="auto" w:line="288" w:before="120" w:after="120"/>
        <w:ind w:left="0" w:right="0" w:firstLine="31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Notes payable, net consists of the following:</w:t>
      </w:r>
    </w:p>
    <w:tbl>
      <w:tblPr>
        <w:tblW w:w="5857" w:type="dxa"/>
        <w:jc w:val="left"/>
        <w:tblInd w:w="0" w:type="dxa"/>
        <w:tblCellMar>
          <w:top w:w="28" w:type="dxa"/>
          <w:left w:w="28" w:type="dxa"/>
          <w:bottom w:w="28" w:type="dxa"/>
          <w:right w:w="28" w:type="dxa"/>
        </w:tblCellMar>
      </w:tblPr>
      <w:tblGrid>
        <w:gridCol w:w="870"/>
        <w:gridCol w:w="764"/>
        <w:gridCol w:w="766"/>
        <w:gridCol w:w="109"/>
        <w:gridCol w:w="109"/>
        <w:gridCol w:w="109"/>
        <w:gridCol w:w="284"/>
        <w:gridCol w:w="829"/>
        <w:gridCol w:w="146"/>
        <w:gridCol w:w="109"/>
        <w:gridCol w:w="109"/>
        <w:gridCol w:w="109"/>
        <w:gridCol w:w="372"/>
        <w:gridCol w:w="901"/>
        <w:gridCol w:w="271"/>
      </w:tblGrid>
      <w:tr>
        <w:trPr/>
        <w:tc>
          <w:tcPr>
            <w:tcW w:w="870"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2020 Margin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FNF Revolver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long term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the carrying value of our outstanding notes payable approximates fair value and are considered Level 2 financial liabilities.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spacing w:before="0" w:after="0"/>
        <w:jc w:val="center"/>
        <w:rPr/>
      </w:pPr>
      <w:r>
        <w:rPr/>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2020 Margin Facility</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2020 Margin Facility, the Borrowers may borrow up to $250.0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November 30, 2023. Outstanding amounts under the 2020 Margin Facility, if any, bear interest quarterly at a rate per annum equal to a three-month adjusted SOFR plus an applicable margin. The 2020 Margin Facility requires the Borrowers to maintain a certain loan-to-value ratio (based on the value of Ceridian and D&amp;B shares). In the event the Borrowers fail to maintain such loan-to-value ratio, the Borrowers must post additional cash collateral under the Loan Agreement and/or elect to repay a portion of the revolving loans thereunder, or sell the Ceridian and/or D&amp;B shares and use the proceeds from such sale to prepay a portion of the revolving loans thereunder.</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was no outstanding balance under the 2020 Margin Facility, $250.0 million of unused capacity with an option to increase the capacity to $500.0 million upon amendment, and the 2020 Margin Facility was secured by a first priority lien on 5 million shares of Ceridian and 35 million shares of D&amp;B.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FNF Revolver</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17, 2017, Fidelity National Financial, Inc.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Pursuant to the FNF Revolver, FNF may make one or more loans to us with up to $100.0 million outstanding at any time. The FNF Revolver accrues interest at one-month adjusted SOFR plus 450 basis points and matures on November 17, 2025. The maturity date is automatically extended for additional five-year terms unless notice of non-renewal is otherwise provided by either FNF or Cannae, in their sole discretion. On June 28, 2022, we completed the repurchase of all of our common stock previously held by FNF.</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a $84.7 million outstanding principal amount which incurred interest at 9.23% and there is no available borrowing capacity under the FNF Revolver.</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Gross principal maturities of notes payable at March 31, 2023 are as follows (in millions):</w:t>
      </w:r>
    </w:p>
    <w:tbl>
      <w:tblPr>
        <w:tblW w:w="2510" w:type="dxa"/>
        <w:jc w:val="left"/>
        <w:tblInd w:w="0" w:type="dxa"/>
        <w:tblCellMar>
          <w:top w:w="28" w:type="dxa"/>
          <w:left w:w="28" w:type="dxa"/>
          <w:bottom w:w="28" w:type="dxa"/>
          <w:right w:w="28" w:type="dxa"/>
        </w:tblCellMar>
      </w:tblPr>
      <w:tblGrid>
        <w:gridCol w:w="553"/>
        <w:gridCol w:w="486"/>
        <w:gridCol w:w="490"/>
        <w:gridCol w:w="211"/>
        <w:gridCol w:w="616"/>
        <w:gridCol w:w="154"/>
      </w:tblGrid>
      <w:tr>
        <w:trPr/>
        <w:tc>
          <w:tcPr>
            <w:tcW w:w="553"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H — Commitments and Contingencies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Restaurant Group companies are a defendant from time to time in various legal proceedings arising in the ordinary course of business, including claims relating to injury or wrongful death under "dram shop" laws that allow a person to sue us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spacing w:before="0" w:after="0"/>
        <w:jc w:val="center"/>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pStyle w:val="TextBody"/>
        <w:spacing w:lineRule="auto" w:line="288" w:before="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March 31, 2023 and December 31, 2022,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pStyle w:val="TextBody"/>
        <w:spacing w:lineRule="auto" w:line="268" w:before="120" w:after="120"/>
        <w:ind w:left="0" w:right="0" w:firstLine="360"/>
        <w:jc w:val="both"/>
        <w:rPr/>
      </w:pPr>
      <w:r>
        <w:rPr>
          <w:rFonts w:ascii="Times New Roman;sans-serif" w:hAnsi="Times New Roman;sans-serif"/>
          <w:b w:val="false"/>
          <w:color w:val="000000"/>
          <w:sz w:val="20"/>
        </w:rPr>
        <w:t xml:space="preserve">On September 23, 2020, a stockholder derivative lawsuit styled </w:t>
      </w:r>
      <w:r>
        <w:rPr>
          <w:rFonts w:ascii="Times New Roman;sans-serif" w:hAnsi="Times New Roman;sans-serif"/>
          <w:b w:val="false"/>
          <w:i/>
          <w:color w:val="000000"/>
          <w:sz w:val="20"/>
        </w:rPr>
        <w:t>Oklahoma Firefighters Pension &amp; Retirement System, derivatively on behalf of Cannae Holdings, Inc. v. William P. Foley, II, et al.</w:t>
      </w:r>
      <w:r>
        <w:rPr>
          <w:rFonts w:ascii="Times New Roman;sans-serif" w:hAnsi="Times New Roman;sans-serif"/>
          <w:b w:val="false"/>
          <w:color w:val="000000"/>
          <w:sz w:val="20"/>
        </w:rPr>
        <w:t xml:space="preserve">, was filed in the Court of Chancery of the State of Delaware against the Company, certain Board members and 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 moot. On February 1, 2021, the court ordered the plaintiff's summary judgment motion withdrawn and dismissed the related count of the plaintiff's complaint. On February 18, 2021, our Board formed a Special Litigation Committee (the "SLC") consisting of two of the Board’s Directors, and has authorized the SLC, among other things, to investigate and evaluate the claims and allegations asserted in the lawsuit. The Board has also given the SLC the sole authority and power to consider and determine whether or not prosecution of the claims asserted in the lawsuit is in the best interest of the Company and its shareholders, and what action the Company should take with respect to the lawsuit. On March 9, 2021, the Court entered a stipulated Order staying the action for six months to allow the SLC to investigate, review, and evaluate the facts, circumstances, and claims asserted in or relating to the action and to determine the Company’s response thereto. </w:t>
      </w:r>
    </w:p>
    <w:p>
      <w:pPr>
        <w:pStyle w:val="TextBody"/>
        <w:spacing w:lineRule="auto" w:line="25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25, 2022, the parties, including the SLC acting on behalf of the Company, reached an agreement-in-principle to settle the action, subject to various terms and conditions, as well as court approval. On March 10, 2023, the parties formalized their settlement and entered into a Stipulation and Agreement of Compromise, Settlement and Release which has been filed with the court. The agreement includes, among other things, a payment of $6 million in cash to the Company, amendments to the Management Services Agreement between the Company and the Manager, and corporate governance changes. The settlement hearing has been scheduled for June 8, 2023.</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Unconditional Purchase Obligations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certain unconditional purchase obligations, primarily in our Restaurant Group segment. These purchase obligations are with various vendors and are primarily related to food and beverage obligations with fixed commitments in regards to the time period of the contract and the quantities purchased with annual price adjustments that can fluctuate. We used both historical and projected volume and pricing as of March 31, 2023 to determine the amount of the obligations. Purchase obligations as of March 31, 2023 are as follows (in millions):</w:t>
      </w:r>
    </w:p>
    <w:tbl>
      <w:tblPr>
        <w:tblW w:w="3336" w:type="dxa"/>
        <w:jc w:val="center"/>
        <w:tblInd w:w="0" w:type="dxa"/>
        <w:tblCellMar>
          <w:top w:w="28" w:type="dxa"/>
          <w:left w:w="28" w:type="dxa"/>
          <w:bottom w:w="28" w:type="dxa"/>
          <w:right w:w="28" w:type="dxa"/>
        </w:tblCellMar>
      </w:tblPr>
      <w:tblGrid>
        <w:gridCol w:w="890"/>
        <w:gridCol w:w="782"/>
        <w:gridCol w:w="788"/>
        <w:gridCol w:w="211"/>
        <w:gridCol w:w="511"/>
        <w:gridCol w:w="154"/>
      </w:tblGrid>
      <w:tr>
        <w:trPr/>
        <w:tc>
          <w:tcPr>
            <w:tcW w:w="890"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spacing w:before="0" w:after="0"/>
        <w:jc w:val="center"/>
        <w:rPr/>
      </w:pPr>
      <w:r>
        <w:rPr/>
      </w:r>
    </w:p>
    <w:p>
      <w:pPr>
        <w:pStyle w:val="TextBody"/>
        <w:spacing w:lineRule="auto" w:line="288" w:before="120" w:after="120"/>
        <w:ind w:left="0" w:right="0" w:hanging="1440"/>
        <w:rPr>
          <w:rFonts w:ascii="Times New Roman;sans-serif" w:hAnsi="Times New Roman;sans-serif"/>
          <w:b/>
          <w:color w:val="000000"/>
          <w:sz w:val="20"/>
        </w:rPr>
      </w:pPr>
      <w:r>
        <w:rPr>
          <w:rFonts w:ascii="Times New Roman;sans-serif" w:hAnsi="Times New Roman;sans-serif"/>
          <w:b/>
          <w:color w:val="000000"/>
          <w:sz w:val="20"/>
        </w:rPr>
        <w:t>Note I — Supplemental Cash Flow Information</w:t>
      </w:r>
    </w:p>
    <w:p>
      <w:pPr>
        <w:pStyle w:val="TextBody"/>
        <w:spacing w:lineRule="auto" w:line="288" w:before="120" w:after="12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supplemental cash flow information is provided with respect to certain cash payments, as well as certain non-cash investing and financing activities.</w:t>
      </w:r>
    </w:p>
    <w:tbl>
      <w:tblPr>
        <w:tblW w:w="9172" w:type="dxa"/>
        <w:jc w:val="left"/>
        <w:tblInd w:w="0" w:type="dxa"/>
        <w:tblCellMar>
          <w:top w:w="28" w:type="dxa"/>
          <w:left w:w="28" w:type="dxa"/>
          <w:bottom w:w="28" w:type="dxa"/>
          <w:right w:w="28" w:type="dxa"/>
        </w:tblCellMar>
      </w:tblPr>
      <w:tblGrid>
        <w:gridCol w:w="2332"/>
        <w:gridCol w:w="2049"/>
        <w:gridCol w:w="2068"/>
        <w:gridCol w:w="109"/>
        <w:gridCol w:w="109"/>
        <w:gridCol w:w="109"/>
        <w:gridCol w:w="277"/>
        <w:gridCol w:w="534"/>
        <w:gridCol w:w="143"/>
        <w:gridCol w:w="143"/>
        <w:gridCol w:w="143"/>
        <w:gridCol w:w="143"/>
        <w:gridCol w:w="277"/>
        <w:gridCol w:w="534"/>
        <w:gridCol w:w="202"/>
      </w:tblGrid>
      <w:tr>
        <w:trPr/>
        <w:tc>
          <w:tcPr>
            <w:tcW w:w="2332"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D&amp;B shares received as partial consideration for the Optimal Blue Disposition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macroeconomic conditions resulting from the outbreak of a pandemic or escalation of the current conflict between Russia and Ukraine;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related to the externalization of certain of our management functions to our Manager; and other risks detailed in the "Statement Regarding Forward-Looking Information," "Risk Factors" and other sections of our Annual Report on Form 10-K for the year ended December 31, 2022 (our "Annual Report") and other filings with the SEC.</w:t>
      </w:r>
    </w:p>
    <w:p>
      <w:pPr>
        <w:pStyle w:val="TextBody"/>
        <w:spacing w:lineRule="auto" w:line="256"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our Annual Report. </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120"/>
        <w:ind w:left="0" w:right="0" w:firstLine="360"/>
        <w:jc w:val="both"/>
        <w:rPr/>
      </w:pPr>
      <w:r>
        <w:rPr>
          <w:rFonts w:ascii="Times New Roman;sans-serif" w:hAnsi="Times New Roman;sans-serif"/>
          <w:b w:val="false"/>
          <w:color w:val="000000"/>
          <w:sz w:val="20"/>
        </w:rPr>
        <w:t xml:space="preserve">For a description of our business, including descriptions of segments and recent business developments, see the discussion in Note A - </w:t>
      </w:r>
      <w:r>
        <w:rPr>
          <w:rFonts w:ascii="Times New Roman;sans-serif" w:hAnsi="Times New Roman;sans-serif"/>
          <w:b w:val="false"/>
          <w:i/>
          <w:color w:val="000000"/>
          <w:sz w:val="20"/>
        </w:rPr>
        <w:t>Basis of Financial Statements</w:t>
      </w:r>
      <w:r>
        <w:rPr>
          <w:color w:val="000000"/>
        </w:rPr>
        <w:t xml:space="preserve"> </w:t>
      </w:r>
      <w:r>
        <w:rPr>
          <w:rFonts w:ascii="Times New Roman;sans-serif" w:hAnsi="Times New Roman;sans-serif"/>
          <w:b w:val="false"/>
          <w:color w:val="000000"/>
          <w:sz w:val="20"/>
        </w:rPr>
        <w:t>to the Condensed Consolidated Financial Statements included in Item 1 of Part I of this Quarterly Report, which is incorporated by reference into this Part I, Item 2.</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Business Trends and Conditions</w:t>
      </w:r>
    </w:p>
    <w:p>
      <w:pPr>
        <w:pStyle w:val="TextBody"/>
        <w:spacing w:lineRule="auto" w:line="288" w:before="120" w:after="120"/>
        <w:ind w:left="0" w:right="0" w:firstLine="360"/>
        <w:jc w:val="both"/>
        <w:rPr/>
      </w:pPr>
      <w:r>
        <w:rPr>
          <w:rFonts w:ascii="Times New Roman;sans-serif" w:hAnsi="Times New Roman;sans-serif"/>
          <w:b w:val="false"/>
          <w:i/>
          <w:color w:val="000000"/>
          <w:sz w:val="20"/>
        </w:rPr>
        <w:t xml:space="preserve">Dun &amp; Bradstreet. </w:t>
      </w:r>
      <w:r>
        <w:rPr>
          <w:rFonts w:ascii="Times New Roman;sans-serif" w:hAnsi="Times New Roman;sans-serif"/>
          <w:b w:val="false"/>
          <w:color w:val="000000"/>
          <w:sz w:val="20"/>
        </w:rPr>
        <w:t>D&amp;B believes there are several key trends in the global macroeconomic environment generating additional growth in D&amp;B's TAM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pStyle w:val="TextBody"/>
        <w:spacing w:lineRule="auto" w:line="288" w:before="120" w:after="120"/>
        <w:ind w:left="0" w:right="0" w:firstLine="360"/>
        <w:jc w:val="both"/>
        <w:rPr/>
      </w:pPr>
      <w:r>
        <w:rPr>
          <w:rFonts w:ascii="Times New Roman;sans-serif" w:hAnsi="Times New Roman;sans-serif"/>
          <w:b w:val="false"/>
          <w:i/>
          <w:color w:val="000000"/>
          <w:sz w:val="20"/>
        </w:rPr>
        <w:t>Restaurant Group</w:t>
      </w:r>
      <w:r>
        <w:rPr>
          <w:rFonts w:ascii="Times New Roman;sans-serif" w:hAnsi="Times New Roman;sans-serif"/>
          <w:b w:val="false"/>
          <w:color w:val="000000"/>
          <w:sz w:val="20"/>
        </w:rPr>
        <w:t>. The restaurant industry is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operating in a period of high inflation relative to long term inflation expectations in the United States. This inflationary environment is primarily impacting the commodity and labor costs of our Restaurant Group. We have adjusted menu pricing to at least partially account for these cost increases, but will continue to balance menu pricing with the impact of inflationary pressures on costs and the value proposition offered to customers.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and operating income in future periods will continue to be subject to these and other factors that are beyond our control and, as a result, are likely to fluctuate.</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pStyle w:val="TextBody"/>
        <w:spacing w:lineRule="auto" w:line="288" w:before="120" w:after="100"/>
        <w:ind w:left="0" w:right="0" w:firstLine="360"/>
        <w:jc w:val="both"/>
        <w:rPr/>
      </w:pPr>
      <w:r>
        <w:rPr>
          <w:rFonts w:ascii="Times New Roman;sans-serif" w:hAnsi="Times New Roman;sans-serif"/>
          <w:b w:val="false"/>
          <w:i/>
          <w:color w:val="000000"/>
          <w:sz w:val="20"/>
        </w:rPr>
        <w:t>Investments in unconsolidated affiliates - impairment monitoring</w:t>
      </w:r>
      <w:r>
        <w:rPr>
          <w:rFonts w:ascii="Times New Roman;sans-serif" w:hAnsi="Times New Roman;sans-serif"/>
          <w:b w:val="false"/>
          <w:color w:val="000000"/>
          <w:sz w:val="20"/>
        </w:rPr>
        <w:t xml:space="preserve">. On an ongoing basis, management monitors the Company's investments in unconsolidated 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120" w:after="100"/>
        <w:jc w:val="both"/>
        <w:rPr>
          <w:rFonts w:ascii="Times New Roman;sans-serif" w:hAnsi="Times New Roman;sans-serif"/>
          <w:b w:val="false"/>
          <w:color w:val="000000"/>
          <w:sz w:val="20"/>
        </w:rPr>
      </w:pPr>
      <w:r>
        <w:rPr>
          <w:rFonts w:ascii="Times New Roman;sans-serif" w:hAnsi="Times New Roman;sans-serif"/>
          <w:b w:val="false"/>
          <w:color w:val="000000"/>
          <w:sz w:val="20"/>
        </w:rPr>
        <w:t>prospects of the investee, and the intent and ability of the Company to retain its investment in the investee for a period of time sufficient to allow for any anticipated recovery in market value.</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fair value of our ownership interest in System1 based on quoted market prices was $116.6 million and the book value of our recorded asset for System1 was $122.4 million. Due to the nominal difference between fair value and book value as of March 31, 2023 and the short duration over which the fair value of our investment in System1 had been below book value, we considered the decline in value to be temporary as of the balance sheet date. As of May 8, 2023, the fair value of our investment in System1 was $85.7 million. Sustained depression or further deterioration of the fair value of our investment in System1 or further deterioration of System1's actual or forecasted results of operations could result in impairment charge in future periods to record our asset to fair value.</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fair value of our ownership interest in Alight based on quoted market prices was $483.3 million and the book value of our recorded asset for Alight was $526.4 million. While the fair value of our investment in Alight is below our book value, there are no other indicators that our investment is other than temporarily impaired. Alight has consistently outperformed market expectations and our expectations for its results of operations from when we initially invested in Alight. Due to these factors, we consider the decline in value to be temporary as of March 31, 2023. Though we do not currently anticipate any material impact, because the fair value is currently below the book value of our investment in Alight, declines in fair value of the investment or deterioration in Alight's actual or forecasted results of operations could result in an impairment charge in future periods to record our asset at fair value.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Results of Operations</w:t>
      </w:r>
    </w:p>
    <w:tbl>
      <w:tblPr>
        <w:tblW w:w="10497" w:type="dxa"/>
        <w:jc w:val="center"/>
        <w:tblInd w:w="0" w:type="dxa"/>
        <w:tblCellMar>
          <w:top w:w="28" w:type="dxa"/>
          <w:left w:w="28" w:type="dxa"/>
          <w:bottom w:w="28" w:type="dxa"/>
          <w:right w:w="28" w:type="dxa"/>
        </w:tblCellMar>
      </w:tblPr>
      <w:tblGrid>
        <w:gridCol w:w="2313"/>
        <w:gridCol w:w="2032"/>
        <w:gridCol w:w="2038"/>
        <w:gridCol w:w="228"/>
        <w:gridCol w:w="228"/>
        <w:gridCol w:w="302"/>
        <w:gridCol w:w="302"/>
        <w:gridCol w:w="302"/>
        <w:gridCol w:w="302"/>
        <w:gridCol w:w="260"/>
        <w:gridCol w:w="738"/>
        <w:gridCol w:w="144"/>
        <w:gridCol w:w="109"/>
        <w:gridCol w:w="109"/>
        <w:gridCol w:w="109"/>
        <w:gridCol w:w="196"/>
        <w:gridCol w:w="631"/>
        <w:gridCol w:w="154"/>
      </w:tblGrid>
      <w:tr>
        <w:trPr/>
        <w:tc>
          <w:tcPr>
            <w:tcW w:w="2313" w:type="dxa"/>
            <w:tcBorders/>
            <w:shd w:fill="auto" w:val="clear"/>
            <w:vAlign w:val="center"/>
          </w:tcPr>
          <w:p>
            <w:pPr>
              <w:pStyle w:val="TableContents"/>
              <w:spacing w:before="0" w:after="283"/>
              <w:rPr>
                <w:sz w:val="4"/>
                <w:szCs w:val="4"/>
              </w:rPr>
            </w:pPr>
            <w:r>
              <w:rPr>
                <w:sz w:val="4"/>
                <w:szCs w:val="4"/>
              </w:rPr>
            </w:r>
          </w:p>
        </w:tc>
        <w:tc>
          <w:tcPr>
            <w:tcW w:w="2032" w:type="dxa"/>
            <w:tcBorders/>
            <w:shd w:fill="auto" w:val="clear"/>
            <w:vAlign w:val="center"/>
          </w:tcPr>
          <w:p>
            <w:pPr>
              <w:pStyle w:val="TableContents"/>
              <w:spacing w:before="0" w:after="283"/>
              <w:rPr>
                <w:sz w:val="4"/>
                <w:szCs w:val="4"/>
              </w:rPr>
            </w:pPr>
            <w:r>
              <w:rPr>
                <w:sz w:val="4"/>
                <w:szCs w:val="4"/>
              </w:rPr>
            </w:r>
          </w:p>
        </w:tc>
        <w:tc>
          <w:tcPr>
            <w:tcW w:w="203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Consolidated Results of Operations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7" w:type="dxa"/>
            <w:gridSpan w:val="9"/>
            <w:tcBorders/>
            <w:shd w:fill="auto" w:val="clear"/>
            <w:tcMar>
              <w:top w:w="0" w:type="dxa"/>
              <w:left w:w="0" w:type="dxa"/>
              <w:bottom w:w="0" w:type="dxa"/>
              <w:right w:w="0" w:type="dxa"/>
            </w:tcMar>
            <w:vAlign w:val="center"/>
          </w:tcPr>
          <w:p>
            <w:pPr>
              <w:pStyle w:val="TableContents"/>
              <w:spacing w:lineRule="auto" w:line="240" w:before="120" w:after="283"/>
              <w:jc w:val="left"/>
              <w:rPr/>
            </w:pPr>
            <w:r>
              <w:rPr>
                <w:color w:val="000000"/>
              </w:rPr>
              <w:t>     </w:t>
            </w:r>
            <w:r>
              <w:rPr>
                <w:rFonts w:ascii="Times New Roman;sans-serif" w:hAnsi="Times New Roman;sans-serif"/>
                <w:b w:val="false"/>
                <w:i/>
                <w:color w:val="000000"/>
                <w:sz w:val="20"/>
              </w:rPr>
              <w:t>Net Earnings.</w:t>
            </w:r>
            <w:r>
              <w:rPr>
                <w:color w:val="000000"/>
              </w:rPr>
              <w:t xml:space="preserve"> </w:t>
            </w:r>
            <w:r>
              <w:rPr>
                <w:rFonts w:ascii="Times New Roman;sans-serif" w:hAnsi="Times New Roman;sans-serif"/>
                <w:b w:val="false"/>
                <w:color w:val="000000"/>
                <w:sz w:val="20"/>
              </w:rPr>
              <w:t>The following table presents certain financial data for the periods indicated:</w:t>
            </w:r>
          </w:p>
        </w:tc>
        <w:tc>
          <w:tcPr>
            <w:tcW w:w="2450" w:type="dxa"/>
            <w:gridSpan w:val="9"/>
            <w:tcBorders/>
            <w:shd w:fill="auto" w:val="clear"/>
          </w:tcPr>
          <w:p>
            <w:pPr>
              <w:pStyle w:val="TableContents"/>
              <w:spacing w:before="0" w:after="283"/>
              <w:rPr>
                <w:sz w:val="4"/>
                <w:szCs w:val="4"/>
              </w:rPr>
            </w:pPr>
            <w:r>
              <w:rPr>
                <w:sz w:val="4"/>
                <w:szCs w:val="4"/>
              </w:rPr>
            </w:r>
          </w:p>
        </w:tc>
      </w:tr>
      <w:tr>
        <w:trPr/>
        <w:tc>
          <w:tcPr>
            <w:tcW w:w="63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6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35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restaurant revenue</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investment and other income</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Recognized gains (losses), net</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before income taxes and equity in earnings of unconsolidated affiliates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before equity in (losses) earnings of unconsolidated affiliates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earnings of unconsolidated affiliates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383" w:type="dxa"/>
            <w:gridSpan w:val="3"/>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 (loss)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earnings attributable to non-controlling interests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 (loss) attributable to Cannae Holdings, Inc. common shareholders</w:t>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120" w:after="283"/>
        <w:rPr/>
      </w:pPr>
      <w:r>
        <w:rPr>
          <w:color w:val="000000"/>
        </w:rPr>
        <w:t> </w:t>
      </w:r>
      <w:r>
        <w:rPr>
          <w:rFonts w:ascii="Times New Roman;sans-serif" w:hAnsi="Times New Roman;sans-serif"/>
          <w:b w:val="false"/>
          <w:i/>
          <w:color w:val="000000"/>
          <w:sz w:val="20"/>
        </w:rPr>
        <w:t>Revenues.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decreased $13.1 million, or 7.8%, in the three months ended March 31, 2023 compared to the corresponding period in 2022.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Expenses.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primarily of personnel costs, cost of restaurant revenue, other operating expenses, and depreciation and amortization.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include management fees, carried interest fees, professional fees, advertising costs, travel expenses and impairments of operating assets.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consists of our depreciation related to investments in property and equipment as well as amortization of intangible assets.</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Pre-Tax Earnings (Loss).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(loss) before income taxes and equity in (losses) earnings of unconsolidated affiliates increased $371.0 million, or 108.1%, in the three months ended March 31, 2023 compared to the corresponding period in 2022.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revenues, expenses and pre-tax loss is discussed in further detail at the segment level below. </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was $2.6 million and $(61.9) million in the three-month periods ended March 31, 2023 and 2022, respectively. Our effective tax rate was 9.4% and 18.0% in the three months ended March 31, 2023 and 2022,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all periods presented is primarily attributable to the varying impact of equity in earnings of unconsolidated affiliates on income tax expense (benefit).</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Equity in Earnings of Unconsolidated Affiliates.</w:t>
      </w:r>
    </w:p>
    <w:p>
      <w:pPr>
        <w:pStyle w:val="TextBody"/>
        <w:spacing w:lineRule="auto" w:line="288" w:before="120" w:after="120"/>
        <w:ind w:left="0" w:right="0" w:firstLine="360"/>
        <w:jc w:val="both"/>
        <w:rPr/>
      </w:pPr>
      <w:r>
        <w:rPr>
          <w:rFonts w:ascii="Times New Roman;sans-serif" w:hAnsi="Times New Roman;sans-serif"/>
          <w:b w:val="false"/>
          <w:color w:val="000000"/>
          <w:sz w:val="20"/>
          <w:highlight w:val="white"/>
        </w:rPr>
        <w:t xml:space="preserve">Equity in (losses) earnings of unconsolidated affiliates for the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highlight w:val="white"/>
        </w:rPr>
        <w:t>months ended March 31, 2023 and 2022 consisted of the following:</w:t>
      </w:r>
    </w:p>
    <w:tbl>
      <w:tblPr>
        <w:tblW w:w="4406" w:type="dxa"/>
        <w:jc w:val="left"/>
        <w:tblInd w:w="0" w:type="dxa"/>
        <w:tblCellMar>
          <w:top w:w="28" w:type="dxa"/>
          <w:left w:w="28" w:type="dxa"/>
          <w:bottom w:w="28" w:type="dxa"/>
          <w:right w:w="28" w:type="dxa"/>
        </w:tblCellMar>
      </w:tblPr>
      <w:tblGrid>
        <w:gridCol w:w="554"/>
        <w:gridCol w:w="487"/>
        <w:gridCol w:w="489"/>
        <w:gridCol w:w="245"/>
        <w:gridCol w:w="681"/>
        <w:gridCol w:w="126"/>
        <w:gridCol w:w="126"/>
        <w:gridCol w:w="126"/>
        <w:gridCol w:w="126"/>
        <w:gridCol w:w="245"/>
        <w:gridCol w:w="594"/>
        <w:gridCol w:w="126"/>
        <w:gridCol w:w="109"/>
        <w:gridCol w:w="109"/>
        <w:gridCol w:w="109"/>
        <w:gridCol w:w="154"/>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Sightline</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Cannae records its share of equity in earnings or loss of System1 on a three-month lag. Accordingly, our equity in losses of unconsolidated affiliates for the three months ended March 31, 2023 includes our ratable share of System1's losses for the three months ended December 31, 2022. As of the date of this Quarterly Report on Form 10-Q, System1 has not filed its annual report for the ended December 31, 2022, and, as a result, our equity in losses of unconsolidated affiliates includes our ratable share of System1's preliminary results of operations.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12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Restaurant Group</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from operations of our Restaurant Group segment:</w:t>
      </w:r>
    </w:p>
    <w:tbl>
      <w:tblPr>
        <w:tblW w:w="8308" w:type="dxa"/>
        <w:jc w:val="center"/>
        <w:tblInd w:w="0" w:type="dxa"/>
        <w:tblCellMar>
          <w:top w:w="28" w:type="dxa"/>
          <w:left w:w="28" w:type="dxa"/>
          <w:bottom w:w="28" w:type="dxa"/>
          <w:right w:w="28" w:type="dxa"/>
        </w:tblCellMar>
      </w:tblPr>
      <w:tblGrid>
        <w:gridCol w:w="1980"/>
        <w:gridCol w:w="1739"/>
        <w:gridCol w:w="1755"/>
        <w:gridCol w:w="225"/>
        <w:gridCol w:w="639"/>
        <w:gridCol w:w="125"/>
        <w:gridCol w:w="125"/>
        <w:gridCol w:w="125"/>
        <w:gridCol w:w="125"/>
        <w:gridCol w:w="225"/>
        <w:gridCol w:w="639"/>
        <w:gridCol w:w="125"/>
        <w:gridCol w:w="109"/>
        <w:gridCol w:w="109"/>
        <w:gridCol w:w="109"/>
        <w:gridCol w:w="154"/>
      </w:tblGrid>
      <w:tr>
        <w:trPr/>
        <w:tc>
          <w:tcPr>
            <w:tcW w:w="1980"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353"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restaurant revenue</w:t>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w:t>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Recognized gains (losses), net</w:t>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 and equity in earnings of unconsolidated affiliates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for the Restaurant Group segment decreased $13.6 million, or 8.4%, in the three months ended March 31, 2023 compared to the corresponding periods in 2022. The decrease was primarily attributable to the inclusion of revenue of $8.3 million in the three months ended March 31, 2022 associated with stores that were closed prior to 2023.</w:t>
      </w:r>
    </w:p>
    <w:p>
      <w:pPr>
        <w:pStyle w:val="TextBody"/>
        <w:spacing w:lineRule="auto" w:line="288" w:before="120" w:after="120"/>
        <w:ind w:left="0" w:right="0" w:firstLine="360"/>
        <w:jc w:val="both"/>
        <w:rPr/>
      </w:pPr>
      <w:r>
        <w:rPr>
          <w:rFonts w:ascii="Times New Roman;sans-serif" w:hAnsi="Times New Roman;sans-serif"/>
          <w:b w:val="false"/>
          <w:i/>
          <w:color w:val="000000"/>
          <w:sz w:val="20"/>
        </w:rPr>
        <w:t xml:space="preserve">Comparable Store Sales. </w:t>
      </w:r>
      <w:r>
        <w:rPr>
          <w:rFonts w:ascii="Times New Roman;sans-serif" w:hAnsi="Times New Roman;sans-serif"/>
          <w:b w:val="false"/>
          <w:color w:val="000000"/>
          <w:sz w:val="20"/>
        </w:rPr>
        <w:t xml:space="preserve">One method we use in evaluating the performance of our restaurants is to compare sales results for restaurants period over 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decreased by 4.9% and 0.2%, respectively, in the three months ended March 31, 2023 compared to the comparable period in 2022. The decrease in 2023 for our O'Charley's brand is primarily attributable to a decrease in guest counts, partially offset by an increase in the average amount spent by customers each visit. The decrease in the three months ended March 31, 2023 for our 99 Restaurants brand is attributable to decreased guest counts which was nearly offset by an increase in the average amount spent by customers per visit for that period.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restaurant revenue decreased directionally consistent with Restaurant revenues. Cost of restaurant revenue as a percentage of restaurant revenue was 88.6% and 89.7% in the three months ended March 31, 2023 and 2022, respectively.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decreased by $0.8 million, or 15.1%, in the three months ended March 31, 2023 from the corresponding periods in 2022. The change in income was primarily attributable to the factors discussed above.</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Dun &amp; Bradstreet</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own approximately 18.0% of the outstanding common stock of Dun &amp; Bradstreet. We account for our ownership interest in Dun &amp; Bradstreet under the equity method of accounting; therefore, its results of operations do not consolidate into ours. </w:t>
      </w:r>
    </w:p>
    <w:p>
      <w:pPr>
        <w:pStyle w:val="TextBody"/>
        <w:spacing w:before="120" w:after="12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for Dun &amp; Bradstreet for the relevant dates and time periods included in Equity in earnings of unconsolidated affiliates in our Condensed Consolidated Balance Sheets and Statements of Operations, respectively, is presented below.</w:t>
      </w:r>
    </w:p>
    <w:tbl>
      <w:tblPr>
        <w:tblW w:w="7525" w:type="dxa"/>
        <w:jc w:val="center"/>
        <w:tblInd w:w="0" w:type="dxa"/>
        <w:tblCellMar>
          <w:top w:w="28" w:type="dxa"/>
          <w:left w:w="28" w:type="dxa"/>
          <w:bottom w:w="28" w:type="dxa"/>
          <w:right w:w="28" w:type="dxa"/>
        </w:tblCellMar>
      </w:tblPr>
      <w:tblGrid>
        <w:gridCol w:w="1697"/>
        <w:gridCol w:w="1495"/>
        <w:gridCol w:w="1502"/>
        <w:gridCol w:w="226"/>
        <w:gridCol w:w="659"/>
        <w:gridCol w:w="116"/>
        <w:gridCol w:w="116"/>
        <w:gridCol w:w="116"/>
        <w:gridCol w:w="116"/>
        <w:gridCol w:w="226"/>
        <w:gridCol w:w="659"/>
        <w:gridCol w:w="116"/>
        <w:gridCol w:w="109"/>
        <w:gridCol w:w="109"/>
        <w:gridCol w:w="109"/>
        <w:gridCol w:w="154"/>
      </w:tblGrid>
      <w:tr>
        <w:trPr/>
        <w:tc>
          <w:tcPr>
            <w:tcW w:w="1697"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earnings attributable to noncontrolling interest</w:t>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Dun &amp; Bradstreet</w:t>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relating to the results of operations of Dun &amp; Bradstreet (NYSE: "DNB") can be found in its periodic reports filed with the SEC.</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Alight</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own approximately 9.7% of the outstanding common stock of Alight. We account for our ownership of Alight under the equity method of accounting; therefore, its results do not consolidate into ours.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for Alight for the relevant dates and time periods included in Equity in earnings of unconsolidated affiliates in our Condensed Consolidated Statements of Operations is presented below.</w:t>
      </w:r>
    </w:p>
    <w:tbl>
      <w:tblPr>
        <w:tblW w:w="5365" w:type="dxa"/>
        <w:jc w:val="left"/>
        <w:tblInd w:w="0" w:type="dxa"/>
        <w:tblCellMar>
          <w:top w:w="28" w:type="dxa"/>
          <w:left w:w="28" w:type="dxa"/>
          <w:bottom w:w="28" w:type="dxa"/>
          <w:right w:w="28" w:type="dxa"/>
        </w:tblCellMar>
      </w:tblPr>
      <w:tblGrid>
        <w:gridCol w:w="916"/>
        <w:gridCol w:w="807"/>
        <w:gridCol w:w="811"/>
        <w:gridCol w:w="226"/>
        <w:gridCol w:w="659"/>
        <w:gridCol w:w="116"/>
        <w:gridCol w:w="116"/>
        <w:gridCol w:w="116"/>
        <w:gridCol w:w="116"/>
        <w:gridCol w:w="226"/>
        <w:gridCol w:w="659"/>
        <w:gridCol w:w="116"/>
        <w:gridCol w:w="109"/>
        <w:gridCol w:w="109"/>
        <w:gridCol w:w="109"/>
        <w:gridCol w:w="154"/>
      </w:tblGrid>
      <w:tr>
        <w:trPr/>
        <w:tc>
          <w:tcPr>
            <w:tcW w:w="91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Alight</w:t>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relating to the results of operations of Alight (NYSE: "ALIT") can be found in its periodic reports filed with the SEC.</w:t>
      </w:r>
    </w:p>
    <w:p>
      <w:pPr>
        <w:pStyle w:val="TextBody"/>
        <w:spacing w:lineRule="auto" w:line="276" w:before="120" w:after="283"/>
        <w:jc w:val="both"/>
        <w:rPr>
          <w:rFonts w:ascii="Times New Roman;sans-serif" w:hAnsi="Times New Roman;sans-serif"/>
          <w:b/>
          <w:i/>
          <w:color w:val="000000"/>
          <w:sz w:val="20"/>
        </w:rPr>
      </w:pPr>
      <w:r>
        <w:rPr>
          <w:rFonts w:ascii="Times New Roman;sans-serif" w:hAnsi="Times New Roman;sans-serif"/>
          <w:b/>
          <w:i/>
          <w:color w:val="000000"/>
          <w:sz w:val="20"/>
        </w:rPr>
        <w:t>Paysafe</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own approximately 5.6% of the outstanding common stock of Paysafe. We account for our ownership of Paysafe under the equity method of accounting; therefore, its results do not consolidate into ours. We report our equity in the earnings or loss of Paysafe on a three-month lag. Accordingly, our net loss for the three months ended March 31, 2023 and 2022 includes our equity in Paysafe’s losses for the three months ended December 31, 2022 and 2021, respectively.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for Paysafe for the relevant dates and time periods included in Equity in earnings of unconsolidated affiliates in our Condensed Consolidated Statements of Operations is presented below.</w:t>
      </w:r>
    </w:p>
    <w:tbl>
      <w:tblPr>
        <w:tblW w:w="7767" w:type="dxa"/>
        <w:jc w:val="left"/>
        <w:tblInd w:w="0" w:type="dxa"/>
        <w:tblCellMar>
          <w:top w:w="28" w:type="dxa"/>
          <w:left w:w="28" w:type="dxa"/>
          <w:bottom w:w="28" w:type="dxa"/>
          <w:right w:w="28" w:type="dxa"/>
        </w:tblCellMar>
      </w:tblPr>
      <w:tblGrid>
        <w:gridCol w:w="1697"/>
        <w:gridCol w:w="1495"/>
        <w:gridCol w:w="1502"/>
        <w:gridCol w:w="249"/>
        <w:gridCol w:w="727"/>
        <w:gridCol w:w="128"/>
        <w:gridCol w:w="128"/>
        <w:gridCol w:w="128"/>
        <w:gridCol w:w="128"/>
        <w:gridCol w:w="249"/>
        <w:gridCol w:w="727"/>
        <w:gridCol w:w="128"/>
        <w:gridCol w:w="109"/>
        <w:gridCol w:w="109"/>
        <w:gridCol w:w="109"/>
        <w:gridCol w:w="154"/>
      </w:tblGrid>
      <w:tr>
        <w:trPr/>
        <w:tc>
          <w:tcPr>
            <w:tcW w:w="1697"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2"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earnings attributable to noncontrolling interest</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 attributable to Paysafe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relating to the results of operations of Paysafe (NYSE: "PSFE") can be found in its periodic reports filed with the SEC.</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Corporate and Other</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Corporate and Other segment consists of our share in the operations of certain controlled businesses and other equity ownership interests, activity of the corporate holding company and certain intercompany eliminations and taxes.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from operations of our non-reportable Corporate and other segment:</w:t>
      </w:r>
    </w:p>
    <w:tbl>
      <w:tblPr>
        <w:tblW w:w="9043" w:type="dxa"/>
        <w:jc w:val="center"/>
        <w:tblInd w:w="0" w:type="dxa"/>
        <w:tblCellMar>
          <w:top w:w="28" w:type="dxa"/>
          <w:left w:w="28" w:type="dxa"/>
          <w:bottom w:w="28" w:type="dxa"/>
          <w:right w:w="28" w:type="dxa"/>
        </w:tblCellMar>
      </w:tblPr>
      <w:tblGrid>
        <w:gridCol w:w="2252"/>
        <w:gridCol w:w="1975"/>
        <w:gridCol w:w="1982"/>
        <w:gridCol w:w="227"/>
        <w:gridCol w:w="539"/>
        <w:gridCol w:w="126"/>
        <w:gridCol w:w="126"/>
        <w:gridCol w:w="126"/>
        <w:gridCol w:w="126"/>
        <w:gridCol w:w="227"/>
        <w:gridCol w:w="730"/>
        <w:gridCol w:w="126"/>
        <w:gridCol w:w="109"/>
        <w:gridCol w:w="109"/>
        <w:gridCol w:w="109"/>
        <w:gridCol w:w="154"/>
      </w:tblGrid>
      <w:tr>
        <w:trPr/>
        <w:tc>
          <w:tcPr>
            <w:tcW w:w="2252" w:type="dxa"/>
            <w:tcBorders/>
            <w:shd w:fill="auto" w:val="clear"/>
            <w:vAlign w:val="center"/>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8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w:t>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investment and other income</w:t>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Recognized gains (losses), net</w:t>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(264.6)</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before income taxes and equity in earnings of unconsolidated affiliates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Personnel costs decreased $6.0 million in the three months ended March 31, 2023 compared to the corresponding periods in 2022. The change in personnel costs was primarily driven by changes in the amounts of success bonuses paid related to our sales of shares of Ceridian.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decreased $46.1 million in the three months ended March 31, 2023 compared to the prior year period. The decrease in the three month period was primarily driven by carried interest incurred with our Manager of $45.2 million in the three months ended March 31, 2022. No carried interest expense was incurred in the three months ended March 31, 2023. The carried interest for the period ended March 31, 2022 was primarily attributable to the Optimal Blue Disposition, of which $31.8 million was paid in D&amp;B stock.</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Recognized (losses) gains, net in our Corporate and Other segment consists of the following:</w:t>
      </w:r>
    </w:p>
    <w:tbl>
      <w:tblPr>
        <w:tblW w:w="9080" w:type="dxa"/>
        <w:jc w:val="left"/>
        <w:tblInd w:w="0" w:type="dxa"/>
        <w:tblCellMar>
          <w:top w:w="28" w:type="dxa"/>
          <w:left w:w="28" w:type="dxa"/>
          <w:bottom w:w="28" w:type="dxa"/>
          <w:right w:w="28" w:type="dxa"/>
        </w:tblCellMar>
      </w:tblPr>
      <w:tblGrid>
        <w:gridCol w:w="2342"/>
        <w:gridCol w:w="2057"/>
        <w:gridCol w:w="2065"/>
        <w:gridCol w:w="229"/>
        <w:gridCol w:w="555"/>
        <w:gridCol w:w="118"/>
        <w:gridCol w:w="118"/>
        <w:gridCol w:w="118"/>
        <w:gridCol w:w="118"/>
        <w:gridCol w:w="229"/>
        <w:gridCol w:w="750"/>
        <w:gridCol w:w="118"/>
        <w:gridCol w:w="109"/>
        <w:gridCol w:w="154"/>
      </w:tblGrid>
      <w:tr>
        <w:trPr/>
        <w:tc>
          <w:tcPr>
            <w:tcW w:w="2342"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206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6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Ceridian fair value adjustments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 impairment</w:t>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Optimal Blue gain on sale</w:t>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 and Austerlitz Acquisition Corp II warrants mark to market adjustment</w:t>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gains (losses), net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120"/>
        <w:ind w:left="0" w:right="0" w:firstLine="360"/>
        <w:jc w:val="both"/>
        <w:rPr/>
      </w:pPr>
      <w:r>
        <w:rPr>
          <w:rFonts w:ascii="Times New Roman;sans-serif" w:hAnsi="Times New Roman;sans-serif"/>
          <w:b w:val="false"/>
          <w:i/>
          <w:color w:val="000000"/>
          <w:sz w:val="20"/>
        </w:rPr>
        <w:t>Cash Requirements.</w:t>
      </w:r>
      <w:r>
        <w:rPr>
          <w:color w:val="000000"/>
        </w:rPr>
        <w:t xml:space="preserve"> </w:t>
      </w:r>
      <w:r>
        <w:rPr>
          <w:rFonts w:ascii="Times New Roman;sans-serif" w:hAnsi="Times New Roman;sans-serif"/>
          <w:b w:val="false"/>
          <w:color w:val="000000"/>
          <w:sz w:val="20"/>
        </w:rPr>
        <w:t>Our current cash requirements include personnel costs, operating expenses, taxes, payments of interest and principal on our debt, capital expenditures, the BKFE Commitment, and other potential business acquisitions or investments.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stock repurchases, acquisitions, and debt repayments.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cash and cash equivalents of $184.8 million, of which $168.5 million was cash held by the corporate holding company, $105.0 million of short-term investments held by the corporate holding company, and $250.0 million of capacity under our existing holding company credit facilities with the ability to add an additional $250.0 million of borrowing capacity by amending our 2020 Margin Facility. </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continually assess our capital allocation strategy, including decisions relating to reducing debt, repurchasing our stock, and/or conserving cash. We believe that all anticipated cash requirements for current operations will be met from internally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evaluating our assets and ownership interests as potential vehicles for creating liquidity. Our intent is to use that liquidity for general corporate purposes, including future acquisitions, potentially reducing debt, repurchasing shares of our stock, other strategic initiatives and/or conserving cash.</w:t>
      </w:r>
    </w:p>
    <w:p>
      <w:pPr>
        <w:pStyle w:val="TextBody"/>
        <w:spacing w:lineRule="auto" w:line="288" w:before="120" w:after="120"/>
        <w:ind w:left="0" w:right="0" w:firstLine="360"/>
        <w:jc w:val="both"/>
        <w:rPr/>
      </w:pPr>
      <w:r>
        <w:rPr>
          <w:rFonts w:ascii="Times New Roman;sans-serif" w:hAnsi="Times New Roman;sans-serif"/>
          <w:b w:val="false"/>
          <w:i/>
          <w:color w:val="000000"/>
          <w:sz w:val="20"/>
        </w:rPr>
        <w:t>Operating Cash Flow</w:t>
      </w:r>
      <w:r>
        <w:rPr>
          <w:rFonts w:ascii="Times New Roman;sans-serif" w:hAnsi="Times New Roman;sans-serif"/>
          <w:b w:val="false"/>
          <w:color w:val="000000"/>
          <w:sz w:val="20"/>
        </w:rPr>
        <w:t>. Our cash flows used in operations for the three months ended March 31, 2023 and 2022 totaled $19.7 million and $38.5 million, respectively. The decrease in cash used in operations of $18.8 million is primarily attributable to a decrease in corporate expenses and the timing of payment and receipt of working capital assets and liabilities.</w:t>
      </w:r>
    </w:p>
    <w:p>
      <w:pPr>
        <w:pStyle w:val="TextBody"/>
        <w:spacing w:lineRule="auto" w:line="288" w:before="120" w:after="283"/>
        <w:ind w:left="0" w:right="0" w:firstLine="360"/>
        <w:jc w:val="both"/>
        <w:rPr/>
      </w:pPr>
      <w:r>
        <w:rPr>
          <w:rFonts w:ascii="Times New Roman;sans-serif" w:hAnsi="Times New Roman;sans-serif"/>
          <w:b w:val="false"/>
          <w:i/>
          <w:color w:val="000000"/>
          <w:sz w:val="20"/>
        </w:rPr>
        <w:t xml:space="preserve">Investing Cash Flows. </w:t>
      </w:r>
      <w:r>
        <w:rPr>
          <w:rFonts w:ascii="Times New Roman;sans-serif" w:hAnsi="Times New Roman;sans-serif"/>
          <w:b w:val="false"/>
          <w:color w:val="000000"/>
          <w:sz w:val="20"/>
        </w:rPr>
        <w:t>Our cash flows (used in) provided by investing activities for the three months ended March 31, 2023 and 2022 were $(44.4) million and $65.8 million, respectively. The decrease in cash provided by (increase in cash used in) investing activities of $110.2 million in the 2023 period from the 2022 period is primarily attributable to proceeds from sales of investments, net of new and additional investments in unconsolidated affiliates in the 2023 period compared to the 2022 period.</w:t>
      </w:r>
    </w:p>
    <w:p>
      <w:pPr>
        <w:pStyle w:val="TextBody"/>
        <w:spacing w:lineRule="auto" w:line="288" w:before="120" w:after="120"/>
        <w:ind w:left="0" w:right="0" w:firstLine="360"/>
        <w:jc w:val="both"/>
        <w:rPr/>
      </w:pPr>
      <w:r>
        <w:rPr>
          <w:rFonts w:ascii="Times New Roman;sans-serif" w:hAnsi="Times New Roman;sans-serif"/>
          <w:b w:val="false"/>
          <w:i/>
          <w:color w:val="000000"/>
          <w:sz w:val="20"/>
        </w:rPr>
        <w:t>Capital Expenditures.</w:t>
      </w:r>
      <w:r>
        <w:rPr>
          <w:color w:val="000000"/>
        </w:rPr>
        <w:t xml:space="preserve"> </w:t>
      </w:r>
      <w:r>
        <w:rPr>
          <w:rFonts w:ascii="Times New Roman;sans-serif" w:hAnsi="Times New Roman;sans-serif"/>
          <w:b w:val="false"/>
          <w:color w:val="000000"/>
          <w:sz w:val="20"/>
        </w:rPr>
        <w:t>Total capital expenditures for property and equipment and other intangible assets were $2.5 million and $4.0 million for the three-month periods ended March 31, 2023 and 2022, respectively. The capital expenditures in 2023 and 2022 primarily consisted of purchases of equipment in our Restaurant Group segment.</w:t>
      </w:r>
    </w:p>
    <w:p>
      <w:pPr>
        <w:pStyle w:val="TextBody"/>
        <w:spacing w:lineRule="auto" w:line="288" w:before="120" w:after="283"/>
        <w:ind w:left="0" w:right="0" w:firstLine="360"/>
        <w:jc w:val="both"/>
        <w:rPr/>
      </w:pPr>
      <w:r>
        <w:rPr>
          <w:rFonts w:ascii="Times New Roman;sans-serif" w:hAnsi="Times New Roman;sans-serif"/>
          <w:b w:val="false"/>
          <w:i/>
          <w:color w:val="000000"/>
          <w:sz w:val="20"/>
        </w:rPr>
        <w:t xml:space="preserve">Financing Cash Flows. </w:t>
      </w:r>
      <w:r>
        <w:rPr>
          <w:rFonts w:ascii="Times New Roman;sans-serif" w:hAnsi="Times New Roman;sans-serif"/>
          <w:b w:val="false"/>
          <w:color w:val="000000"/>
          <w:sz w:val="20"/>
        </w:rPr>
        <w:t>Our cash flows provided by (used in) financing activities for the three months ended March 31, 2023 and 2022 were $1.2 million and $(62.4) million, respectively. The decrease in cash used in (increase in cash provided by) financing activities of $63.6 million is primarily attributable to treasury stock purchased in the three months ended March 31, 2022.</w:t>
      </w:r>
    </w:p>
    <w:p>
      <w:pPr>
        <w:pStyle w:val="TextBody"/>
        <w:spacing w:lineRule="auto" w:line="288" w:before="120" w:after="120"/>
        <w:ind w:left="0" w:right="0" w:firstLine="360"/>
        <w:jc w:val="both"/>
        <w:rPr/>
      </w:pPr>
      <w:r>
        <w:rPr>
          <w:rFonts w:ascii="Times New Roman;sans-serif" w:hAnsi="Times New Roman;sans-serif"/>
          <w:b w:val="false"/>
          <w:i/>
          <w:color w:val="000000"/>
          <w:sz w:val="20"/>
        </w:rPr>
        <w:t xml:space="preserve">Financing Arrangements. </w:t>
      </w:r>
      <w:r>
        <w:rPr>
          <w:rFonts w:ascii="Times New Roman;sans-serif" w:hAnsi="Times New Roman;sans-serif"/>
          <w:b w:val="false"/>
          <w:color w:val="000000"/>
          <w:sz w:val="20"/>
        </w:rPr>
        <w:t xml:space="preserve">For a description of our financing arrangements, see Note G -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included in Item 1 of Part I of this Quarterly Report, which is incorporated by reference into this Item 2 of Part I.</w:t>
      </w:r>
    </w:p>
    <w:p>
      <w:pPr>
        <w:pStyle w:val="TextBody"/>
        <w:spacing w:lineRule="auto" w:line="288" w:before="0" w:after="120"/>
        <w:ind w:left="0" w:right="0" w:firstLine="360"/>
        <w:jc w:val="both"/>
        <w:rPr/>
      </w:pPr>
      <w:r>
        <w:rPr>
          <w:rFonts w:ascii="Times New Roman;sans-serif" w:hAnsi="Times New Roman;sans-serif"/>
          <w:b w:val="false"/>
          <w:i/>
          <w:color w:val="000000"/>
          <w:sz w:val="20"/>
        </w:rPr>
        <w:t>Seasonality.</w:t>
      </w:r>
      <w:r>
        <w:rPr>
          <w:color w:val="000000"/>
        </w:rPr>
        <w:t> </w:t>
      </w:r>
      <w:r>
        <w:rPr>
          <w:rFonts w:ascii="Times New Roman;sans-serif" w:hAnsi="Times New Roman;sans-serif"/>
          <w:b w:val="false"/>
          <w:color w:val="000000"/>
          <w:sz w:val="20"/>
        </w:rPr>
        <w:t>There have been no material changes to the seasonality experienced in our businesses from those described for the period as of and for the year ended December 31, 2022 included in our Annual Report.</w:t>
      </w:r>
    </w:p>
    <w:p>
      <w:pPr>
        <w:pStyle w:val="TextBody"/>
        <w:spacing w:lineRule="auto" w:line="288" w:before="120" w:after="120"/>
        <w:ind w:left="0" w:right="0" w:firstLine="360"/>
        <w:jc w:val="both"/>
        <w:rPr/>
      </w:pPr>
      <w:r>
        <w:rPr>
          <w:rFonts w:ascii="Times New Roman;sans-serif" w:hAnsi="Times New Roman;sans-serif"/>
          <w:b w:val="false"/>
          <w:i/>
          <w:color w:val="000000"/>
          <w:sz w:val="20"/>
        </w:rPr>
        <w:t>Contractual Obligations.</w:t>
      </w:r>
      <w:r>
        <w:rPr>
          <w:color w:val="000000"/>
        </w:rPr>
        <w:t xml:space="preserve"> </w:t>
      </w:r>
      <w:r>
        <w:rPr>
          <w:rFonts w:ascii="Times New Roman;sans-serif" w:hAnsi="Times New Roman;sans-serif"/>
          <w:b w:val="false"/>
          <w:color w:val="000000"/>
          <w:sz w:val="20"/>
        </w:rPr>
        <w:t>Our long-term contractual obligations generally include our credit agreements and other debt facilities, lease payments and financing obligations on certain of our premises and equipment, purchase obligations of the Restaurant Group and payments to our Manager.</w:t>
      </w:r>
    </w:p>
    <w:p>
      <w:pPr>
        <w:pStyle w:val="TextBody"/>
        <w:spacing w:lineRule="auto" w:line="288" w:before="120" w:after="120"/>
        <w:ind w:left="0" w:right="0" w:firstLine="360"/>
        <w:jc w:val="both"/>
        <w:rPr/>
      </w:pPr>
      <w:r>
        <w:rPr>
          <w:rFonts w:ascii="Times New Roman;sans-serif" w:hAnsi="Times New Roman;sans-serif"/>
          <w:b w:val="false"/>
          <w:color w:val="000000"/>
          <w:sz w:val="20"/>
        </w:rPr>
        <w:t xml:space="preserve">Operating lease payments include the expected future rent payments of the Company and its operating subsidiaries, primarily for the Restaurant Group. The operating leases are accounted for pursuant to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March 31, 2023 to determine the amount of these obligations.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$2,515.4 million as of March 31, 2023.</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Restaurant Group financing obligations include its agreements to lease its corporate office and certain O'Charley's restaurant locations, which are accounted for as failed sale and leaseback transactions.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required annual payments relating to these contractual obligations were as follows:</w:t>
      </w:r>
    </w:p>
    <w:tbl>
      <w:tblPr>
        <w:tblW w:w="10539" w:type="dxa"/>
        <w:jc w:val="left"/>
        <w:tblInd w:w="0" w:type="dxa"/>
        <w:tblCellMar>
          <w:top w:w="28" w:type="dxa"/>
          <w:left w:w="28" w:type="dxa"/>
          <w:bottom w:w="28" w:type="dxa"/>
          <w:right w:w="28" w:type="dxa"/>
        </w:tblCellMar>
      </w:tblPr>
      <w:tblGrid>
        <w:gridCol w:w="954"/>
        <w:gridCol w:w="668"/>
        <w:gridCol w:w="672"/>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5"/>
      </w:tblGrid>
      <w:tr>
        <w:trPr/>
        <w:tc>
          <w:tcPr>
            <w:tcW w:w="954"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245"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payments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Unconditional purchase obligations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payable to Manager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Group financing obligations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jc w:val="both"/>
        <w:rPr/>
      </w:pPr>
      <w:r>
        <w:rPr>
          <w:rFonts w:ascii="Times New Roman;sans-serif" w:hAnsi="Times New Roman;sans-serif"/>
          <w:b w:val="false"/>
          <w:i/>
          <w:color w:val="000000"/>
          <w:sz w:val="20"/>
        </w:rPr>
        <w:t>Capital Stock Transactions</w:t>
      </w:r>
      <w:r>
        <w:rPr>
          <w:rFonts w:ascii="Times New Roman;sans-serif" w:hAnsi="Times New Roman;sans-serif"/>
          <w:b w:val="false"/>
          <w:color w:val="000000"/>
          <w:sz w:val="20"/>
        </w:rPr>
        <w:t>. On August 3, 2022, our Board authorized a three-year stock repurchase program (the "2022 Repurchase Program"), under 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repurchase any Cannae common stock pursuant to the 2022 Repurchase Program during the three months ended March 31, 2023. Since the original commencement of the 2022 Repurchase Program through market close on March 31, 2023, we have repurchased a total of 1,267,182 common shares for approximately $26.8 million in the aggregate, or an average of $21.16 per share. </w:t>
      </w:r>
    </w:p>
    <w:p>
      <w:pPr>
        <w:pStyle w:val="TextBody"/>
        <w:spacing w:lineRule="auto" w:line="288" w:before="120" w:after="120"/>
        <w:ind w:left="0" w:right="0" w:firstLine="360"/>
        <w:jc w:val="both"/>
        <w:rPr/>
      </w:pPr>
      <w:r>
        <w:rPr>
          <w:rFonts w:ascii="Times New Roman;sans-serif" w:hAnsi="Times New Roman;sans-serif"/>
          <w:b w:val="false"/>
          <w:i/>
          <w:color w:val="000000"/>
          <w:sz w:val="20"/>
        </w:rPr>
        <w:t>Off-Balance Sheet Arrangements.</w:t>
      </w:r>
      <w:r>
        <w:rPr>
          <w:color w:val="000000"/>
        </w:rPr>
        <w:t xml:space="preserve"> </w:t>
      </w:r>
      <w:r>
        <w:rPr>
          <w:rFonts w:ascii="Times New Roman;sans-serif" w:hAnsi="Times New Roman;sans-serif"/>
          <w:b w:val="false"/>
          <w:color w:val="000000"/>
          <w:sz w:val="20"/>
          <w:highlight w:val="white"/>
        </w:rPr>
        <w:t>There have been no significant changes to our off-balance sheet arrangements since our Annual Report.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market risks described in our Annual Report on Form 10-K for the year ended December 31,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that occurred during the quarter ended March 31, 2023 that have materially affected, or are reasonably likely to materially affect, our internal control over financial reporting.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120"/>
        <w:ind w:left="0" w:right="0" w:firstLine="360"/>
        <w:jc w:val="both"/>
        <w:rPr/>
      </w:pPr>
      <w:r>
        <w:rPr>
          <w:rFonts w:ascii="Times New Roman;sans-serif" w:hAnsi="Times New Roman;sans-serif"/>
          <w:b w:val="false"/>
          <w:color w:val="000000"/>
          <w:sz w:val="20"/>
        </w:rPr>
        <w:t xml:space="preserve">See discussion of legal proceedings in Note H.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to the Condensed Consolidated Financial Statements included in Item 1 of Part I of this Quarterly Report, which is incorporated by reference into this Item 1 of Part II.</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00"/>
        <w:rPr/>
      </w:pPr>
      <w:r>
        <w:rPr>
          <w:rFonts w:ascii="Times New Roman;sans-serif" w:hAnsi="Times New Roman;sans-serif"/>
          <w:b/>
          <w:color w:val="000000"/>
          <w:sz w:val="20"/>
        </w:rPr>
        <w:t>Item 1A.     </w:t>
      </w:r>
      <w:r>
        <w:rPr>
          <w:color w:val="000000"/>
        </w:rPr>
        <w:t> </w:t>
      </w:r>
      <w:r>
        <w:rPr>
          <w:rFonts w:ascii="Times New Roman;sans-serif" w:hAnsi="Times New Roman;sans-serif"/>
          <w:b/>
          <w:i/>
          <w:color w:val="000000"/>
          <w:sz w:val="20"/>
        </w:rPr>
        <w:t>Risk Factors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risk factors disclosed in "Item 1A. Risk Factors" included in our Annual Report on Form 10-K for the year ended December 31, 2022, are hereby incorporated by reference. In addition, we identified the following additional risk..</w:t>
      </w:r>
    </w:p>
    <w:p>
      <w:pPr>
        <w:pStyle w:val="TextBody"/>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An inability of our material unconsolidated affiliates to maintain effective financial reporting processes may adversely impact our ability to report our results of operations or financial condition accurately and timely.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accuracy and timeliness of the Company's financial reporting is dependent on the timely financial reporting and effectiveness of internal controls over financial reporting of our material investments in unconsolidated affiliates. Material deficiencies in the internal controls over financial reporting or other matters impacting the ability of our unconsolidated affiliates to accurately and timely report their standalone results of operations and financial condition or meet related debt covenants, if any, may cause us to be unable to report the financial information of the Company on a timely basis or reduce the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value of the Company's related investment. Furthermore, restatements to prior period financial information reported by our material unconsolidated affiliates could require the Company to similarly restate its prior period financial information. If the Company is unable to timely and accurately report its financial information it could subject us to adverse regulatory consequences, including potential sanctions by the SEC or violations of applicable stock exchange listing rules. There also could be a negative reaction in the financial markets due to a loss of investor confidence in us and the reliability of our financial statements. This could materially adversely affect us and lead to a decline in the price of the Company's common stock.</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Cannae records its share of equity in earnings or loss of System1 on a three-month lag. As of the date of this Quarterly Report on Form 10-Q, System1 has not filed its annual report for the period ended December 31, 2022, and accordingly, our equity in losses of unconsolidated affiliates for the three months ended March 31, 2023 includes our ratable share of System1's preliminary results of operations for the three months ended December 31, 2022. Additionally, on March 17, 2023 System1 filed a Current Report on Form 8-K indicating investors should not rely on System1's financial statements for the periods ended March 31, 2022, June 30, 2022 and September 30, 2022. Based on an assessment of the impact of System1's preliminary restated results of operations and financial condition for these periods, we do not expect these restatements by System1 to have a material impact to Cannae's previously reported financial information.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5785" w:type="dxa"/>
        <w:jc w:val="left"/>
        <w:tblInd w:w="0" w:type="dxa"/>
        <w:tblCellMar>
          <w:top w:w="28" w:type="dxa"/>
          <w:left w:w="28" w:type="dxa"/>
          <w:bottom w:w="28" w:type="dxa"/>
          <w:right w:w="28" w:type="dxa"/>
        </w:tblCellMar>
      </w:tblPr>
      <w:tblGrid>
        <w:gridCol w:w="239"/>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96"/>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578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tc>
      </w:tr>
    </w:tbl>
    <w:p>
      <w:pPr>
        <w:pStyle w:val="TextBody"/>
        <w:spacing w:lineRule="auto" w:line="288" w:before="0" w:after="0"/>
        <w:rPr>
          <w:color w:val="000000"/>
        </w:rPr>
      </w:pPr>
      <w:r>
        <w:rPr>
          <w:color w:val="000000"/>
        </w:rPr>
        <w:t> </w:t>
      </w:r>
    </w:p>
    <w:p>
      <w:pPr>
        <w:pStyle w:val="TextBody"/>
        <w:spacing w:lineRule="auto" w:line="288" w:before="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3443" w:type="dxa"/>
        <w:jc w:val="left"/>
        <w:tblInd w:w="0" w:type="dxa"/>
        <w:tblCellMar>
          <w:top w:w="28" w:type="dxa"/>
          <w:left w:w="28" w:type="dxa"/>
          <w:bottom w:w="28" w:type="dxa"/>
          <w:right w:w="28" w:type="dxa"/>
        </w:tblCellMar>
      </w:tblPr>
      <w:tblGrid>
        <w:gridCol w:w="142"/>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76"/>
      </w:tblGrid>
      <w:tr>
        <w:trPr/>
        <w:tc>
          <w:tcPr>
            <w:tcW w:w="14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3443"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tc>
      </w:tr>
    </w:tbl>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3003"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3"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tc>
      </w:tr>
    </w:tbl>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20" w:after="283"/>
        <w:rPr>
          <w:color w:val="000000"/>
        </w:rPr>
      </w:pPr>
      <w:r>
        <w:rPr>
          <w:color w:val="000000"/>
        </w:rPr>
        <w:t>     </w:t>
      </w:r>
      <w:r>
        <w:rPr>
          <w:rFonts w:ascii="Times New Roman;sans-serif" w:hAnsi="Times New Roman;sans-serif"/>
          <w:b w:val="false"/>
          <w:color w:val="000000"/>
          <w:sz w:val="20"/>
        </w:rPr>
        <w:t>(a) Exhibits: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539" w:type="dxa"/>
        <w:jc w:val="left"/>
        <w:tblInd w:w="0" w:type="dxa"/>
        <w:tblCellMar>
          <w:top w:w="28" w:type="dxa"/>
          <w:left w:w="28" w:type="dxa"/>
          <w:bottom w:w="28" w:type="dxa"/>
          <w:right w:w="28" w:type="dxa"/>
        </w:tblCellMar>
      </w:tblPr>
      <w:tblGrid>
        <w:gridCol w:w="310"/>
        <w:gridCol w:w="264"/>
        <w:gridCol w:w="266"/>
        <w:gridCol w:w="109"/>
        <w:gridCol w:w="109"/>
        <w:gridCol w:w="109"/>
        <w:gridCol w:w="2740"/>
        <w:gridCol w:w="2740"/>
        <w:gridCol w:w="3892"/>
      </w:tblGrid>
      <w:tr>
        <w:trPr/>
        <w:tc>
          <w:tcPr>
            <w:tcW w:w="31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3892" w:type="dxa"/>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2" w:type="dxa"/>
            <w:gridSpan w:val="3"/>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cnneexhibit3112023-q1.htm">
              <w:r>
                <w:rPr>
                  <w:rStyle w:val="InternetLink"/>
                  <w:rFonts w:ascii="Times New Roman;sans-serif" w:hAnsi="Times New Roman;sans-serif"/>
                  <w:b w:val="false"/>
                  <w:color w:val="0000FF"/>
                  <w:sz w:val="20"/>
                  <w:u w:val="single"/>
                </w:rPr>
                <w:t>Certification of Principal Executive Officer pursuant to Section 302 of the Sarbanes-Oxley Act of 2002.</w:t>
              </w:r>
            </w:hyperlink>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cnneexhibit3122023-q1.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cnneexhibit3212023-q1.htm">
              <w:r>
                <w:rPr>
                  <w:rStyle w:val="InternetLink"/>
                  <w:rFonts w:ascii="Times New Roman;sans-serif" w:hAnsi="Times New Roman;sans-serif"/>
                  <w:b w:val="false"/>
                  <w:color w:val="0000FF"/>
                  <w:sz w:val="20"/>
                  <w:u w:val="single"/>
                </w:rPr>
                <w:t>Certification by Principal Executive Officer of Periodic Financial Reports pursuant to Section 906 of the Sarbanes-Oxley Act of 2002, 18 U.S.C. Section 1350.</w:t>
              </w:r>
            </w:hyperlink>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cnneexhibit3222023-q1.htm">
              <w:r>
                <w:rPr>
                  <w:rStyle w:val="InternetLink"/>
                  <w:rFonts w:ascii="Times New Roman;sans-serif" w:hAnsi="Times New Roman;sans-serif"/>
                  <w:b w:val="false"/>
                  <w:color w:val="0000FF"/>
                  <w:sz w:val="20"/>
                  <w:u w:val="single"/>
                </w:rPr>
                <w:t>Certification by Chief Financial Officer of Periodic Financial Reports pursuant to Section 906 of the Sarbanes-Oxley Act of 2002, 18 U.S.C. Section 1350.</w:t>
              </w:r>
            </w:hyperlink>
          </w:p>
        </w:tc>
      </w:tr>
      <w:tr>
        <w:trPr/>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Furnished herewith in accordance with Item 601(b)(32) of Regulation S-K.</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The instance document does not appear in the interactive data file because its XBRL tags are embedded within the inline XBRL document.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4277ed18b4444a0b9155bad8b75fa546_10">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spacing w:lineRule="auto" w:line="288" w:before="120" w:after="12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643" w:type="dxa"/>
        <w:jc w:val="left"/>
        <w:tblInd w:w="0" w:type="dxa"/>
        <w:tblCellMar>
          <w:top w:w="28" w:type="dxa"/>
          <w:left w:w="28" w:type="dxa"/>
          <w:bottom w:w="28" w:type="dxa"/>
          <w:right w:w="28" w:type="dxa"/>
        </w:tblCellMar>
      </w:tblPr>
      <w:tblGrid>
        <w:gridCol w:w="200"/>
        <w:gridCol w:w="177"/>
        <w:gridCol w:w="178"/>
        <w:gridCol w:w="379"/>
        <w:gridCol w:w="379"/>
        <w:gridCol w:w="381"/>
        <w:gridCol w:w="394"/>
        <w:gridCol w:w="394"/>
        <w:gridCol w:w="394"/>
        <w:gridCol w:w="1463"/>
        <w:gridCol w:w="1463"/>
        <w:gridCol w:w="1469"/>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557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CANNAE HOLDINGS, INC.</w:t>
              <w:br/>
              <w:t>(registrant)</w:t>
              <w:b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D. Coy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D. Coy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(Principal Financial and Accounting Officer)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jc w:val="right"/>
        <w:rPr/>
      </w:pPr>
      <w:r>
        <w:rPr>
          <w:rFonts w:ascii="Times New Roman;sans-serif" w:hAnsi="Times New Roman;sans-serif"/>
          <w:b/>
          <w:color w:val="000000"/>
          <w:sz w:val="20"/>
        </w:rPr>
        <w:t>Exhibit 31.1</w:t>
      </w:r>
      <w:r>
        <w:rPr>
          <w:color w:val="000000"/>
        </w:rPr>
        <w:t xml:space="preserve"> </w:t>
      </w:r>
    </w:p>
    <w:p>
      <w:pPr>
        <w:pStyle w:val="TextBody"/>
        <w:spacing w:before="0" w:after="0"/>
        <w:jc w:val="right"/>
        <w:rPr/>
      </w:pPr>
      <w:r>
        <w:rPr/>
      </w:r>
    </w:p>
    <w:p>
      <w:pPr>
        <w:pStyle w:val="TextBody"/>
        <w:spacing w:lineRule="auto" w:line="288" w:before="0" w:after="0"/>
        <w:jc w:val="center"/>
        <w:rPr/>
      </w:pPr>
      <w:r>
        <w:rPr>
          <w:rFonts w:ascii="Times New Roman;sans-serif" w:hAnsi="Times New Roman;sans-serif"/>
          <w:b/>
          <w:color w:val="000000"/>
          <w:sz w:val="20"/>
        </w:rPr>
        <w:t>CERTIFICATIONS</w:t>
      </w:r>
      <w:r>
        <w:rPr>
          <w:color w:val="000000"/>
        </w:rPr>
        <w:t xml:space="preserve"> </w:t>
      </w:r>
    </w:p>
    <w:p>
      <w:pPr>
        <w:pStyle w:val="TextBody"/>
        <w:spacing w:before="0" w:after="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 Richard N. Massey, certify that: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Cannae Holdings, Inc.;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720"/>
        <w:jc w:val="both"/>
        <w:rPr/>
      </w:pPr>
      <w:r>
        <w:rPr/>
      </w:r>
    </w:p>
    <w:p>
      <w:pPr>
        <w:pStyle w:val="TextBody"/>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tbl>
      <w:tblPr>
        <w:tblW w:w="5412" w:type="dxa"/>
        <w:jc w:val="left"/>
        <w:tblInd w:w="0" w:type="dxa"/>
        <w:tblCellMar>
          <w:top w:w="28" w:type="dxa"/>
          <w:left w:w="28" w:type="dxa"/>
          <w:bottom w:w="28" w:type="dxa"/>
          <w:right w:w="28" w:type="dxa"/>
        </w:tblCellMar>
      </w:tblPr>
      <w:tblGrid>
        <w:gridCol w:w="151"/>
        <w:gridCol w:w="134"/>
        <w:gridCol w:w="135"/>
        <w:gridCol w:w="109"/>
        <w:gridCol w:w="109"/>
        <w:gridCol w:w="109"/>
        <w:gridCol w:w="1366"/>
        <w:gridCol w:w="1366"/>
        <w:gridCol w:w="1933"/>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Richard N. Massey</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Richard N. Massey </w:t>
              <w:br/>
              <w:t>Chief Executive Officer and Principal Executive Officer</w:t>
            </w:r>
          </w:p>
        </w:tc>
      </w:tr>
    </w:tbl>
    <w:p>
      <w:pPr>
        <w:pStyle w:val="TextBody"/>
        <w:spacing w:before="0" w:after="0"/>
        <w:rPr/>
      </w:pPr>
      <w:r>
        <w:rPr/>
      </w:r>
    </w:p>
    <w:p>
      <w:pPr>
        <w:pStyle w:val="TextBody"/>
        <w:spacing w:lineRule="auto" w:line="288" w:before="0" w:after="100"/>
        <w:jc w:val="center"/>
        <w:rPr>
          <w:color w:val="000000"/>
        </w:rPr>
      </w:pPr>
      <w:r>
        <w:rPr>
          <w:color w:val="000000"/>
        </w:rPr>
        <w:t xml:space="preserve">  </w:t>
      </w:r>
    </w:p>
    <w:p>
      <w:pPr>
        <w:pStyle w:val="TextBody"/>
        <w:spacing w:before="0" w:after="60"/>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75260"/>
                <wp:effectExtent l="0" t="0" r="0" b="0"/>
                <wp:wrapNone/>
                <wp:docPr id="31" name="Frame3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pPr>
      <w:r>
        <w:rPr>
          <w:rFonts w:ascii="Times New Roman;sans-serif" w:hAnsi="Times New Roman;sans-serif"/>
          <w:b/>
          <w:color w:val="000000"/>
          <w:sz w:val="20"/>
        </w:rPr>
        <w:t>Exhibit 31.2</w:t>
      </w:r>
      <w:r>
        <w:rPr>
          <w:color w:val="000000"/>
        </w:rPr>
        <w:t xml:space="preserve"> </w:t>
      </w:r>
    </w:p>
    <w:p>
      <w:pPr>
        <w:pStyle w:val="TextBody"/>
        <w:spacing w:before="0" w:after="0"/>
        <w:jc w:val="right"/>
        <w:rPr/>
      </w:pPr>
      <w:r>
        <w:rPr/>
      </w:r>
    </w:p>
    <w:p>
      <w:pPr>
        <w:pStyle w:val="TextBody"/>
        <w:spacing w:lineRule="auto" w:line="288" w:before="0" w:after="0"/>
        <w:jc w:val="center"/>
        <w:rPr/>
      </w:pPr>
      <w:r>
        <w:rPr>
          <w:rFonts w:ascii="Times New Roman;sans-serif" w:hAnsi="Times New Roman;sans-serif"/>
          <w:b/>
          <w:color w:val="000000"/>
          <w:sz w:val="20"/>
        </w:rPr>
        <w:t>CERTIFICATIONS</w:t>
      </w:r>
      <w:r>
        <w:rPr>
          <w:color w:val="000000"/>
        </w:rPr>
        <w:t xml:space="preserve"> </w:t>
      </w:r>
    </w:p>
    <w:p>
      <w:pPr>
        <w:pStyle w:val="TextBody"/>
        <w:spacing w:before="0" w:after="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 Bryan D. Coy, certify that: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Cannae Holdings, Inc.;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720"/>
        <w:jc w:val="both"/>
        <w:rPr/>
      </w:pPr>
      <w:r>
        <w:rPr/>
      </w:r>
    </w:p>
    <w:p>
      <w:pPr>
        <w:pStyle w:val="TextBody"/>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both"/>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tbl>
      <w:tblPr>
        <w:tblW w:w="5292" w:type="dxa"/>
        <w:jc w:val="left"/>
        <w:tblInd w:w="0" w:type="dxa"/>
        <w:tblCellMar>
          <w:top w:w="28" w:type="dxa"/>
          <w:left w:w="28" w:type="dxa"/>
          <w:bottom w:w="28" w:type="dxa"/>
          <w:right w:w="28" w:type="dxa"/>
        </w:tblCellMar>
      </w:tblPr>
      <w:tblGrid>
        <w:gridCol w:w="151"/>
        <w:gridCol w:w="134"/>
        <w:gridCol w:w="135"/>
        <w:gridCol w:w="109"/>
        <w:gridCol w:w="109"/>
        <w:gridCol w:w="109"/>
        <w:gridCol w:w="1323"/>
        <w:gridCol w:w="1323"/>
        <w:gridCol w:w="1899"/>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99"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D. Coy</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D. Coy</w:t>
              <w:br/>
              <w:t>Chief Financial Officer and Principal Financial Officer</w:t>
            </w:r>
          </w:p>
        </w:tc>
      </w:tr>
    </w:tbl>
    <w:p>
      <w:pPr>
        <w:pStyle w:val="TextBody"/>
        <w:spacing w:before="0" w:after="20"/>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75260"/>
                <wp:effectExtent l="0" t="0" r="0" b="0"/>
                <wp:wrapNone/>
                <wp:docPr id="32" name="Frame3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right"/>
        <w:rPr/>
      </w:pPr>
      <w:r>
        <w:rPr/>
      </w:r>
    </w:p>
    <w:p>
      <w:pPr>
        <w:pStyle w:val="TextBody"/>
        <w:spacing w:lineRule="auto" w:line="288" w:before="0" w:after="0"/>
        <w:jc w:val="right"/>
        <w:rPr/>
      </w:pPr>
      <w:r>
        <w:rPr>
          <w:rFonts w:ascii="Times New Roman;sans-serif" w:hAnsi="Times New Roman;sans-serif"/>
          <w:b/>
          <w:color w:val="000000"/>
          <w:sz w:val="20"/>
        </w:rPr>
        <w:t>Exhibit 32.1</w:t>
      </w:r>
      <w:r>
        <w:rPr>
          <w:color w:val="000000"/>
        </w:rPr>
        <w:t xml:space="preserve"> </w:t>
      </w:r>
    </w:p>
    <w:p>
      <w:pPr>
        <w:pStyle w:val="TextBody"/>
        <w:spacing w:before="0" w:after="0"/>
        <w:jc w:val="right"/>
        <w:rPr/>
      </w:pPr>
      <w:r>
        <w:rPr/>
      </w:r>
    </w:p>
    <w:p>
      <w:pPr>
        <w:pStyle w:val="TextBody"/>
        <w:spacing w:lineRule="auto" w:line="288" w:before="0" w:after="0"/>
        <w:jc w:val="center"/>
        <w:rPr/>
      </w:pPr>
      <w:r>
        <w:rPr>
          <w:rFonts w:ascii="Times New Roman;sans-serif" w:hAnsi="Times New Roman;sans-serif"/>
          <w:b/>
          <w:color w:val="000000"/>
          <w:sz w:val="20"/>
        </w:rPr>
        <w:t>CERTIFICATION OF PERIODIC FINANCIAL REPORTS PURSUANT TO 18 U.S.C. §1350</w:t>
      </w:r>
      <w:r>
        <w:rPr>
          <w:color w:val="000000"/>
        </w:rPr>
        <w:t xml:space="preserve"> </w:t>
      </w:r>
    </w:p>
    <w:p>
      <w:pPr>
        <w:pStyle w:val="TextBody"/>
        <w:spacing w:before="0" w:after="0"/>
        <w:jc w:val="both"/>
        <w:rPr/>
      </w:pPr>
      <w:r>
        <w:rPr/>
      </w:r>
    </w:p>
    <w:p>
      <w:pPr>
        <w:pStyle w:val="TextBody"/>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The undersigned hereby certifies that he is the duly appointed and acting Principal Executive Officer of Cannae Holdings, Inc., a Delaware corporation (the “Company”), and hereby further certifies as follows. </w:t>
      </w:r>
    </w:p>
    <w:p>
      <w:pPr>
        <w:pStyle w:val="TextBody"/>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spacing w:before="0" w:after="0"/>
        <w:jc w:val="both"/>
        <w:rPr/>
      </w:pPr>
      <w:r>
        <w:rPr/>
      </w:r>
    </w:p>
    <w:p>
      <w:pPr>
        <w:pStyle w:val="TextBody"/>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spacing w:before="0" w:after="0"/>
        <w:jc w:val="both"/>
        <w:rPr/>
      </w:pPr>
      <w:r>
        <w:rPr/>
      </w:r>
    </w:p>
    <w:p>
      <w:pPr>
        <w:pStyle w:val="TextBody"/>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In witness whereof, the undersigned has executed and delivered this certificate as of the date set forth opposite his signature below.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tbl>
      <w:tblPr>
        <w:tblW w:w="5411" w:type="dxa"/>
        <w:jc w:val="left"/>
        <w:tblInd w:w="0" w:type="dxa"/>
        <w:tblCellMar>
          <w:top w:w="28" w:type="dxa"/>
          <w:left w:w="28" w:type="dxa"/>
          <w:bottom w:w="28" w:type="dxa"/>
          <w:right w:w="28" w:type="dxa"/>
        </w:tblCellMar>
      </w:tblPr>
      <w:tblGrid>
        <w:gridCol w:w="151"/>
        <w:gridCol w:w="134"/>
        <w:gridCol w:w="135"/>
        <w:gridCol w:w="1537"/>
        <w:gridCol w:w="1537"/>
        <w:gridCol w:w="1545"/>
        <w:gridCol w:w="109"/>
        <w:gridCol w:w="109"/>
        <w:gridCol w:w="154"/>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Richard N. Massey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N. Massey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20"/>
        <w:rPr/>
      </w:pPr>
      <w:r>
        <w:rPr/>
      </w:r>
    </w:p>
    <w:p>
      <w:pPr>
        <w:pStyle w:val="TextBody"/>
        <w:spacing w:lineRule="auto" w:line="288" w:before="0" w:after="100"/>
        <w:jc w:val="center"/>
        <w:rPr>
          <w:color w:val="000000"/>
        </w:rPr>
      </w:pPr>
      <w:r>
        <w:rPr>
          <w:color w:val="000000"/>
        </w:rPr>
        <w:t xml:space="preserve">  </w:t>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75260"/>
                <wp:effectExtent l="0" t="0" r="0" b="0"/>
                <wp:wrapNone/>
                <wp:docPr id="33" name="Frame3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pPr>
      <w:r>
        <w:rPr>
          <w:rFonts w:ascii="Times New Roman;sans-serif" w:hAnsi="Times New Roman;sans-serif"/>
          <w:b/>
          <w:color w:val="000000"/>
          <w:sz w:val="20"/>
        </w:rPr>
        <w:t>Exhibit 32.2</w:t>
      </w:r>
      <w:r>
        <w:rPr>
          <w:color w:val="000000"/>
        </w:rPr>
        <w:t xml:space="preserve"> </w:t>
      </w:r>
    </w:p>
    <w:p>
      <w:pPr>
        <w:pStyle w:val="TextBody"/>
        <w:spacing w:before="0" w:after="0"/>
        <w:jc w:val="right"/>
        <w:rPr/>
      </w:pPr>
      <w:r>
        <w:rPr/>
      </w:r>
    </w:p>
    <w:p>
      <w:pPr>
        <w:pStyle w:val="TextBody"/>
        <w:spacing w:lineRule="auto" w:line="288" w:before="0" w:after="180"/>
        <w:jc w:val="center"/>
        <w:rPr/>
      </w:pPr>
      <w:r>
        <w:rPr>
          <w:rFonts w:ascii="Times New Roman;sans-serif" w:hAnsi="Times New Roman;sans-serif"/>
          <w:b/>
          <w:color w:val="000000"/>
          <w:sz w:val="20"/>
        </w:rPr>
        <w:t>CERTIFICATION OF PERIODIC FINANCIAL REPORTS PURSUANT TO 18 U.S.C. §1350</w:t>
      </w:r>
      <w:r>
        <w:rPr>
          <w:color w:val="000000"/>
        </w:rPr>
        <w:t xml:space="preserve"> </w:t>
      </w:r>
    </w:p>
    <w:p>
      <w:pPr>
        <w:pStyle w:val="TextBody"/>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The undersigned hereby certifies that he is the duly appointed and acting Chief Financial Officer of Cannae Holdings, Inc., a Delaware corporation (the “Company”), and hereby further certifies as follows. </w:t>
      </w:r>
    </w:p>
    <w:p>
      <w:pPr>
        <w:pStyle w:val="TextBody"/>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spacing w:before="0" w:after="0"/>
        <w:jc w:val="both"/>
        <w:rPr/>
      </w:pPr>
      <w:r>
        <w:rPr/>
      </w:r>
    </w:p>
    <w:p>
      <w:pPr>
        <w:pStyle w:val="TextBody"/>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spacing w:before="0" w:after="0"/>
        <w:jc w:val="both"/>
        <w:rPr/>
      </w:pPr>
      <w:r>
        <w:rPr/>
      </w:r>
    </w:p>
    <w:p>
      <w:pPr>
        <w:pStyle w:val="TextBody"/>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In witness whereof, the undersigned has executed and delivered this certificate as of the date set forth opposite his signature below. </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tbl>
      <w:tblPr>
        <w:tblW w:w="5352" w:type="dxa"/>
        <w:jc w:val="left"/>
        <w:tblInd w:w="0" w:type="dxa"/>
        <w:tblCellMar>
          <w:top w:w="28" w:type="dxa"/>
          <w:left w:w="28" w:type="dxa"/>
          <w:bottom w:w="28" w:type="dxa"/>
          <w:right w:w="28" w:type="dxa"/>
        </w:tblCellMar>
      </w:tblPr>
      <w:tblGrid>
        <w:gridCol w:w="173"/>
        <w:gridCol w:w="153"/>
        <w:gridCol w:w="154"/>
        <w:gridCol w:w="1497"/>
        <w:gridCol w:w="1497"/>
        <w:gridCol w:w="1506"/>
        <w:gridCol w:w="109"/>
        <w:gridCol w:w="109"/>
        <w:gridCol w:w="154"/>
      </w:tblGrid>
      <w:tr>
        <w:trPr/>
        <w:tc>
          <w:tcPr>
            <w:tcW w:w="17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By:</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D. Coy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D. Coy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20"/>
        <w:rPr/>
      </w:pPr>
      <w:r>
        <w:rPr/>
      </w:r>
    </w:p>
    <w:p>
      <w:pPr>
        <w:pStyle w:val="TextBody"/>
        <w:spacing w:lineRule="auto" w:line="288" w:before="0" w:after="100"/>
        <w:jc w:val="center"/>
        <w:rPr>
          <w:color w:val="000000"/>
        </w:rPr>
      </w:pPr>
      <w:r>
        <w:rPr>
          <w:color w:val="000000"/>
        </w:rPr>
        <w:t xml:space="preserve">  </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75260"/>
                <wp:effectExtent l="0" t="0" r="0" b="0"/>
                <wp:wrapNone/>
                <wp:docPr id="34" name="Frame3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14467</Words>
  <CharactersWithSpaces>94661</CharactersWithSpaces>
  <Paragraphs>2174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