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457200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414020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3" w:lineRule="exact"/>
        <w:rPr>
          <w:sz w:val="24"/>
          <w:szCs w:val="24"/>
          <w:color w:val="auto"/>
        </w:rPr>
      </w:pPr>
    </w:p>
    <w:p>
      <w:pPr>
        <w:ind w:left="3660" w:right="400" w:hanging="3267"/>
        <w:spacing w:after="0" w:line="412" w:lineRule="auto"/>
        <w:tabs>
          <w:tab w:leader="none" w:pos="170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4320" w:right="380" w:hanging="3927"/>
        <w:spacing w:after="0" w:line="366" w:lineRule="auto"/>
        <w:tabs>
          <w:tab w:leader="none" w:pos="170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1-38300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CANNAE HOLDINGS, INC.</w:t>
      </w:r>
    </w:p>
    <w:p>
      <w:pPr>
        <w:spacing w:after="0" w:line="55"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4" w:lineRule="exact"/>
        <w:rPr>
          <w:sz w:val="24"/>
          <w:szCs w:val="24"/>
          <w:color w:val="auto"/>
        </w:rPr>
      </w:pPr>
    </w:p>
    <w:tbl>
      <w:tblPr>
        <w:tblLayout w:type="fixed"/>
        <w:tblInd w:w="180" w:type="dxa"/>
        <w:tblCellMar>
          <w:top w:w="0" w:type="dxa"/>
          <w:left w:w="0" w:type="dxa"/>
          <w:bottom w:w="0" w:type="dxa"/>
          <w:right w:w="0" w:type="dxa"/>
        </w:tblCellMar>
      </w:tblPr>
      <w:tr>
        <w:trPr>
          <w:trHeight w:val="238"/>
        </w:trPr>
        <w:tc>
          <w:tcPr>
            <w:tcW w:w="40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780" w:type="dxa"/>
            <w:vAlign w:val="bottom"/>
          </w:tcPr>
          <w:p>
            <w:pPr>
              <w:spacing w:after="0"/>
              <w:rPr>
                <w:sz w:val="20"/>
                <w:szCs w:val="20"/>
                <w:color w:val="auto"/>
              </w:rPr>
            </w:pPr>
          </w:p>
        </w:tc>
        <w:tc>
          <w:tcPr>
            <w:tcW w:w="6100" w:type="dxa"/>
            <w:vAlign w:val="bottom"/>
            <w:gridSpan w:val="3"/>
          </w:tcPr>
          <w:p>
            <w:pPr>
              <w:jc w:val="right"/>
              <w:ind w:right="2050"/>
              <w:spacing w:after="0"/>
              <w:rPr>
                <w:sz w:val="20"/>
                <w:szCs w:val="20"/>
                <w:color w:val="auto"/>
              </w:rPr>
            </w:pPr>
            <w:r>
              <w:rPr>
                <w:rFonts w:ascii="Times New Roman" w:cs="Times New Roman" w:eastAsia="Times New Roman" w:hAnsi="Times New Roman"/>
                <w:sz w:val="18"/>
                <w:szCs w:val="18"/>
                <w:b w:val="1"/>
                <w:bCs w:val="1"/>
                <w:color w:val="auto"/>
              </w:rPr>
              <w:t>82-1273460</w:t>
            </w:r>
          </w:p>
        </w:tc>
      </w:tr>
      <w:tr>
        <w:trPr>
          <w:trHeight w:val="169"/>
        </w:trPr>
        <w:tc>
          <w:tcPr>
            <w:tcW w:w="4000" w:type="dxa"/>
            <w:vAlign w:val="bottom"/>
            <w:tcBorders>
              <w:top w:val="single" w:sz="8" w:color="auto"/>
            </w:tcBorders>
          </w:tcPr>
          <w:p>
            <w:pPr>
              <w:jc w:val="center"/>
              <w:ind w:left="910"/>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1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68"/>
        </w:trPr>
        <w:tc>
          <w:tcPr>
            <w:tcW w:w="40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1701 Village Center Circle,  Las Vegas,</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6100" w:type="dxa"/>
            <w:vAlign w:val="bottom"/>
            <w:gridSpan w:val="3"/>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89134</w:t>
            </w:r>
          </w:p>
        </w:tc>
      </w:tr>
      <w:tr>
        <w:trPr>
          <w:trHeight w:val="228"/>
        </w:trPr>
        <w:tc>
          <w:tcPr>
            <w:tcW w:w="4000" w:type="dxa"/>
            <w:vAlign w:val="bottom"/>
            <w:tcBorders>
              <w:top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06"/>
        </w:trPr>
        <w:tc>
          <w:tcPr>
            <w:tcW w:w="4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gridSpan w:val="3"/>
          </w:tcPr>
          <w:p>
            <w:pPr>
              <w:jc w:val="right"/>
              <w:ind w:right="4790"/>
              <w:spacing w:after="0"/>
              <w:rPr>
                <w:sz w:val="20"/>
                <w:szCs w:val="20"/>
                <w:color w:val="auto"/>
              </w:rPr>
            </w:pPr>
            <w:r>
              <w:rPr>
                <w:rFonts w:ascii="Times New Roman" w:cs="Times New Roman" w:eastAsia="Times New Roman" w:hAnsi="Times New Roman"/>
                <w:sz w:val="18"/>
                <w:szCs w:val="18"/>
                <w:b w:val="1"/>
                <w:bCs w:val="1"/>
                <w:color w:val="auto"/>
              </w:rPr>
              <w:t>(702) 323-7330</w:t>
            </w:r>
          </w:p>
        </w:tc>
      </w:tr>
    </w:tbl>
    <w:p>
      <w:pPr>
        <w:ind w:left="38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4" w:lineRule="exact"/>
        <w:rPr>
          <w:sz w:val="24"/>
          <w:szCs w:val="24"/>
          <w:color w:val="auto"/>
        </w:rPr>
      </w:pPr>
    </w:p>
    <w:tbl>
      <w:tblPr>
        <w:tblLayout w:type="fixed"/>
        <w:tblInd w:w="58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272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Trading Symbol</w:t>
            </w:r>
          </w:p>
        </w:tc>
        <w:tc>
          <w:tcPr>
            <w:tcW w:w="3700" w:type="dxa"/>
            <w:vAlign w:val="bottom"/>
            <w:gridSpan w:val="2"/>
          </w:tcPr>
          <w:p>
            <w:pPr>
              <w:jc w:val="center"/>
              <w:ind w:left="59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0"/>
        </w:trPr>
        <w:tc>
          <w:tcPr>
            <w:tcW w:w="37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Cannae Common Stock, $0.0001 par value</w:t>
            </w:r>
          </w:p>
        </w:tc>
        <w:tc>
          <w:tcPr>
            <w:tcW w:w="460" w:type="dxa"/>
            <w:vAlign w:val="bottom"/>
          </w:tcPr>
          <w:p>
            <w:pPr>
              <w:spacing w:after="0"/>
              <w:rPr>
                <w:sz w:val="21"/>
                <w:szCs w:val="21"/>
                <w:color w:val="auto"/>
              </w:rPr>
            </w:pPr>
          </w:p>
        </w:tc>
        <w:tc>
          <w:tcPr>
            <w:tcW w:w="17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CNNE</w:t>
            </w:r>
          </w:p>
        </w:tc>
        <w:tc>
          <w:tcPr>
            <w:tcW w:w="680" w:type="dxa"/>
            <w:vAlign w:val="bottom"/>
          </w:tcPr>
          <w:p>
            <w:pPr>
              <w:spacing w:after="0"/>
              <w:rPr>
                <w:sz w:val="21"/>
                <w:szCs w:val="21"/>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200" w:lineRule="exact"/>
        <w:rPr>
          <w:sz w:val="24"/>
          <w:szCs w:val="24"/>
          <w:color w:val="auto"/>
        </w:rPr>
      </w:pPr>
    </w:p>
    <w:p>
      <w:pPr>
        <w:spacing w:after="0" w:line="24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0"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570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294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2"/>
        </w:trPr>
        <w:tc>
          <w:tcPr>
            <w:tcW w:w="5700" w:type="dxa"/>
            <w:vAlign w:val="bottom"/>
            <w:vMerge w:val="continue"/>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2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43"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ind w:left="340" w:right="174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31, 2024 there were 62,739,664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SEPTEMBER 30,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0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40" w:type="dxa"/>
            <w:vAlign w:val="bottom"/>
            <w:gridSpan w:val="21"/>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93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Unaudited Condensed Consolidated Financial Statements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A. Condensed Consolidated Balance Sheets as of September 30, 2024 and December 31, 2023</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B. Condensed Consolidated Statements of Operations for the three and nine-month periods ended</w:t>
            </w:r>
          </w:p>
        </w:tc>
        <w:tc>
          <w:tcPr>
            <w:tcW w:w="11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2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September 30, 2024 and 2023</w:t>
            </w:r>
          </w:p>
        </w:tc>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40" w:type="dxa"/>
            <w:vAlign w:val="bottom"/>
            <w:gridSpan w:val="19"/>
          </w:tcPr>
          <w:p>
            <w:pPr>
              <w:spacing w:after="0" w:line="203" w:lineRule="exact"/>
              <w:rPr>
                <w:sz w:val="20"/>
                <w:szCs w:val="20"/>
                <w:color w:val="auto"/>
              </w:rPr>
            </w:pPr>
            <w:r>
              <w:rPr>
                <w:rFonts w:ascii="Times New Roman" w:cs="Times New Roman" w:eastAsia="Times New Roman" w:hAnsi="Times New Roman"/>
                <w:sz w:val="18"/>
                <w:szCs w:val="18"/>
                <w:color w:val="0000FF"/>
              </w:rPr>
              <w:t>C. Condensed Consolidated Statements of Comprehensive (Loss) Earnings for the three and nine-month periods ended September</w:t>
            </w:r>
          </w:p>
        </w:tc>
        <w:tc>
          <w:tcPr>
            <w:tcW w:w="11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30, 2024 and 2023</w:t>
            </w: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gridSpan w:val="3"/>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gridSpan w:val="2"/>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20" w:type="dxa"/>
            <w:vAlign w:val="bottom"/>
            <w:tcBorders>
              <w:top w:val="single" w:sz="8" w:color="0000FF"/>
            </w:tcBorders>
            <w:gridSpan w:val="2"/>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5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D. Condensed Consolidated Statements of Equity for the three and nine-month periods ended</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40" w:type="dxa"/>
            <w:vAlign w:val="bottom"/>
            <w:gridSpan w:val="19"/>
            <w:vMerge w:val="continue"/>
          </w:tcPr>
          <w:p>
            <w:pPr>
              <w:spacing w:after="0"/>
              <w:rPr>
                <w:sz w:val="17"/>
                <w:szCs w:val="17"/>
                <w:color w:val="auto"/>
              </w:rPr>
            </w:pPr>
          </w:p>
        </w:tc>
        <w:tc>
          <w:tcPr>
            <w:tcW w:w="11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720" w:type="dxa"/>
            <w:vAlign w:val="bottom"/>
            <w:tcBorders>
              <w:top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6"/>
                <w:szCs w:val="16"/>
                <w:color w:val="0000FF"/>
              </w:rPr>
              <w:t>September 30, 2024 and 2023</w:t>
            </w:r>
          </w:p>
        </w:tc>
        <w:tc>
          <w:tcPr>
            <w:tcW w:w="20" w:type="dxa"/>
            <w:vAlign w:val="bottom"/>
          </w:tcPr>
          <w:p>
            <w:pPr>
              <w:spacing w:after="0"/>
              <w:rPr>
                <w:sz w:val="13"/>
                <w:szCs w:val="13"/>
                <w:color w:val="auto"/>
              </w:rPr>
            </w:pPr>
          </w:p>
        </w:tc>
        <w:tc>
          <w:tcPr>
            <w:tcW w:w="2800" w:type="dxa"/>
            <w:vAlign w:val="bottom"/>
            <w:gridSpan w:val="3"/>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40" w:type="dxa"/>
            <w:vAlign w:val="bottom"/>
            <w:gridSpan w:val="19"/>
          </w:tcPr>
          <w:p>
            <w:pPr>
              <w:spacing w:after="0" w:line="203" w:lineRule="exact"/>
              <w:rPr>
                <w:sz w:val="20"/>
                <w:szCs w:val="20"/>
                <w:color w:val="auto"/>
              </w:rPr>
            </w:pPr>
            <w:r>
              <w:rPr>
                <w:rFonts w:ascii="Times New Roman" w:cs="Times New Roman" w:eastAsia="Times New Roman" w:hAnsi="Times New Roman"/>
                <w:sz w:val="18"/>
                <w:szCs w:val="18"/>
                <w:color w:val="0000FF"/>
              </w:rPr>
              <w:t>E. Condensed Consolidated Statements of Cash Flows for the nine-month periods ended</w:t>
            </w:r>
          </w:p>
        </w:tc>
        <w:tc>
          <w:tcPr>
            <w:tcW w:w="11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September 30, 2024 and 2023</w:t>
            </w:r>
          </w:p>
        </w:tc>
        <w:tc>
          <w:tcPr>
            <w:tcW w:w="3760" w:type="dxa"/>
            <w:vAlign w:val="bottom"/>
            <w:tcBorders>
              <w:top w:val="single" w:sz="8" w:color="0000FF"/>
            </w:tcBorders>
            <w:gridSpan w:val="4"/>
          </w:tcPr>
          <w:p>
            <w:pPr>
              <w:spacing w:after="0"/>
              <w:rPr>
                <w:sz w:val="13"/>
                <w:szCs w:val="13"/>
                <w:color w:val="auto"/>
              </w:rPr>
            </w:pPr>
          </w:p>
        </w:tc>
        <w:tc>
          <w:tcPr>
            <w:tcW w:w="400" w:type="dxa"/>
            <w:vAlign w:val="bottom"/>
            <w:gridSpan w:val="2"/>
          </w:tcPr>
          <w:p>
            <w:pPr>
              <w:spacing w:after="0"/>
              <w:rPr>
                <w:sz w:val="13"/>
                <w:szCs w:val="13"/>
                <w:color w:val="auto"/>
              </w:rPr>
            </w:pPr>
          </w:p>
        </w:tc>
        <w:tc>
          <w:tcPr>
            <w:tcW w:w="2800" w:type="dxa"/>
            <w:vAlign w:val="bottom"/>
            <w:gridSpan w:val="3"/>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3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gridSpan w:val="3"/>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180" w:type="dxa"/>
            <w:vAlign w:val="bottom"/>
            <w:gridSpan w:val="3"/>
          </w:tcPr>
          <w:p>
            <w:pPr>
              <w:spacing w:after="0"/>
              <w:rPr>
                <w:sz w:val="2"/>
                <w:szCs w:val="2"/>
                <w:color w:val="auto"/>
              </w:rPr>
            </w:pPr>
          </w:p>
        </w:tc>
        <w:tc>
          <w:tcPr>
            <w:tcW w:w="280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 Notes to Condensed Consolidated Financial Statements</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7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800" w:type="dxa"/>
            <w:vAlign w:val="bottom"/>
            <w:gridSpan w:val="3"/>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2180" w:type="dxa"/>
            <w:vAlign w:val="bottom"/>
            <w:tcBorders>
              <w:left w:val="single" w:sz="8" w:color="0000FF"/>
            </w:tcBorders>
            <w:gridSpan w:val="3"/>
            <w:shd w:val="clear" w:color="auto" w:fill="0000FF"/>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 About Market Risk</w:t>
            </w:r>
          </w:p>
        </w:tc>
        <w:tc>
          <w:tcPr>
            <w:tcW w:w="2180" w:type="dxa"/>
            <w:vAlign w:val="bottom"/>
            <w:gridSpan w:val="3"/>
          </w:tcPr>
          <w:p>
            <w:pPr>
              <w:spacing w:after="0"/>
              <w:rPr>
                <w:sz w:val="18"/>
                <w:szCs w:val="18"/>
                <w:color w:val="auto"/>
              </w:rPr>
            </w:pPr>
          </w:p>
        </w:tc>
        <w:tc>
          <w:tcPr>
            <w:tcW w:w="2800" w:type="dxa"/>
            <w:vAlign w:val="bottom"/>
            <w:gridSpan w:val="3"/>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520" w:type="dxa"/>
            <w:vAlign w:val="bottom"/>
            <w:gridSpan w:val="6"/>
          </w:tcPr>
          <w:p>
            <w:pPr>
              <w:spacing w:after="0"/>
              <w:rPr>
                <w:sz w:val="18"/>
                <w:szCs w:val="18"/>
                <w:color w:val="auto"/>
              </w:rPr>
            </w:pPr>
          </w:p>
        </w:tc>
        <w:tc>
          <w:tcPr>
            <w:tcW w:w="498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7600" w:type="dxa"/>
            <w:vAlign w:val="bottom"/>
            <w:gridSpan w:val="13"/>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Item 1. Legal Proceedings</w:t>
            </w:r>
          </w:p>
        </w:tc>
        <w:tc>
          <w:tcPr>
            <w:tcW w:w="7960" w:type="dxa"/>
            <w:vAlign w:val="bottom"/>
            <w:gridSpan w:val="14"/>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gridSpan w:val="2"/>
          </w:tcPr>
          <w:p>
            <w:pPr>
              <w:spacing w:after="0"/>
              <w:rPr>
                <w:sz w:val="18"/>
                <w:szCs w:val="18"/>
                <w:color w:val="auto"/>
              </w:rPr>
            </w:pPr>
          </w:p>
        </w:tc>
        <w:tc>
          <w:tcPr>
            <w:tcW w:w="7960" w:type="dxa"/>
            <w:vAlign w:val="bottom"/>
            <w:gridSpan w:val="14"/>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Item 2. Unregistered Sales of Equity Securities and Use of Proceeds</w:t>
            </w:r>
          </w:p>
        </w:tc>
        <w:tc>
          <w:tcPr>
            <w:tcW w:w="498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498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96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2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540" w:type="dxa"/>
            <w:vAlign w:val="bottom"/>
            <w:gridSpan w:val="3"/>
          </w:tcPr>
          <w:p>
            <w:pPr>
              <w:spacing w:after="0"/>
              <w:rPr>
                <w:sz w:val="18"/>
                <w:szCs w:val="18"/>
                <w:color w:val="auto"/>
              </w:rPr>
            </w:pPr>
          </w:p>
        </w:tc>
        <w:tc>
          <w:tcPr>
            <w:tcW w:w="6960" w:type="dxa"/>
            <w:vAlign w:val="bottom"/>
            <w:gridSpan w:val="9"/>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50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460" w:type="dxa"/>
            <w:vAlign w:val="bottom"/>
            <w:gridSpan w:val="2"/>
          </w:tcPr>
          <w:p>
            <w:pPr>
              <w:spacing w:after="0"/>
              <w:rPr>
                <w:sz w:val="18"/>
                <w:szCs w:val="18"/>
                <w:color w:val="auto"/>
              </w:rPr>
            </w:pPr>
          </w:p>
        </w:tc>
        <w:tc>
          <w:tcPr>
            <w:tcW w:w="7500" w:type="dxa"/>
            <w:vAlign w:val="bottom"/>
            <w:gridSpan w:val="12"/>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960" w:type="dxa"/>
            <w:vAlign w:val="bottom"/>
            <w:gridSpan w:val="1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960" w:type="dxa"/>
            <w:vAlign w:val="bottom"/>
            <w:gridSpan w:val="14"/>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8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8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8"/>
        </w:trPr>
        <w:tc>
          <w:tcPr>
            <w:tcW w:w="8820" w:type="dxa"/>
            <w:vAlign w:val="bottom"/>
            <w:shd w:val="clear" w:color="auto" w:fill="CCEEFF"/>
          </w:tcPr>
          <w:p>
            <w:pPr>
              <w:jc w:val="center"/>
              <w:ind w:left="235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12"/>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1,718.8</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 at fair value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assets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investments and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0" w:type="dxa"/>
            <w:vAlign w:val="bottom"/>
          </w:tcPr>
          <w:p>
            <w:pPr>
              <w:spacing w:after="0"/>
              <w:rPr>
                <w:sz w:val="1"/>
                <w:szCs w:val="1"/>
                <w:color w:val="auto"/>
              </w:rPr>
            </w:pPr>
          </w:p>
        </w:tc>
      </w:tr>
      <w:tr>
        <w:trPr>
          <w:trHeight w:val="212"/>
        </w:trPr>
        <w:tc>
          <w:tcPr>
            <w:tcW w:w="8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2,286.2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2,686.7</w:t>
            </w:r>
          </w:p>
        </w:tc>
        <w:tc>
          <w:tcPr>
            <w:tcW w:w="0" w:type="dxa"/>
            <w:vAlign w:val="bottom"/>
          </w:tcPr>
          <w:p>
            <w:pPr>
              <w:spacing w:after="0"/>
              <w:rPr>
                <w:sz w:val="1"/>
                <w:szCs w:val="1"/>
                <w:color w:val="auto"/>
              </w:rPr>
            </w:pPr>
          </w:p>
        </w:tc>
      </w:tr>
      <w:tr>
        <w:trPr>
          <w:trHeight w:val="20"/>
        </w:trPr>
        <w:tc>
          <w:tcPr>
            <w:tcW w:w="8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20" w:type="dxa"/>
            <w:vAlign w:val="bottom"/>
            <w:shd w:val="clear" w:color="auto" w:fill="CCEEFF"/>
          </w:tcPr>
          <w:p>
            <w:pPr>
              <w:jc w:val="center"/>
              <w:ind w:left="2339"/>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other accrued liabilities, 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liabilities, current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Notes payable, current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2"/>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 long-term</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payable, long-term</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 long-term</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2"/>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 see Note H</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8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Cannae common stock, 0.0001 par value; authorized 115,000,000 shares as of September 30, 2024 and December 31, 2023; issued of</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94,268,232 and 92,844,329 shares as of September 30, 2024 and December 31, 2023, respectively, and outstanding of 62,734,645</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70,367,088 shares as of September 30, 2024 and December 31, 2023, respectively</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8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Preferred stock, 0.0001 par value; authorized 10,000,000 shares; issued and outstanding, none as of September 30, 2024 and</w:t>
            </w: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31, 2023</w:t>
            </w: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901.3</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1,977.0</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Treasury stock, 31,533,587 and 22,477,241 shares as of September 30, 2024 and December 31, 2023, respectively, at cost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(533.9)</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07"/>
        </w:trPr>
        <w:tc>
          <w:tcPr>
            <w:tcW w:w="8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Cannae shareholders' equity</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2,324.5</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7"/>
        </w:trPr>
        <w:tc>
          <w:tcPr>
            <w:tcW w:w="8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2,309.2</w:t>
            </w:r>
          </w:p>
        </w:tc>
        <w:tc>
          <w:tcPr>
            <w:tcW w:w="0" w:type="dxa"/>
            <w:vAlign w:val="bottom"/>
          </w:tcPr>
          <w:p>
            <w:pPr>
              <w:spacing w:after="0"/>
              <w:rPr>
                <w:sz w:val="1"/>
                <w:szCs w:val="1"/>
                <w:color w:val="auto"/>
              </w:rPr>
            </w:pPr>
          </w:p>
        </w:tc>
      </w:tr>
      <w:tr>
        <w:trPr>
          <w:trHeight w:val="237"/>
        </w:trPr>
        <w:tc>
          <w:tcPr>
            <w:tcW w:w="88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2,686.7</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CCEEFF"/>
            </w:tcBorders>
            <w:vMerge w:val="restart"/>
          </w:tcPr>
          <w:p>
            <w:pPr>
              <w:jc w:val="center"/>
              <w:ind w:left="233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(Unaudited)</w:t>
      </w:r>
    </w:p>
    <w:p>
      <w:pPr>
        <w:spacing w:after="0" w:line="1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2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20" w:type="dxa"/>
            <w:vAlign w:val="bottom"/>
          </w:tcPr>
          <w:p>
            <w:pPr>
              <w:spacing w:after="0"/>
              <w:rPr>
                <w:sz w:val="13"/>
                <w:szCs w:val="13"/>
                <w:color w:val="auto"/>
              </w:rPr>
            </w:pPr>
          </w:p>
        </w:tc>
        <w:tc>
          <w:tcPr>
            <w:tcW w:w="2000" w:type="dxa"/>
            <w:vAlign w:val="bottom"/>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5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Restaurant revenue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operating revenue</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07"/>
        </w:trPr>
        <w:tc>
          <w:tcPr>
            <w:tcW w:w="59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operating revenues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Personnel costs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3"/>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544.9</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Operating loss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r>
        <w:trPr>
          <w:trHeight w:val="19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investment and other income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3"/>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Recognized gains (losses), net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(loss) before income taxes and equity in losses of unconsolidated affiliates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(loss) before equity in losses of unconsolidated affiliates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Equity in losses of unconsolidated affiliates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Cannae Holdings, Inc. common shareholders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Basic</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Diluted</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Weighted Average Shares Outstanding</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Cannae Holdings common stock, basic basis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 Cannae Holdings common stock, diluted basis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17" w:right="8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EARNINGS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4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2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69"/>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tcPr>
          <w:p>
            <w:pPr>
              <w:jc w:val="right"/>
              <w:ind w:right="52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(17.5)</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100" w:type="dxa"/>
            <w:vAlign w:val="bottom"/>
          </w:tcPr>
          <w:p>
            <w:pPr>
              <w:spacing w:after="0"/>
              <w:rPr>
                <w:sz w:val="24"/>
                <w:szCs w:val="24"/>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(loss), net of tax:</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Unrealized earnings (loss) of investments in unconsolidated affiliates </w:t>
            </w:r>
            <w:r>
              <w:rPr>
                <w:rFonts w:ascii="Times New Roman" w:cs="Times New Roman" w:eastAsia="Times New Roman" w:hAnsi="Times New Roman"/>
                <w:sz w:val="21"/>
                <w:szCs w:val="21"/>
                <w:color w:val="auto"/>
                <w:vertAlign w:val="superscript"/>
              </w:rPr>
              <w:t>(1)</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Reclassification adjustments for unrealized gains and losses of unconsolidated affiliates, net</w:t>
            </w:r>
          </w:p>
        </w:tc>
        <w:tc>
          <w:tcPr>
            <w:tcW w:w="70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of tax, included in net earnings </w:t>
            </w:r>
            <w:r>
              <w:rPr>
                <w:rFonts w:ascii="Times New Roman" w:cs="Times New Roman" w:eastAsia="Times New Roman" w:hAnsi="Times New Roman"/>
                <w:sz w:val="21"/>
                <w:szCs w:val="21"/>
                <w:color w:val="auto"/>
                <w:vertAlign w:val="superscript"/>
              </w:rPr>
              <w:t>(2)</w:t>
            </w:r>
          </w:p>
        </w:tc>
        <w:tc>
          <w:tcPr>
            <w:tcW w:w="70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(loss)</w:t>
            </w:r>
          </w:p>
        </w:tc>
        <w:tc>
          <w:tcPr>
            <w:tcW w:w="7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0" w:type="dxa"/>
            <w:vAlign w:val="bottom"/>
          </w:tcPr>
          <w:p>
            <w:pPr>
              <w:spacing w:after="0"/>
              <w:rPr>
                <w:sz w:val="1"/>
                <w:szCs w:val="1"/>
                <w:color w:val="auto"/>
              </w:rPr>
            </w:pPr>
          </w:p>
        </w:tc>
      </w:tr>
      <w:tr>
        <w:trPr>
          <w:trHeight w:val="21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interests</w:t>
            </w: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37"/>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Cannae Holdings, Inc. common shareholders</w:t>
            </w:r>
          </w:p>
        </w:tc>
        <w:tc>
          <w:tcPr>
            <w:tcW w:w="700" w:type="dxa"/>
            <w:vAlign w:val="bottom"/>
            <w:tcBorders>
              <w:bottom w:val="single" w:sz="8" w:color="auto"/>
            </w:tcBorders>
            <w:shd w:val="clear" w:color="auto" w:fill="CCEEFF"/>
          </w:tcPr>
          <w:p>
            <w:pPr>
              <w:jc w:val="right"/>
              <w:ind w:right="52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68" w:lineRule="exact"/>
        <w:rPr>
          <w:sz w:val="20"/>
          <w:szCs w:val="20"/>
          <w:color w:val="auto"/>
        </w:rPr>
      </w:pPr>
    </w:p>
    <w:p>
      <w:pPr>
        <w:ind w:left="500" w:hanging="492"/>
        <w:spacing w:after="0" w:line="304" w:lineRule="auto"/>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of income tax expense (benefit) of $0.1 million and $(0.7) million for the three months ended September 30, 2024 and 2023, respectively, and $(0.4) million and $0.5 million for the </w:t>
      </w:r>
      <w:r>
        <w:rPr>
          <w:rFonts w:ascii="Times New Roman" w:cs="Times New Roman" w:eastAsia="Times New Roman" w:hAnsi="Times New Roman"/>
          <w:sz w:val="17"/>
          <w:szCs w:val="17"/>
          <w:color w:val="auto"/>
        </w:rPr>
        <w:t>nine</w:t>
      </w:r>
      <w:r>
        <w:rPr>
          <w:rFonts w:ascii="Times New Roman" w:cs="Times New Roman" w:eastAsia="Times New Roman" w:hAnsi="Times New Roman"/>
          <w:sz w:val="16"/>
          <w:szCs w:val="16"/>
          <w:color w:val="auto"/>
        </w:rPr>
        <w:t xml:space="preserve"> months ended September 30, 2024 and 2023, respectively.</w:t>
      </w:r>
    </w:p>
    <w:p>
      <w:pPr>
        <w:spacing w:after="0" w:line="9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of income tax expense of </w:t>
      </w:r>
      <w:r>
        <w:rPr>
          <w:rFonts w:ascii="Times New Roman" w:cs="Times New Roman" w:eastAsia="Times New Roman" w:hAnsi="Times New Roman"/>
          <w:sz w:val="17"/>
          <w:szCs w:val="17"/>
          <w:color w:val="auto"/>
        </w:rPr>
        <w:t>$1.1 million</w:t>
      </w:r>
      <w:r>
        <w:rPr>
          <w:rFonts w:ascii="Times New Roman" w:cs="Times New Roman" w:eastAsia="Times New Roman" w:hAnsi="Times New Roman"/>
          <w:sz w:val="16"/>
          <w:szCs w:val="16"/>
          <w:color w:val="auto"/>
        </w:rPr>
        <w:t xml:space="preserve"> for the </w:t>
      </w:r>
      <w:r>
        <w:rPr>
          <w:rFonts w:ascii="Times New Roman" w:cs="Times New Roman" w:eastAsia="Times New Roman" w:hAnsi="Times New Roman"/>
          <w:sz w:val="17"/>
          <w:szCs w:val="17"/>
          <w:color w:val="auto"/>
        </w:rPr>
        <w:t>nine</w:t>
      </w:r>
      <w:r>
        <w:rPr>
          <w:rFonts w:ascii="Times New Roman" w:cs="Times New Roman" w:eastAsia="Times New Roman" w:hAnsi="Times New Roman"/>
          <w:sz w:val="16"/>
          <w:szCs w:val="16"/>
          <w:color w:val="auto"/>
        </w:rPr>
        <w:t xml:space="preserve"> months ended September 30, 2024.</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130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2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0"/>
                <w:szCs w:val="10"/>
                <w:color w:val="auto"/>
              </w:rPr>
            </w:pPr>
          </w:p>
        </w:tc>
        <w:tc>
          <w:tcPr>
            <w:tcW w:w="7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0"/>
                <w:szCs w:val="10"/>
                <w:color w:val="auto"/>
              </w:rPr>
            </w:pPr>
          </w:p>
        </w:tc>
        <w:tc>
          <w:tcPr>
            <w:tcW w:w="9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Other Comp</w:t>
            </w:r>
          </w:p>
        </w:tc>
        <w:tc>
          <w:tcPr>
            <w:tcW w:w="7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160" w:type="dxa"/>
            <w:vAlign w:val="bottom"/>
          </w:tcPr>
          <w:p>
            <w:pPr>
              <w:spacing w:after="0"/>
              <w:rPr>
                <w:sz w:val="10"/>
                <w:szCs w:val="10"/>
                <w:color w:val="auto"/>
              </w:rPr>
            </w:pPr>
          </w:p>
        </w:tc>
        <w:tc>
          <w:tcPr>
            <w:tcW w:w="660" w:type="dxa"/>
            <w:vAlign w:val="bottom"/>
          </w:tcPr>
          <w:p>
            <w:pPr>
              <w:jc w:val="right"/>
              <w:ind w:right="209"/>
              <w:spacing w:after="0" w:line="12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(Loss) Earnings</w:t>
            </w: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5"/>
                <w:szCs w:val="15"/>
                <w:color w:val="auto"/>
              </w:rPr>
            </w:pPr>
          </w:p>
        </w:tc>
        <w:tc>
          <w:tcPr>
            <w:tcW w:w="6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June 30, 2023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1,957.0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2,582.0</w:t>
            </w:r>
          </w:p>
        </w:tc>
        <w:tc>
          <w:tcPr>
            <w:tcW w:w="0" w:type="dxa"/>
            <w:vAlign w:val="bottom"/>
          </w:tcPr>
          <w:p>
            <w:pPr>
              <w:spacing w:after="0"/>
              <w:rPr>
                <w:sz w:val="1"/>
                <w:szCs w:val="1"/>
                <w:color w:val="auto"/>
              </w:rPr>
            </w:pPr>
          </w:p>
        </w:tc>
      </w:tr>
      <w:tr>
        <w:trPr>
          <w:trHeight w:val="122"/>
        </w:trPr>
        <w:tc>
          <w:tcPr>
            <w:tcW w:w="3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9"/>
              </w:rPr>
              <w:t>Other comprehensive earnings — unrealized losses of investments</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66"/>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 unconsolidated affiliates, net of tax</w:t>
            </w: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Treasury stock repurchases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consolidated subsidiaries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unconsolidated affiliates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6"/>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0" w:type="dxa"/>
            <w:vAlign w:val="bottom"/>
          </w:tcPr>
          <w:p>
            <w:pPr>
              <w:spacing w:after="0"/>
              <w:rPr>
                <w:sz w:val="1"/>
                <w:szCs w:val="1"/>
                <w:color w:val="auto"/>
              </w:rPr>
            </w:pPr>
          </w:p>
        </w:tc>
      </w:tr>
      <w:tr>
        <w:trPr>
          <w:trHeight w:val="22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September 30, 2023</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1,966.0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2,365.6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June 30, 2024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1,997.9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1,883.5</w:t>
            </w:r>
          </w:p>
        </w:tc>
        <w:tc>
          <w:tcPr>
            <w:tcW w:w="0" w:type="dxa"/>
            <w:vAlign w:val="bottom"/>
          </w:tcPr>
          <w:p>
            <w:pPr>
              <w:spacing w:after="0"/>
              <w:rPr>
                <w:sz w:val="1"/>
                <w:szCs w:val="1"/>
                <w:color w:val="auto"/>
              </w:rPr>
            </w:pPr>
          </w:p>
        </w:tc>
      </w:tr>
      <w:tr>
        <w:trPr>
          <w:trHeight w:val="121"/>
        </w:trPr>
        <w:tc>
          <w:tcPr>
            <w:tcW w:w="3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Other comprehensive earnings — unrealized earnings of</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66"/>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investments in unconsolidated affiliates, net of tax</w:t>
            </w: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Treasury stock repurchases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restricted stock and shares held in trust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consolidated subsidiaries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22"/>
        </w:trPr>
        <w:tc>
          <w:tcPr>
            <w:tcW w:w="3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RSU vesting and payment for shares withheld for taxes and in</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6"/>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treasury</w:t>
            </w: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unconsolidated affiliates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Subsidiary dividends paid to noncontrolling interests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6"/>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2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September 30, 2024</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2,005.0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620.8</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1,862.8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See Notes to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 CONTINUED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20" w:type="dxa"/>
            <w:vAlign w:val="bottom"/>
          </w:tcPr>
          <w:p>
            <w:pPr>
              <w:spacing w:after="0"/>
              <w:rPr>
                <w:sz w:val="14"/>
                <w:szCs w:val="14"/>
                <w:color w:val="auto"/>
              </w:rPr>
            </w:pPr>
          </w:p>
        </w:tc>
        <w:tc>
          <w:tcPr>
            <w:tcW w:w="120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52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0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1"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Other Comp</w:t>
            </w: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Non-</w:t>
            </w: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(Loss)</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1"/>
                <w:szCs w:val="11"/>
                <w:color w:val="auto"/>
              </w:rPr>
            </w:pPr>
          </w:p>
        </w:tc>
        <w:tc>
          <w:tcPr>
            <w:tcW w:w="5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160" w:type="dxa"/>
            <w:vAlign w:val="bottom"/>
          </w:tcPr>
          <w:p>
            <w:pPr>
              <w:spacing w:after="0"/>
              <w:rPr>
                <w:sz w:val="11"/>
                <w:szCs w:val="11"/>
                <w:color w:val="auto"/>
              </w:rPr>
            </w:pPr>
          </w:p>
        </w:tc>
        <w:tc>
          <w:tcPr>
            <w:tcW w:w="660" w:type="dxa"/>
            <w:vAlign w:val="bottom"/>
          </w:tcPr>
          <w:p>
            <w:pPr>
              <w:jc w:val="right"/>
              <w:ind w:right="209"/>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60" w:type="dxa"/>
            <w:vAlign w:val="bottom"/>
          </w:tcPr>
          <w:p>
            <w:pPr>
              <w:spacing w:after="0"/>
              <w:rPr>
                <w:sz w:val="14"/>
                <w:szCs w:val="14"/>
                <w:color w:val="auto"/>
              </w:rPr>
            </w:pPr>
          </w:p>
        </w:tc>
        <w:tc>
          <w:tcPr>
            <w:tcW w:w="66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2,714.9</w:t>
            </w:r>
          </w:p>
        </w:tc>
        <w:tc>
          <w:tcPr>
            <w:tcW w:w="0" w:type="dxa"/>
            <w:vAlign w:val="bottom"/>
          </w:tcPr>
          <w:p>
            <w:pPr>
              <w:spacing w:after="0"/>
              <w:rPr>
                <w:sz w:val="1"/>
                <w:szCs w:val="1"/>
                <w:color w:val="auto"/>
              </w:rPr>
            </w:pPr>
          </w:p>
        </w:tc>
      </w:tr>
      <w:tr>
        <w:trPr>
          <w:trHeight w:val="121"/>
        </w:trPr>
        <w:tc>
          <w:tcPr>
            <w:tcW w:w="40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Other comprehensive earnings — unrealized earnings of investments in</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66"/>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unconsolidated affiliates,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Treasury stock repurchases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for shares withheld for taxes and in treasury</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consolidated subsidiaries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unconsolidated affiliates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Subsidiary dividends paid to noncontrolling interests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0" w:type="dxa"/>
            <w:vAlign w:val="bottom"/>
          </w:tcPr>
          <w:p>
            <w:pPr>
              <w:spacing w:after="0"/>
              <w:rPr>
                <w:sz w:val="1"/>
                <w:szCs w:val="1"/>
                <w:color w:val="auto"/>
              </w:rPr>
            </w:pPr>
          </w:p>
        </w:tc>
      </w:tr>
      <w:tr>
        <w:trPr>
          <w:trHeight w:val="196"/>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September 30, 2023</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1,966.0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2,365.6</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2,309.2</w:t>
            </w:r>
          </w:p>
        </w:tc>
        <w:tc>
          <w:tcPr>
            <w:tcW w:w="0" w:type="dxa"/>
            <w:vAlign w:val="bottom"/>
          </w:tcPr>
          <w:p>
            <w:pPr>
              <w:spacing w:after="0"/>
              <w:rPr>
                <w:sz w:val="1"/>
                <w:szCs w:val="1"/>
                <w:color w:val="auto"/>
              </w:rPr>
            </w:pPr>
          </w:p>
        </w:tc>
      </w:tr>
      <w:tr>
        <w:trPr>
          <w:trHeight w:val="129"/>
        </w:trPr>
        <w:tc>
          <w:tcPr>
            <w:tcW w:w="40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Other comprehensive earnings — unrealized losses of investments in</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9"/>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unconsolidated affiliates, net of tax</w:t>
            </w: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Reclassification adjustments for unrealized gains and losses on</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66"/>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unconsolidated affiliates, net of tax, included in net loss</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Treasury stock repurchases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restricted stock and shares held in trust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RSU vesting and payment for shares withheld for taxes and in treasury</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consolidated subsidiaries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unconsolidated affiliates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Subsidiary dividends paid to noncontrolling interests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Treasury shares issued for investment in JANA</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0" w:type="dxa"/>
            <w:vAlign w:val="bottom"/>
          </w:tcPr>
          <w:p>
            <w:pPr>
              <w:spacing w:after="0"/>
              <w:rPr>
                <w:sz w:val="1"/>
                <w:szCs w:val="1"/>
                <w:color w:val="auto"/>
              </w:rPr>
            </w:pPr>
          </w:p>
        </w:tc>
      </w:tr>
      <w:tr>
        <w:trPr>
          <w:trHeight w:val="203"/>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September 30, 2024</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860" w:type="dxa"/>
            <w:vAlign w:val="bottom"/>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8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3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8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5"/>
        </w:trPr>
        <w:tc>
          <w:tcPr>
            <w:tcW w:w="8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14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w:t>
            </w:r>
          </w:p>
        </w:tc>
      </w:tr>
      <w:tr>
        <w:trPr>
          <w:trHeight w:val="210"/>
        </w:trPr>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5"/>
        </w:trPr>
        <w:tc>
          <w:tcPr>
            <w:tcW w:w="8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10"/>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Equity in losses of unconsolidated affiliates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r>
      <w:tr>
        <w:trPr>
          <w:trHeight w:val="195"/>
        </w:trPr>
        <w:tc>
          <w:tcPr>
            <w:tcW w:w="8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Distributions from investments in unconsolidated affiliates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10"/>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Recognized losses and asset impairments, net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w:t>
            </w:r>
          </w:p>
        </w:tc>
      </w:tr>
      <w:tr>
        <w:trPr>
          <w:trHeight w:val="195"/>
        </w:trPr>
        <w:tc>
          <w:tcPr>
            <w:tcW w:w="8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Lease asset amortization</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10"/>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5"/>
        </w:trPr>
        <w:tc>
          <w:tcPr>
            <w:tcW w:w="8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0"/>
        </w:trPr>
        <w:tc>
          <w:tcPr>
            <w:tcW w:w="8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Other assets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95"/>
        </w:trPr>
        <w:tc>
          <w:tcPr>
            <w:tcW w:w="8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Lease liabilities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210"/>
        </w:trPr>
        <w:tc>
          <w:tcPr>
            <w:tcW w:w="8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Accounts payable, accrued liabilities, deferred revenue and other liabilities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96"/>
        </w:trPr>
        <w:tc>
          <w:tcPr>
            <w:tcW w:w="83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Income taxes</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w:t>
            </w:r>
          </w:p>
        </w:tc>
      </w:tr>
      <w:tr>
        <w:trPr>
          <w:trHeight w:val="20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r>
      <w:tr>
        <w:trPr>
          <w:trHeight w:val="173"/>
        </w:trPr>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
        </w:trPr>
        <w:tc>
          <w:tcPr>
            <w:tcW w:w="8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sale of investment securities and other investments in unconsolidated affiliates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sales of Dayforce shares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r>
      <w:tr>
        <w:trPr>
          <w:trHeight w:val="210"/>
        </w:trPr>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Additions to property and equipment and other intangible assets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95"/>
        </w:trPr>
        <w:tc>
          <w:tcPr>
            <w:tcW w:w="8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sales of property and equipment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partial sale of D&amp;B shares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investments in unconsolidated affiliates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w:t>
            </w:r>
          </w:p>
        </w:tc>
      </w:tr>
      <w:tr>
        <w:trPr>
          <w:trHeight w:val="210"/>
        </w:trPr>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Purchases of other long term investments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95"/>
        </w:trPr>
        <w:tc>
          <w:tcPr>
            <w:tcW w:w="8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from investments in unconsolidated affiliates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210"/>
        </w:trPr>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Purchases of short-term investment securities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r>
      <w:tr>
        <w:trPr>
          <w:trHeight w:val="196"/>
        </w:trPr>
        <w:tc>
          <w:tcPr>
            <w:tcW w:w="8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Proceeds from sale and maturity of short-term investment securities</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157.0</w:t>
            </w:r>
          </w:p>
        </w:tc>
      </w:tr>
      <w:tr>
        <w:trPr>
          <w:trHeight w:val="20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173"/>
        </w:trPr>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
        </w:trPr>
        <w:tc>
          <w:tcPr>
            <w:tcW w:w="8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Borrowings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r>
      <w:tr>
        <w:trPr>
          <w:trHeight w:val="195"/>
        </w:trPr>
        <w:tc>
          <w:tcPr>
            <w:tcW w:w="8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service payments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r>
      <w:tr>
        <w:trPr>
          <w:trHeight w:val="210"/>
        </w:trPr>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Subsidiary distributions paid to noncontrolling interest shareholders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95"/>
        </w:trPr>
        <w:tc>
          <w:tcPr>
            <w:tcW w:w="8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for vested shares withheld for taxes and in treasury</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10"/>
        </w:trPr>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Dividends paid</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w:t>
            </w:r>
          </w:p>
        </w:tc>
      </w:tr>
      <w:tr>
        <w:trPr>
          <w:trHeight w:val="20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r>
      <w:tr>
        <w:trPr>
          <w:trHeight w:val="189"/>
        </w:trPr>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w:t>
            </w:r>
          </w:p>
        </w:tc>
      </w:tr>
      <w:tr>
        <w:trPr>
          <w:trHeight w:val="20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w:t>
            </w:r>
          </w:p>
        </w:tc>
      </w:tr>
      <w:tr>
        <w:trPr>
          <w:trHeight w:val="203"/>
        </w:trPr>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8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w:t>
            </w:r>
          </w:p>
        </w:tc>
      </w:tr>
      <w:tr>
        <w:trPr>
          <w:trHeight w:val="20"/>
        </w:trPr>
        <w:tc>
          <w:tcPr>
            <w:tcW w:w="8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ee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describes the significant accounting policies of Cannae Holdings, Inc. and its subsidiaries (collectively, "we," "us," "our,” "Cannae," "CNNE," or the "Company"), which have been followed in preparing the accompanying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September 30, 2024 include our ownership interests in Dun &amp; Bradstreet Holdings, Inc. ("Dun &amp; Bradstreet" or "D&amp;B"); Alight, Inc. ("Alight"); Paysafe Limited ("Paysafe"); Sightline Payments Holdings, LLC ("Sightline"); System1, Inc. ("System1"); Black Knight Football Club US, LP ("Black Knight Football" or "BKFC", formerly known as Black Knight Football and Entertainment, LP); Computer Services, Inc. ("CSI"); JANA Partners Capital, LLC and JANA Partners Management, LP (together, "JANA"); High Sierra Distillery, LP ("Minden Mill"); AmeriLife Group, LLC ("AmeriLife"); O'Charley's Holdings, LLC ("O'Charley's"); 99 Restaurants Holdings, LLC ("99 Restaurants"); and various other controlled subsidiary companies and minority equity ownership interests.</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Note E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discussion of the businesses comprising our reportable segments.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conduct our business through our wholly-owned subsidiary Cannae Holdings, LLC ("Cannae LLC"), a Delaware limited liability company. Our board of directors ("Board") oversees the management of the Company, Cannae LLC and its businesses, and the performance of our external manager, Trasimene Capital Management, LLC ("Trasimene" or our "Manager").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generally accepted accounting principles in the United States ("GAAP") and the instructions to Form 10-Q and Article 10 of Regulation S-X 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2023.</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recorded on the Condensed Consolidated Statements of Operations represents the portion of our majority-owned subsidiaries' net earnings or loss that is owned by noncontrolling shareholders of such subsidiaries. Noncontrolling interest recorded on the Condensed Consolidated Balance Sheets represents the portion of equity owned by noncontrolling shareholders in our consolidated subsidiaries.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Estimates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and Note C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Actual results could differ from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Dayforce</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2024, we sold the remaining 4.0 million shares of common stock of Dayforce, Inc., ("Dayforce", formerly known as Ceridian HCM Holding, Inc.) for gross proceeds of $264.0 million and as of September 30, 2024, we no longer have any holdings of Dayforce.</w:t>
      </w:r>
    </w:p>
    <w:p>
      <w:pPr>
        <w:spacing w:after="0" w:line="5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and Note C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further discussion of our accounting for our ownership interest in Dayforce and other equity securities.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Dun &amp; Bradstreet</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8, 2024, April 30, 2024 and July 24, 2024, the board of directors of D&amp;B declared quarterly cash dividends of $0.05 per share of D&amp;B common stock. In the nine months ended September 30, 2024, we received $10.9 million of cash dividends from D&amp;B which are recorded as a reduction to the basis of our recorded asset for D&amp;B.</w:t>
      </w:r>
    </w:p>
    <w:p>
      <w:pPr>
        <w:spacing w:after="0" w:line="68"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In March 2024, we completed the sale of 10.0 million shares of common stock of D&amp;B. In connection with the sale, we received proceeds of $100.9 million. As of September 30, 2024, we owned 69.0 million shares of D&amp;B, which represented approximately 15.6% of its outstanding common stock.</w:t>
      </w:r>
    </w:p>
    <w:p>
      <w:pPr>
        <w:spacing w:after="0" w:line="280" w:lineRule="exact"/>
        <w:rPr>
          <w:sz w:val="20"/>
          <w:szCs w:val="20"/>
          <w:color w:val="auto"/>
        </w:rPr>
      </w:pPr>
    </w:p>
    <w:p>
      <w:pPr>
        <w:ind w:right="920" w:firstLine="324"/>
        <w:spacing w:after="0" w:line="369" w:lineRule="auto"/>
        <w:rPr>
          <w:sz w:val="20"/>
          <w:szCs w:val="20"/>
          <w:color w:val="auto"/>
        </w:rPr>
      </w:pPr>
      <w:r>
        <w:rPr>
          <w:rFonts w:ascii="Times New Roman" w:cs="Times New Roman" w:eastAsia="Times New Roman" w:hAnsi="Times New Roman"/>
          <w:sz w:val="18"/>
          <w:szCs w:val="18"/>
          <w:color w:val="auto"/>
        </w:rPr>
        <w:t xml:space="preserve">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 of our accounting for our ownership interest in D&amp;B and other equity method investments. </w:t>
      </w:r>
      <w:r>
        <w:rPr>
          <w:rFonts w:ascii="Times New Roman" w:cs="Times New Roman" w:eastAsia="Times New Roman" w:hAnsi="Times New Roman"/>
          <w:sz w:val="18"/>
          <w:szCs w:val="18"/>
          <w:i w:val="1"/>
          <w:iCs w:val="1"/>
          <w:color w:val="auto"/>
        </w:rPr>
        <w:t>Paysafe</w:t>
      </w: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January 2024, we purchased 1.6 million shares of Paysafe for $23.4 million. As of September 30, 2024, we hold a 5.5% ownership interest in Paysafe.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Developments</w:t>
      </w:r>
    </w:p>
    <w:p>
      <w:pPr>
        <w:spacing w:after="0" w:line="11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February 21, 2024, we announced a tender offer to purchase up to $200 million of shares of our common stock at a purchase price of not less than $20.75 per share and not greater than $23.75 per share (the "Tender Offer"). We conducted the Tender Offer through a procedure commonly referred to as a "modified Dutch auction." This procedure allows shareholders to select the price within a price range specified by us at which the shareholders are willing to sell their shares.</w:t>
      </w:r>
    </w:p>
    <w:p>
      <w:pPr>
        <w:spacing w:after="0" w:line="8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April 1, 2024, the Tender Offer expired and the Company accepted for purchase an aggregate of 9,672,540 shares of its common stock that were properly tendered and not properly withdrawn at or below a purchase price of $22.95 per share for an aggregate cost of $222.0 million, excluding fees and expenses. Included in the 9,672,540 shares of Cannae common stock we accepted for purchase in the Tender Offer are 957,943 shares that Cannae elected to purchase pursuant to its right to purchase up to an additional 2% of its outstanding common stock.</w:t>
      </w:r>
    </w:p>
    <w:p>
      <w:pPr>
        <w:spacing w:after="0" w:line="69"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On February 21, 2024, we issued 1.85 million shares of common stock of the Company from the Company’s treasury and paid $18.3 million in cash, in the aggregate, to certain partners of JANA in exchange for a 19.99% equity interest in JANA. The transaction is valued at $55.5 million based on the closing price of the Company's common stock on February 21, 2024. Cannae also committed to invest $50 million into JANA funds (the "JANA Fund Commitment"). JANA is an investment manager founded in 2001. We account for our ownership interest in JANA as an unconsolidated affiliate using the equity method of accounting and record our ratable share of JANA's net income or loss on a three-month lag.</w:t>
      </w:r>
    </w:p>
    <w:p>
      <w:pPr>
        <w:spacing w:after="0" w:line="87"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8"/>
          <w:szCs w:val="18"/>
          <w:color w:val="auto"/>
        </w:rPr>
        <w:t>On February 26, 2024, the Company, Cannae LLC and Trasimene entered into a Third Amended and Restated Management Services Agreement (the "Third Amended MSA"). The Third Amended MSA amends the management services agreement primarily to (i) provide for a termination of the agreement by the Company effective June 30, 2027, (ii) reduce the management fee to a fixed amount of $7.6 million annually effective beginning July 2, 2024 and (iii) provide for payment of the termination fee under the agreement of $20 million to be paid by the Company to Trasimene in installments of $6.7 million annually over the three-year period ended July 1, 2026. The Third Amended MSA has a termination date of June 30, 2027 unless earlier terminated by the Company or Trasimene.</w:t>
      </w:r>
    </w:p>
    <w:p>
      <w:pPr>
        <w:spacing w:after="0" w:line="74"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On October 17, 2024, the Company invested approximately $80.0 million for a 52.8% ownership interest in Watkins Holdings, LLC ("Watkins Holdings"), a partnership with KDSA Investment Partners ("KDSA") and Mark Jacobs (the "Watkins Acquisition"). Watkins Holdings concurrently completed the acquisition of The Watkins Company ("Watkins"), a leading producer of high-quality flavoring products. Watkins was founded in 1868 and has grown to be a leading domestic producer of spices, seasonings and extracts. The former majority owner of Watkins, Mark Jacobs, rolled a significant equity stake into Watkins Holdings.</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Subsequent to September 30, 2024 through the date of this Quarterly Report, we have invested $25.5 million in BKFC.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dividends were declared by our Board in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Declaration Date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Dividends Per Share</w:t>
            </w:r>
          </w:p>
        </w:tc>
      </w:tr>
      <w:tr>
        <w:trPr>
          <w:trHeight w:val="223"/>
        </w:trPr>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May 9, 2024</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14, 2024</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28, 2024</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$0.12</w:t>
            </w:r>
          </w:p>
        </w:tc>
      </w:tr>
      <w:tr>
        <w:trPr>
          <w:trHeight w:val="230"/>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July 30, 2024</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16, 2024</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$0.12</w:t>
            </w:r>
          </w:p>
        </w:tc>
      </w:tr>
      <w:tr>
        <w:trPr>
          <w:trHeight w:val="229"/>
        </w:trPr>
        <w:tc>
          <w:tcPr>
            <w:tcW w:w="2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November 7, 2024</w:t>
            </w: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December 17, 2024</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2024</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$0.12</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incurred management fee expenses with our Manager of $1.9 million and $20.1 million, respectively, and during the three and nine months ended September 30, 2024 we incurred $1.8 million and $8.4 million, respectively, of termination fee expenses with our Manager. During the three and nine months ended September 30, 2023, we incurred management fee expenses with our Manager of $9.7 million and $28.7 million, respectively. These expenses are recorded in Other operating expenses on our Condensed Consolidated Statement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Basic earnings per share, as presented on the Condensed Consolidated Statement of Operations, is computed by dividing net earnings available to common shareholders by the weighted average number of common shares outstanding during the period.</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shares of restricted stock and restricted stock units that have been treated as common share equivalents for purposes of calculating diluted earnings per share for periods in which positive earnings have been reported.</w:t>
      </w:r>
    </w:p>
    <w:p>
      <w:pPr>
        <w:spacing w:after="0" w:line="6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Instruments that provide the ability to purchase shares of our common stock that are antidilutive are excluded from the computation of diluted earnings per share. For the three and nine months ended September 30, 2024 and 2023, shares of restricted stock outstanding were excluded from the calculation of diluted earnings per share as inclusion of restricted stock would be antidilutive due to net losses.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effective tax rate was (193.8)% and 21.9% in the three months ended September 30, 2024 and 2023, respectively, and (6.3)% and 27.1% in the nine months ended September 30, 2024 and 2023, respectively. The change in the effective tax rate in the three-month period ended September 30, 2024 compared to the corresponding prior year period was primarily attributable to the varying impact of equity in losses of unconsolidated affiliates on income tax expense (benefit). The change in the effective tax rate in the nine-month period ended September 30, 2024 compared to the corresponding prior year period was primarily attributable to recording of a valuation allowance in the current period of $58.9 million on our federal net operating loss carryforwards and certain deferred taxes related to our consolidated partnerships, the varying impact of equity in losses of unconsolidated affiliates on income tax expense (benefit), and the impairment recorded to our investment in Sightline.</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 Deferred tax asset of $69.4 million and $82.0 million as of September 30, 2024 and December 31, 2023, respectively. The $12.6 million change in deferred taxes in the nine months ended September 30, 2024 is primarily attributable to recording of a valuation allowance of $58.9 million primarily related to our federal net operating loss carryforwards and certain deferred taxes related to our consolidated partnerships, partially offset by the tax impact of sales of Dayforce and impairment of Sightline.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28, 2024, we issued 1.2 million restricted stock units ("RSUs") with a grant date fair value of $24.8 million as compensation to certain employees of the Company and issued 1.2 million shares of the Company's common stock to rabbi trusts that grant the holders of the RSUs pass-through voting rights. The RSUs vest in varying increments over a three-year period and, upon vesting, a number of shares of Company common stock equivalent to the number of vested RSUs will be released from the rabbi trusts to the employee. If the RSUs do not vest, the shares held in the rabbi trusts return to the Company. The Company is the primary beneficiary of the rabbi trusts prior to vesting of the RSUs and accordingly the shares of Company common stock held by the rabbi trusts are treated as treasury stock in the Company's condensed consolidated balance sheet and statement of equity in the period nine-month period ended September 30, 2024. Compensation cost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associated with the RSUs is measured based on their grant-date fair value derived from quoted market prices and is recorded over the service period of the awards.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reviewed the recently issued accounting pronouncements and we did not identify any that are expected to, if currently adopted, have a material impact on our financial position or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Investments in unconsolidated affiliates recorded using the equity method of accounting as of September 30, 2024 and December 31, 2023 consisted of the following: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Ownership at</w:t>
            </w:r>
          </w:p>
        </w:tc>
        <w:tc>
          <w:tcPr>
            <w:tcW w:w="160" w:type="dxa"/>
            <w:vAlign w:val="bottom"/>
          </w:tcPr>
          <w:p>
            <w:pPr>
              <w:spacing w:after="0"/>
              <w:rPr>
                <w:sz w:val="13"/>
                <w:szCs w:val="13"/>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gridSpan w:val="4"/>
          </w:tcPr>
          <w:p>
            <w:pPr>
              <w:jc w:val="right"/>
              <w:ind w:right="121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Dun &amp; Bradstreet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Sightline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 Knight Football</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CSI</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tcBorders>
              <w:bottom w:val="single" w:sz="8" w:color="CCEEFF"/>
            </w:tcBorders>
            <w:gridSpan w:val="2"/>
          </w:tcPr>
          <w:p>
            <w:pPr>
              <w:ind w:left="1220"/>
              <w:spacing w:after="0"/>
              <w:rPr>
                <w:sz w:val="20"/>
                <w:szCs w:val="20"/>
                <w:color w:val="auto"/>
              </w:rPr>
            </w:pPr>
            <w:r>
              <w:rPr>
                <w:rFonts w:ascii="Times New Roman" w:cs="Times New Roman" w:eastAsia="Times New Roman" w:hAnsi="Times New Roman"/>
                <w:sz w:val="18"/>
                <w:szCs w:val="18"/>
                <w:color w:val="auto"/>
              </w:rPr>
              <w:t>various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aggregate fair value of our direct ownership in the common stock of unconsolidated affiliates that have quoted market prices as of September 30, 2024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9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9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Dun &amp; Bradstreet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Equity in losses of unconsolidated affiliates for the three and nine months ended September 30, 2024 and 2023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3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6"/>
        </w:trPr>
        <w:tc>
          <w:tcPr>
            <w:tcW w:w="438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Dun &amp; Bradstreet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4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Sightline </w:t>
            </w:r>
            <w:r>
              <w:rPr>
                <w:rFonts w:ascii="Times New Roman" w:cs="Times New Roman" w:eastAsia="Times New Roman" w:hAnsi="Times New Roman"/>
                <w:sz w:val="23"/>
                <w:szCs w:val="23"/>
                <w:color w:val="auto"/>
                <w:vertAlign w:val="superscript"/>
              </w:rPr>
              <w:t>(2)</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 Knight Football</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CSI</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_____________________________________</w:t>
      </w:r>
    </w:p>
    <w:p>
      <w:pPr>
        <w:spacing w:after="0" w:line="125" w:lineRule="exact"/>
        <w:rPr>
          <w:sz w:val="20"/>
          <w:szCs w:val="20"/>
          <w:color w:val="auto"/>
        </w:rPr>
      </w:pPr>
    </w:p>
    <w:p>
      <w:pPr>
        <w:jc w:val="both"/>
        <w:ind w:firstLine="8"/>
        <w:spacing w:after="0" w:line="282" w:lineRule="auto"/>
        <w:tabs>
          <w:tab w:leader="none" w:pos="20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losses for D&amp;B includes $2.1 million of loss for the three months ended September 30, 2024 and 2023, respectively, and $6.4 million of loss in the nine months ended September 30, 2024 and 2023, respectively, related to amortization of Cannae's basis difference between the book value of its ownership interest and ratable portion of the underlying equity in net assets of D&amp;B.</w:t>
      </w:r>
    </w:p>
    <w:p>
      <w:pPr>
        <w:spacing w:after="0" w:line="147" w:lineRule="exact"/>
        <w:rPr>
          <w:rFonts w:ascii="Times New Roman" w:cs="Times New Roman" w:eastAsia="Times New Roman" w:hAnsi="Times New Roman"/>
          <w:sz w:val="14"/>
          <w:szCs w:val="14"/>
          <w:color w:val="auto"/>
        </w:rPr>
      </w:pPr>
    </w:p>
    <w:p>
      <w:pPr>
        <w:ind w:firstLine="8"/>
        <w:spacing w:after="0" w:line="283" w:lineRule="auto"/>
        <w:tabs>
          <w:tab w:leader="none" w:pos="21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losses for Sightline includes $1.9 million of loss in the three months ended September 30, 2023, and $2.9 million and $5.8 million of loss in the nine months ended September 30, 2024 and 2023, respectively, related to amortization of Cannae's basis difference between the book value of its investment and ratable portion of the underlying equity in net assets of Sightline.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Dun &amp; Bradstreet</w:t>
      </w:r>
    </w:p>
    <w:p>
      <w:pPr>
        <w:spacing w:after="0" w:line="10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Summarized statement of operations information for D&amp;B for the relevant dates and time periods included in Equity in losses of unconsolidated affiliates in our Statements of Operations is presented below.</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9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480" w:type="dxa"/>
            <w:vAlign w:val="bottom"/>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609.1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1,749.8</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1,683.6</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62.2</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115.9</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Dun &amp; Bradstreet</w:t>
            </w:r>
          </w:p>
        </w:tc>
        <w:tc>
          <w:tcPr>
            <w:tcW w:w="8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bl>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Alight</w:t>
      </w:r>
    </w:p>
    <w:p>
      <w:pPr>
        <w:spacing w:after="0" w:line="10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Summarized statement of operations information for Alight for the relevant dates and time periods included in Equity in losses of unconsolidated affiliates in our Statements of Operations is presented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29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480" w:type="dxa"/>
            <w:vAlign w:val="bottom"/>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5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5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1,652.0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174.0</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523.0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 from discontinued operations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Alight</w:t>
            </w:r>
          </w:p>
        </w:tc>
        <w:tc>
          <w:tcPr>
            <w:tcW w:w="8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bl>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Sightline</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June 30, 2024, the book value of our investment in Sightline accounted for under the equity method of accounting prior to any impairment was $154.7 million. Based on a valuation using a hybrid discounted cash flow and market comparison approach and adjusted for the risk of a capital shortfall at the business, the aggregate fair market value of our ownership of Sightline equity was approximately $13.7 million as of June 30, 2024. The fair value measurement is considered a level 3 fair value measure. The primary inputs in the valuation were the forecasted results of operations of Sightline, the discount rate used in the discounted cash flow analysis and the adjustment for risk of capital shortfall. The primary significant unobservable input used was the 35% discount rate used in the discounted cash flow analysis and the 50% adjustment for the risk of capital shortfall.</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quantum of the decrease in the fair market value of our ownership interest subsequent to our acquisition, declines in the forecasted results of operations and liquidity of Sightline, and the uncertainty of the ability of Sightline to raise new capital, management determined the decrease in value of our investment in Sightline was other-than-temporary as of June 30, 2024. Accordingly, we recorded an impairment of $141.0 million which is included in Recognized (losses) gains, net, on our Consolidated Statement of Operations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Recognized gains (losses), net on the Condensed Consolidated Statements of Operations consisted of the following (losses) gains on equity securities for the three and nine months ended September 30, 2024 and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6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26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recognized during the period on equity securities</w:t>
            </w: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176"/>
        </w:trPr>
        <w:tc>
          <w:tcPr>
            <w:tcW w:w="62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Less: net gains (losses) recognized during the period on equity securities sold,</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transferred or disposed during the period</w:t>
            </w:r>
          </w:p>
        </w:tc>
        <w:tc>
          <w:tcPr>
            <w:tcW w:w="8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left="397"/>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55"/>
        </w:trPr>
        <w:tc>
          <w:tcPr>
            <w:tcW w:w="62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Unrealized gains recognized during the reporting period on equity securities held at</w:t>
            </w:r>
          </w:p>
        </w:tc>
        <w:tc>
          <w:tcPr>
            <w:tcW w:w="820" w:type="dxa"/>
            <w:vAlign w:val="bottom"/>
            <w:vMerge w:val="restart"/>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reporting date</w:t>
            </w: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Security Investments Without Readily Determinable Fair Values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account for our investments in AmeriLife and certain other ownership interests at cost less impairment, if any, plus or minus changes resulting from observable price changes in orderly market transactions. As of September 30, 2024 and December 31, 2023, we have $128.5 million and $121.9 million, respectively, recorded for such investments, which is included in Other long term investments and noncurrent assets on our Condensed Consolidated Balance Sheets.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we recorded a gain of $2.6 million to an investment without a readily determinable fair value. The amount of the gain was determined based on an observable third-party purchase of equity in the investee. During the nine months ended September 30, 2023, we recorded an impairment of $9.0 million to an investment without a readily determinable fair value. The amount of the impairment was determined based on the valuation of the investee implied by a contemplated sale of its assets to a third-party.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Fair Value Measurements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liabilities whose values are based on unadjusted quoted prices for identical assets or liabilities in an active market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the ability to access.</w:t>
      </w:r>
    </w:p>
    <w:p>
      <w:pPr>
        <w:spacing w:after="0" w:line="2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liabilities whose values are based on quoted prices in markets that are not active or model inputs that are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directly or indirectly for substantially the full term of the asset or liability.</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liabilities whose values are based on model inputs that are unobservable.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fair value hierarchy for those assets and liabilities measured at fair value on a recurring basis as of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December 31, 2023,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6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r>
      <w:tr>
        <w:trPr>
          <w:trHeight w:val="229"/>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Paysafe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9"/>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67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23"/>
        </w:trPr>
        <w:tc>
          <w:tcPr>
            <w:tcW w:w="6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r>
      <w:tr>
        <w:trPr>
          <w:trHeight w:val="21"/>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02"/>
        </w:trPr>
        <w:tc>
          <w:tcPr>
            <w:tcW w:w="6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
        </w:trPr>
        <w:tc>
          <w:tcPr>
            <w:tcW w:w="6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9"/>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Dayforce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29"/>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Paysafe</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67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r>
      <w:tr>
        <w:trPr>
          <w:trHeight w:val="223"/>
        </w:trPr>
        <w:tc>
          <w:tcPr>
            <w:tcW w:w="6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r>
      <w:tr>
        <w:trPr>
          <w:trHeight w:val="20"/>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had no material assets or liabilities valued on a recurring basis using Level 3 inputs as of September 30, 2024 and December 31, 2023.</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Additional information regarding the fair value of our investment portfolio is included in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Variable Interest Entities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holds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periods ended September 30, 2024 and December 31, 2023, we are not the primary beneficiary of any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select information related to variable interests held by the Company as of September 30, 2024 and December 31, 2023, of which we are not the primary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62865</wp:posOffset>
            </wp:positionV>
            <wp:extent cx="30346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0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September 30, 2024</w:t>
      </w:r>
    </w:p>
    <w:p>
      <w:pPr>
        <w:spacing w:after="0" w:line="33" w:lineRule="exact"/>
        <w:rPr>
          <w:sz w:val="20"/>
          <w:szCs w:val="20"/>
          <w:color w:val="auto"/>
        </w:rPr>
      </w:pPr>
    </w:p>
    <w:tbl>
      <w:tblPr>
        <w:tblLayout w:type="fixed"/>
        <w:tblInd w:w="6460" w:type="dxa"/>
        <w:tblCellMar>
          <w:top w:w="0" w:type="dxa"/>
          <w:left w:w="0" w:type="dxa"/>
          <w:bottom w:w="0" w:type="dxa"/>
          <w:right w:w="0" w:type="dxa"/>
        </w:tblCellMar>
      </w:tblPr>
      <w:tr>
        <w:trPr>
          <w:trHeight w:val="151"/>
        </w:trPr>
        <w:tc>
          <w:tcPr>
            <w:tcW w:w="118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1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1180" w:type="dxa"/>
            <w:vAlign w:val="bottom"/>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8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16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1180" w:type="dxa"/>
            <w:vAlign w:val="bottom"/>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8780" w:space="120"/>
            <w:col w:w="23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73"/>
        </w:trPr>
        <w:tc>
          <w:tcPr>
            <w:tcW w:w="6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r>
      <w:tr>
        <w:trPr>
          <w:trHeight w:val="23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 term investments and non-current assets</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we held variable interests in certain unconsolidated affiliates, which are primarily comprised of our ownership interests in BKFC, CSI and Minden Mill. Cannae does not have the power to direct the activities that most significantly impact the economic performance of these unconsolidated affiliates; therefore, we are not the primary beneficiary.</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principal risk to which these investments and funds are exposed is the credit risk of the underlying investees. Cannae has guaranteed certain payment obligations of BKFC related to investment commitments associated with its acquisitions of interests in football clubs. These BKFC obligations total an estimated amount between $39.5 million and $71.9 million as of September 30, 2024. These obligations are potentially payable at various increments over the next four years and vary based on certain performance criteria. The underlying obligation of BKFC to fund these amounts is contingent on the exercise of certain investment options by BKFC or other parties. Cannae is required to fund such payments solely to the extent BKFC is unable to meet these obligations. We do not provide any other implicit or explicit liquidity guarantees or principal value guarantees to these VIEs.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primary assets for our ownership of these VIEs are included in Investments in unconsolidated affiliates on the Condensed Consolidated Balance Sheets and accounted for under the equity method of accounting. 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 of our accounting for investments in unconsolidated affiliates.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Segment Information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20, 2024, Alight entered into a definitive agreement to sell its professional services segment and its payroll and human capital management outsourcing businesses (the "Payroll &amp; Professional Services Business"). The transaction closed on July 12, 2024. Beginning with the quarter ended March 31, 2024, Alight began accounting for the assets and liabilities of the disposed businesses as held for sale and its operating results as discontinued operations. Accordingly, Alight's results presented for the periods ended September 30, 2023 have been retrospectively revised to reflect the Payroll &amp; Professional Services Business as held for sale and discontinued operations.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three months ended September 30, 2024: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color w:val="auto"/>
                <w:w w:val="97"/>
              </w:rPr>
              <w:t>Restaurant</w:t>
            </w:r>
          </w:p>
        </w:tc>
        <w:tc>
          <w:tcPr>
            <w:tcW w:w="100" w:type="dxa"/>
            <w:vAlign w:val="bottom"/>
          </w:tcPr>
          <w:p>
            <w:pPr>
              <w:spacing w:after="0"/>
              <w:rPr>
                <w:sz w:val="12"/>
                <w:szCs w:val="12"/>
                <w:color w:val="auto"/>
              </w:rPr>
            </w:pPr>
          </w:p>
        </w:tc>
        <w:tc>
          <w:tcPr>
            <w:tcW w:w="92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color w:val="auto"/>
                <w:w w:val="94"/>
              </w:rPr>
              <w:t>Dun &amp;</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4"/>
              </w:rPr>
              <w:t>Corporate and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Affiliate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color w:val="auto"/>
                <w:w w:val="96"/>
              </w:rPr>
              <w:t>Group</w:t>
            </w:r>
          </w:p>
        </w:tc>
        <w:tc>
          <w:tcPr>
            <w:tcW w:w="100" w:type="dxa"/>
            <w:vAlign w:val="bottom"/>
          </w:tcPr>
          <w:p>
            <w:pPr>
              <w:spacing w:after="0"/>
              <w:rPr>
                <w:sz w:val="15"/>
                <w:szCs w:val="15"/>
                <w:color w:val="auto"/>
              </w:rPr>
            </w:pPr>
          </w:p>
        </w:tc>
        <w:tc>
          <w:tcPr>
            <w:tcW w:w="92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color w:val="auto"/>
                <w:w w:val="93"/>
              </w:rPr>
              <w:t>Bradstreet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Alight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BKFC</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Other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Elimination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revenues</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609.1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555.0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(1,241.9)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102.1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11.8</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(1,241.9)</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41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investment and other income (expense), including recognized</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19.8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gains (losses), net</w:t>
            </w:r>
          </w:p>
        </w:tc>
        <w:tc>
          <w:tcPr>
            <w:tcW w:w="4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other income (expense) and realized gains (losses), net</w:t>
            </w:r>
          </w:p>
        </w:tc>
        <w:tc>
          <w:tcPr>
            <w:tcW w:w="5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106.5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(1,239.6)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(272.8)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41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(Loss) earnings before income taxes and equity in earnings (losses) of</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41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(Loss) earnings before equity in earnings (losses) of unconsolidated</w:t>
            </w:r>
          </w:p>
        </w:tc>
        <w:tc>
          <w:tcPr>
            <w:tcW w:w="5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affiliates</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4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earnings</w:t>
            </w:r>
          </w:p>
        </w:tc>
        <w:tc>
          <w:tcPr>
            <w:tcW w:w="4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271.0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2,015.2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(17,773.7)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3,447.5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3,212.0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(6,674.9)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3"/>
        </w:trPr>
        <w:tc>
          <w:tcPr>
            <w:tcW w:w="40" w:type="dxa"/>
            <w:vAlign w:val="bottom"/>
          </w:tcPr>
          <w:p>
            <w:pPr>
              <w:spacing w:after="0"/>
              <w:rPr>
                <w:sz w:val="24"/>
                <w:szCs w:val="24"/>
                <w:color w:val="auto"/>
              </w:rPr>
            </w:pPr>
          </w:p>
        </w:tc>
        <w:tc>
          <w:tcPr>
            <w:tcW w:w="46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As of and for the three months ended September 30, 2023: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w w:val="92"/>
              </w:rPr>
              <w:t>Corporate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Affiliate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9"/>
              </w:rPr>
              <w:t>Restaurant Group</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w w:val="99"/>
              </w:rPr>
              <w:t>Dun &amp; Bradstreet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Alight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BKFC</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and Other</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4"/>
              </w:rPr>
              <w:t>Elimination</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w w:val="99"/>
              </w:rPr>
              <w:t>(In millions)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operating revenues</w:t>
            </w:r>
          </w:p>
        </w:tc>
        <w:tc>
          <w:tcPr>
            <w:tcW w:w="4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(1,213.5)</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7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Interest investment and other income (expense), including</w:t>
            </w:r>
          </w:p>
        </w:tc>
        <w:tc>
          <w:tcPr>
            <w:tcW w:w="4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(127.4)</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recognized gains (losses), net</w:t>
            </w:r>
          </w:p>
        </w:tc>
        <w:tc>
          <w:tcPr>
            <w:tcW w:w="4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7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Total revenues, other income (expense) and recognized gains</w:t>
            </w:r>
          </w:p>
        </w:tc>
        <w:tc>
          <w:tcPr>
            <w:tcW w:w="4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590.2</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net</w:t>
            </w:r>
          </w:p>
        </w:tc>
        <w:tc>
          <w:tcPr>
            <w:tcW w:w="4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35"/>
        </w:trPr>
        <w:tc>
          <w:tcPr>
            <w:tcW w:w="37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Loss before income taxes and equity in earnings (losses) of</w:t>
            </w:r>
          </w:p>
        </w:tc>
        <w:tc>
          <w:tcPr>
            <w:tcW w:w="400" w:type="dxa"/>
            <w:vAlign w:val="bottom"/>
          </w:tcPr>
          <w:p>
            <w:pPr>
              <w:spacing w:after="0"/>
              <w:rPr>
                <w:sz w:val="11"/>
                <w:szCs w:val="11"/>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(185.1)</w:t>
            </w:r>
          </w:p>
        </w:tc>
        <w:tc>
          <w:tcPr>
            <w:tcW w:w="0" w:type="dxa"/>
            <w:vAlign w:val="bottom"/>
          </w:tcPr>
          <w:p>
            <w:pPr>
              <w:spacing w:after="0"/>
              <w:rPr>
                <w:sz w:val="1"/>
                <w:szCs w:val="1"/>
                <w:color w:val="auto"/>
              </w:rPr>
            </w:pPr>
          </w:p>
        </w:tc>
      </w:tr>
      <w:tr>
        <w:trPr>
          <w:trHeight w:val="19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4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4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115"/>
        </w:trPr>
        <w:tc>
          <w:tcPr>
            <w:tcW w:w="376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3"/>
                <w:szCs w:val="13"/>
                <w:color w:val="auto"/>
              </w:rPr>
              <w:t>(Loss) earnings before equity in earnings (losses) of</w:t>
            </w:r>
          </w:p>
        </w:tc>
        <w:tc>
          <w:tcPr>
            <w:tcW w:w="40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9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4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4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9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earnings</w:t>
            </w: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(170.6)</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9,135.2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10,749.0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(20,282.9)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(7,111.3)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nine months ended September 30, 2024:</w:t>
      </w:r>
    </w:p>
    <w:p>
      <w:pPr>
        <w:spacing w:after="0" w:line="242"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7"/>
              </w:rPr>
              <w:t>Restaurant</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Dun &amp;</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7"/>
              </w:rPr>
              <w:t>Corporate and</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Affiliate</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Group</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7"/>
              </w:rPr>
              <w:t>Bradstreet</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color w:val="auto"/>
              </w:rPr>
              <w:t>Alight</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4"/>
              </w:rPr>
              <w:t>BKFC</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7"/>
              </w:rPr>
              <w:t>Elimination</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95"/>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316.2</w:t>
            </w: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revenues</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342.6</w:t>
            </w:r>
          </w:p>
        </w:tc>
        <w:tc>
          <w:tcPr>
            <w:tcW w:w="0" w:type="dxa"/>
            <w:vAlign w:val="bottom"/>
          </w:tcPr>
          <w:p>
            <w:pPr>
              <w:spacing w:after="0"/>
              <w:rPr>
                <w:sz w:val="1"/>
                <w:szCs w:val="1"/>
                <w:color w:val="auto"/>
              </w:rPr>
            </w:pPr>
          </w:p>
        </w:tc>
      </w:tr>
      <w:tr>
        <w:trPr>
          <w:trHeight w:val="139"/>
        </w:trPr>
        <w:tc>
          <w:tcPr>
            <w:tcW w:w="4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investment and other income, including recognized gains</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0" w:type="dxa"/>
            <w:vAlign w:val="bottom"/>
          </w:tcPr>
          <w:p>
            <w:pPr>
              <w:spacing w:after="0"/>
              <w:rPr>
                <w:sz w:val="1"/>
                <w:szCs w:val="1"/>
                <w:color w:val="auto"/>
              </w:rPr>
            </w:pPr>
          </w:p>
        </w:tc>
      </w:tr>
      <w:tr>
        <w:trPr>
          <w:trHeight w:val="19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(losses), net</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04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Total revenues, other income (expense) and recognized gains</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1,755.3</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(3,591.2)</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215.9</w:t>
            </w: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net</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39"/>
        </w:trPr>
        <w:tc>
          <w:tcPr>
            <w:tcW w:w="4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Loss before income taxes and equity in earnings (losses) of</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equity in earnings (losses) of unconsolidated affiliates</w:t>
            </w: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2,286.2</w:t>
            </w:r>
          </w:p>
        </w:tc>
        <w:tc>
          <w:tcPr>
            <w:tcW w:w="0" w:type="dxa"/>
            <w:vAlign w:val="bottom"/>
          </w:tcPr>
          <w:p>
            <w:pPr>
              <w:spacing w:after="0"/>
              <w:rPr>
                <w:sz w:val="1"/>
                <w:szCs w:val="1"/>
                <w:color w:val="auto"/>
              </w:rPr>
            </w:pPr>
          </w:p>
        </w:tc>
      </w:tr>
      <w:tr>
        <w:trPr>
          <w:trHeight w:val="18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(6,674.9)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nine months ended September 30, 2023:</w:t>
      </w:r>
    </w:p>
    <w:p>
      <w:pPr>
        <w:spacing w:after="0" w:line="40"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7"/>
              </w:rPr>
              <w:t>Restaurant</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Dun &amp;</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Corporate</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Affiliate</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Group</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7"/>
              </w:rPr>
              <w:t>Bradstreet</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color w:val="auto"/>
              </w:rPr>
              <w:t>Alight</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4"/>
              </w:rPr>
              <w:t>BKFC</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and Other</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7"/>
              </w:rPr>
              <w:t>Elimination</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95"/>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424.9</w:t>
            </w: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revenues</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450.7</w:t>
            </w:r>
          </w:p>
        </w:tc>
        <w:tc>
          <w:tcPr>
            <w:tcW w:w="0" w:type="dxa"/>
            <w:vAlign w:val="bottom"/>
          </w:tcPr>
          <w:p>
            <w:pPr>
              <w:spacing w:after="0"/>
              <w:rPr>
                <w:sz w:val="1"/>
                <w:szCs w:val="1"/>
                <w:color w:val="auto"/>
              </w:rPr>
            </w:pPr>
          </w:p>
        </w:tc>
      </w:tr>
      <w:tr>
        <w:trPr>
          <w:trHeight w:val="139"/>
        </w:trPr>
        <w:tc>
          <w:tcPr>
            <w:tcW w:w="4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investment and other income, including recognized gains</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0" w:type="dxa"/>
            <w:vAlign w:val="bottom"/>
          </w:tcPr>
          <w:p>
            <w:pPr>
              <w:spacing w:after="0"/>
              <w:rPr>
                <w:sz w:val="1"/>
                <w:szCs w:val="1"/>
                <w:color w:val="auto"/>
              </w:rPr>
            </w:pPr>
          </w:p>
        </w:tc>
      </w:tr>
      <w:tr>
        <w:trPr>
          <w:trHeight w:val="19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(losses), net</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04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Total revenues, other income (expense) and recognized gains</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1,687.8</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(3,488.3)</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338.7</w:t>
            </w: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net</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39"/>
        </w:trPr>
        <w:tc>
          <w:tcPr>
            <w:tcW w:w="4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Loss before income taxes and equity in earnings (losses) of</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equity in earnings (losses) of unconsolidated affiliates</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(20,282.9)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2,768.4</w:t>
            </w:r>
          </w:p>
        </w:tc>
        <w:tc>
          <w:tcPr>
            <w:tcW w:w="0" w:type="dxa"/>
            <w:vAlign w:val="bottom"/>
          </w:tcPr>
          <w:p>
            <w:pPr>
              <w:spacing w:after="0"/>
              <w:rPr>
                <w:sz w:val="1"/>
                <w:szCs w:val="1"/>
                <w:color w:val="auto"/>
              </w:rPr>
            </w:pPr>
          </w:p>
        </w:tc>
      </w:tr>
      <w:tr>
        <w:trPr>
          <w:trHeight w:val="18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activities in our segments include the following:</w:t>
      </w:r>
    </w:p>
    <w:p>
      <w:pPr>
        <w:spacing w:after="0" w:line="115"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This  segment  consists  primarily  of  the  operations  of  O'Charley's  and  99  Restaurants  in  which  we  have  65.4%</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88.5% ownership interests, respectively. O'Charley's and 99 Restaurants and their affiliates are the owners and operators of the O'Charley's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Ninety Nine Restaurants restaurant concepts, respectively.</w:t>
      </w:r>
    </w:p>
    <w:p>
      <w:pPr>
        <w:spacing w:after="0" w:line="97" w:lineRule="exact"/>
        <w:rPr>
          <w:sz w:val="20"/>
          <w:szCs w:val="20"/>
          <w:color w:val="auto"/>
        </w:rPr>
      </w:pPr>
    </w:p>
    <w:p>
      <w:pPr>
        <w:jc w:val="both"/>
        <w:ind w:left="660" w:hanging="409"/>
        <w:spacing w:after="0" w:line="258"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Dun &amp; Bradstreet. </w:t>
      </w:r>
      <w:r>
        <w:rPr>
          <w:rFonts w:ascii="Times New Roman" w:cs="Times New Roman" w:eastAsia="Times New Roman" w:hAnsi="Times New Roman"/>
          <w:sz w:val="18"/>
          <w:szCs w:val="18"/>
          <w:color w:val="auto"/>
        </w:rPr>
        <w:t>This segment consists of our 15.6% ownership interest in Dun &amp; Bradstreet. Dun &amp; Bradstreet is a leading global provider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 decisioning data and analytics. Clients embed D&amp;B's trusted, end-to-end solutions into their daily workflows to </w:t>
      </w:r>
      <w:r>
        <w:rPr>
          <w:rFonts w:ascii="Times New Roman" w:cs="Times New Roman" w:eastAsia="Times New Roman" w:hAnsi="Times New Roman"/>
          <w:sz w:val="18"/>
          <w:szCs w:val="18"/>
          <w:color w:val="181717"/>
        </w:rPr>
        <w:t>inform commercial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717"/>
        </w:rPr>
        <w:t>decisions, evaluate whether suppliers and other third parties are financially viable, reputable, compliant and resilient, enhance salesforce productivity and gain visibility into key markets</w:t>
      </w:r>
      <w:r>
        <w:rPr>
          <w:rFonts w:ascii="Times New Roman" w:cs="Times New Roman" w:eastAsia="Times New Roman" w:hAnsi="Times New Roman"/>
          <w:sz w:val="18"/>
          <w:szCs w:val="18"/>
          <w:color w:val="000000"/>
        </w:rPr>
        <w:t>. Dun &amp; Bradstreet's solutions support its clients’ mission critical business operations by providing</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proprietary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and curated data and analytics to help drive informed decisions and improved outcomes. Dun &amp; Bradstreet's global commercial database contained comprehensive information on hundreds of millions of organizations. Our chief operating decision maker reviews the full financial results of Dun &amp; Bradstreet for purposes of assessing performance and allocating resources. Thus, we consider Dun &amp; Bradstreet a reportable segment and have included the full results of Dun &amp; Bradstreet in the tables above. We account for Dun &amp; Bradstreet using the equity method of accounting; therefore, its results do not consolidate into ours. Accordingly, we have presented the elimination of Dun &amp; Bradstreet's results in the </w:t>
      </w:r>
      <w:r>
        <w:rPr>
          <w:rFonts w:ascii="Times New Roman" w:cs="Times New Roman" w:eastAsia="Times New Roman" w:hAnsi="Times New Roman"/>
          <w:sz w:val="18"/>
          <w:szCs w:val="18"/>
          <w:i w:val="1"/>
          <w:iCs w:val="1"/>
          <w:color w:val="auto"/>
        </w:rPr>
        <w:t>Affiliate Elimination</w:t>
      </w:r>
      <w:r>
        <w:rPr>
          <w:rFonts w:ascii="Times New Roman" w:cs="Times New Roman" w:eastAsia="Times New Roman" w:hAnsi="Times New Roman"/>
          <w:sz w:val="18"/>
          <w:szCs w:val="18"/>
          <w:color w:val="auto"/>
        </w:rPr>
        <w:t xml:space="preserve"> section of the segment presentation above.</w:t>
      </w:r>
    </w:p>
    <w:p>
      <w:pPr>
        <w:spacing w:after="0" w:line="77" w:lineRule="exact"/>
        <w:rPr>
          <w:sz w:val="20"/>
          <w:szCs w:val="20"/>
          <w:color w:val="auto"/>
        </w:rPr>
      </w:pPr>
    </w:p>
    <w:p>
      <w:pPr>
        <w:jc w:val="both"/>
        <w:ind w:left="660" w:hanging="409"/>
        <w:spacing w:after="0" w:line="253"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Alight</w:t>
      </w:r>
      <w:r>
        <w:rPr>
          <w:rFonts w:ascii="Times New Roman" w:cs="Times New Roman" w:eastAsia="Times New Roman" w:hAnsi="Times New Roman"/>
          <w:sz w:val="18"/>
          <w:szCs w:val="18"/>
          <w:color w:val="auto"/>
        </w:rPr>
        <w:t>. This segment consists of our 9.8% ownership interest in Alight. Alight delivers human capital management solutions to many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world’s largest and most complex companies. This includes the implementation and administration of both employee wellbeing (e.g., health, wealth and leaves benefits) and global payroll solutions. In addition, Alight implements and runs human capital management software platforms on behalf of third-party providers. Alight’s numerous solutions and services are utilized year-round by employees and their family members in support of their overall health, wealth and wellbeing goals. Participants can access their solutions digitally, including through a mobile application on Alight Worklife®, their intuitive, cloud-based employee engagement platform. Through Alight Worklife, Alight believes it is defining the future of employee wellbeing by providing an enterprise level, integrated offering designed to drive better outcomes for organizations and individuals. Our chief operating decision maker reviews the financial results of Alight for purposes of assessing performance and allocating resources. Thus, we consider Alight a reportable segment and have included the full results of Alight subsequent to our initial acquisition of an ownership interest in the tables above. We account for Alight using the equity method of accounting, and therefore, its results do not consolidate into ours. Accordingly, we have presented the elimination of Alight's results in the </w:t>
      </w:r>
      <w:r>
        <w:rPr>
          <w:rFonts w:ascii="Times New Roman" w:cs="Times New Roman" w:eastAsia="Times New Roman" w:hAnsi="Times New Roman"/>
          <w:sz w:val="18"/>
          <w:szCs w:val="18"/>
          <w:i w:val="1"/>
          <w:iCs w:val="1"/>
          <w:color w:val="auto"/>
        </w:rPr>
        <w:t>Affiliate Elimination</w:t>
      </w:r>
      <w:r>
        <w:rPr>
          <w:rFonts w:ascii="Times New Roman" w:cs="Times New Roman" w:eastAsia="Times New Roman" w:hAnsi="Times New Roman"/>
          <w:sz w:val="18"/>
          <w:szCs w:val="18"/>
          <w:color w:val="auto"/>
        </w:rPr>
        <w:t xml:space="preserve"> section of the segment presentation above.</w:t>
      </w:r>
    </w:p>
    <w:p>
      <w:pPr>
        <w:spacing w:after="0" w:line="97" w:lineRule="exact"/>
        <w:rPr>
          <w:rFonts w:ascii="Times New Roman" w:cs="Times New Roman" w:eastAsia="Times New Roman" w:hAnsi="Times New Roman"/>
          <w:sz w:val="18"/>
          <w:szCs w:val="18"/>
          <w:i w:val="1"/>
          <w:iCs w:val="1"/>
          <w:color w:val="auto"/>
        </w:rPr>
      </w:pPr>
    </w:p>
    <w:p>
      <w:pPr>
        <w:jc w:val="both"/>
        <w:ind w:left="660" w:hanging="409"/>
        <w:spacing w:after="0" w:line="252" w:lineRule="auto"/>
        <w:tabs>
          <w:tab w:leader="none" w:pos="648" w:val="left"/>
        </w:tabs>
        <w:numPr>
          <w:ilvl w:val="0"/>
          <w:numId w:val="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18"/>
          <w:szCs w:val="18"/>
          <w:i w:val="1"/>
          <w:iCs w:val="1"/>
          <w:color w:val="auto"/>
        </w:rPr>
        <w:t xml:space="preserve">Black Knight Football. </w:t>
      </w:r>
      <w:r>
        <w:rPr>
          <w:rFonts w:ascii="Times New Roman" w:cs="Times New Roman" w:eastAsia="Times New Roman" w:hAnsi="Times New Roman"/>
          <w:sz w:val="18"/>
          <w:szCs w:val="18"/>
          <w:color w:val="auto"/>
        </w:rPr>
        <w:t>This segment consists of our 45.5% ownership interest in BKFC. Black Knight Football is a partnership led by Bill Foley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that owns and operates A.F.C. Bournemouth ("AFCB"), an English Premier League ("EPL" or the "Premier League") football club founded in 1899, a minority interest in FC Lorient ("FCL"), a French Ligue 1 football club founded in 1926, and a minority ownership interest in the Hibernian Football Club Limited, a Scottish Premiership football club founded in 1875. Black Knight Football aims to grow into a leading, multi-club operator of football assets across the world. We account for our ownership of BKFC using the equity method of accounting; therefore, its results of operations do not consolidate into ours. Accordingly, we have presented the elimination of BKFC's results in the </w:t>
      </w:r>
      <w:r>
        <w:rPr>
          <w:rFonts w:ascii="Times New Roman" w:cs="Times New Roman" w:eastAsia="Times New Roman" w:hAnsi="Times New Roman"/>
          <w:sz w:val="18"/>
          <w:szCs w:val="18"/>
          <w:i w:val="1"/>
          <w:iCs w:val="1"/>
          <w:color w:val="auto"/>
        </w:rPr>
        <w:t>Affiliate Elimination</w:t>
      </w:r>
      <w:r>
        <w:rPr>
          <w:rFonts w:ascii="Times New Roman" w:cs="Times New Roman" w:eastAsia="Times New Roman" w:hAnsi="Times New Roman"/>
          <w:sz w:val="18"/>
          <w:szCs w:val="18"/>
          <w:color w:val="auto"/>
        </w:rPr>
        <w:t xml:space="preserve"> section of the segment presentation above. We report our equity in earnings or loss of BKFC on a three-month lag and we acquired our initial interest in BKFC on December 13, 2022. Accordingly, the segment tables above for the three and nine months ended September 30, 2024 include our equity in Black Knight Football’s losses and complete results of Black Knight Football for the three and nine months ended June 30, 2024, and the segment tables for the three and nine months ended September 30, 2023 includes our equity in Black Knight Football and complete results of Black Knight Football for the three months ended June 30, 2023 and the period from December 13, 2022 (the date we acquired our initial interest in BKFC) through June 30, 2023, respectively.</w:t>
      </w:r>
    </w:p>
    <w:p>
      <w:pPr>
        <w:spacing w:after="0" w:line="81" w:lineRule="exact"/>
        <w:rPr>
          <w:rFonts w:ascii="Times New Roman" w:cs="Times New Roman" w:eastAsia="Times New Roman" w:hAnsi="Times New Roman"/>
          <w:sz w:val="20"/>
          <w:szCs w:val="20"/>
          <w:i w:val="1"/>
          <w:iCs w:val="1"/>
          <w:color w:val="auto"/>
        </w:rPr>
      </w:pPr>
    </w:p>
    <w:p>
      <w:pPr>
        <w:ind w:left="660" w:right="20" w:hanging="409"/>
        <w:spacing w:after="0" w:line="284"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nonreportable segment consists of our share in the operations of certain controlled portfolio companies and other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activity of the corporate holding company and certain intercompany eliminations and taxes.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consists of:</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4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366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Revenue Stream</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3"/>
        </w:trPr>
        <w:tc>
          <w:tcPr>
            <w:tcW w:w="3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Restaurant revenue:</w:t>
            </w:r>
          </w:p>
        </w:tc>
        <w:tc>
          <w:tcPr>
            <w:tcW w:w="10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9"/>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Restaurant sales</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Restaurant Group</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w:t>
            </w:r>
          </w:p>
        </w:tc>
      </w:tr>
      <w:tr>
        <w:trPr>
          <w:trHeight w:val="207"/>
        </w:trPr>
        <w:tc>
          <w:tcPr>
            <w:tcW w:w="3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restaurant revenue</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w:t>
            </w:r>
          </w:p>
        </w:tc>
      </w:tr>
      <w:tr>
        <w:trPr>
          <w:trHeight w:val="21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revenue:</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Real estate and resort</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Corporate and other</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19"/>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Corporate and other</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7"/>
        </w:trPr>
        <w:tc>
          <w:tcPr>
            <w:tcW w:w="3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other operating revenue</w:t>
            </w:r>
          </w:p>
        </w:tc>
        <w:tc>
          <w:tcPr>
            <w:tcW w:w="17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37"/>
        </w:trPr>
        <w:tc>
          <w:tcPr>
            <w:tcW w:w="3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revenues</w:t>
            </w: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Restaurant revenue includes food and beverage sales and gift card breakage, which are net of applicable state and local sales taxes and discounts, and are recognized at a point in time as services are performed and goods are provided.</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operating revenue consists of income generated by our resort operations, which includes sales of real estate, lodging rentals, food and beverage sales, and other income from various resort services offered. Revenue is recognized at a point in time upon closing of the sale of real estate or once goods and services have been provided and billed to the customer.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trade receivables and deferred revenue:</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3"/>
          </w:tcPr>
          <w:p>
            <w:pPr>
              <w:jc w:val="right"/>
              <w:ind w:right="121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(contract liabilities)</w:t>
            </w:r>
          </w:p>
        </w:tc>
        <w:tc>
          <w:tcPr>
            <w:tcW w:w="16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bl>
    <w:p>
      <w:pPr>
        <w:spacing w:after="0" w:line="1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revenue is recorded primarily for restaurant gift card sales. The unrecognized portion of such revenue is recorded as Deferred revenue in the Condensed Consolidated Balance Sheets. Revenue of $2.2 million and $2.7 million was recognized in the three months ended September 30, 2024 and 2023, respectively, and $6.1 million and $7.5 million in the nine months ended, respectively, that was included in Deferred revenue at the beginning of the period.</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impairment related to contract balances.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Notes Payable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Notes payable, net consists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4"/>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Margin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FNF Note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Notes payable, current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long term</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2024, the carrying value of our outstanding notes payable approximates fair value.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Margin Facility</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30, 2020, Cannae Funding C, LLC ("Borrower 1"), an indirect wholly-owned special purpose subsidiary of the Company, and Cannae Funding D, LLC ("Borrower 2"), an indirect wholly-owned special purpose subsidiary of the Company, entered into a Margin Loan Agreement (as amended from time to time, the "2020 Margin Facility") with the lenders from time to time party thereto and Royal Bank of Canada. On June 16, 2023, the 2020 Margin Facility was amended to, among other things, lower the immediate capacity from $250 million to $150 million. On August 17, 2023, the 2020 Margin Facility was amended to, among other things, (i) extend the maturity of the agreement to August 17, 2026, (ii) add 40 million shares of common stock of Alight to the pool of collateral, (iii) change the spread from 358 to 375 basis points and (iv) add Cannae Funding A, LLC ("Borrower 3" and together with Borrower 1 and Borrower 2, the "Borrowers"), an indirect wholly-owned special purpose subsidiary of the Company. On March 4, 2024, the 2020 Margin Facility was amended primarily to (i) assign the facility from Royal Bank of Canada to Bank of America, (ii) extend the maturity date to March 4, 2027 and (iii) change the spread from 375 to 310 basis points.</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2020 Margin Facility, as amended, the Borrowers may borrow up to $150.0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March 4, 2027. Outstanding amounts under the 2020 Margin Facility, if any, bear interest quarterly at a rate per annum equal to a three-month adjusted SOFR plus an applicable margin. The 2020 Margin Facility requires the Borrowers to maintain a certain loan-to-value ratio (based on the value of D&amp;B and Alight shares). In the event the Borrowers fail to maintain such loan-to-value ratio, the Borrowers must post additional cash collateral under the Loan Agreement and/or elect to repay a portion of the revolving loans thereunder, or sell the D&amp;B and/or Alight shares and use the proceeds from such sale to prepay a portion of the revolving loans thereunder.</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there was $101.0 million outstanding balance under the 2020 Margin Facility, $49.0 million of unused capacity with an option to increase the capacity to $500.0 million upon amendment, and 35 million shares of D&amp;B and 40 million shares of Alight were pledged as collateral for borrowings.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FNF Note</w:t>
      </w:r>
    </w:p>
    <w:p>
      <w:pPr>
        <w:spacing w:after="0" w:line="106"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On November 17, 2017, Fidelity National Financial, Inc.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 Note"). Pursuant to the FNF Note, FNF may make one or more loans to us with up to $100.0 million outstanding at any time. The FNF Note accrues interest at one-month adjusted SOFR plus 450 basis points and matures on November 17, 2025. The maturity date is automatically extended for additional five-year terms unless notice of non-renewal is otherwise provided by either FNF or Cannae, in their sole discretion.</w:t>
      </w:r>
    </w:p>
    <w:p>
      <w:pPr>
        <w:spacing w:after="0" w:line="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28, 2022, we completed the repurchase of all of our common stock previously held by FNF; accordingly, there is no incremental borrowing capacity available under the FNF Note.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29, 2024, the FNF Note was amended to (i) reduce the borrowing capacity to $60.0 million and (ii) change the interest rate to a fixed rate of 7.0% per annum. The Company also repaid $25.0 million of outstanding principal under the FNF Note.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a $59.7 million outstanding principal amount which incurred interest at 7.0% and there is no available borrowing capacity under the FNF Note.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principal maturities of notes payable at September 30, 2024 are as follows (in millions):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35"/>
        </w:trPr>
        <w:tc>
          <w:tcPr>
            <w:tcW w:w="9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67" w:lineRule="exact"/>
        <w:rPr>
          <w:sz w:val="20"/>
          <w:szCs w:val="20"/>
          <w:color w:val="auto"/>
        </w:rPr>
      </w:pPr>
    </w:p>
    <w:p>
      <w:pPr>
        <w:jc w:val="both"/>
        <w:ind w:firstLine="324"/>
        <w:spacing w:after="0" w:line="229"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September 30, 2024 and December 31, 2023,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certain unconditional purchase obligations, primarily in our Restaurant Group segment. These purchase obligations are with various vendors and are primarily related to food and beverage obligations with fixed commitments in regard to the time period of the contract and the quantities purchased with annual price adjustments that can fluctuate. We used both historical and projected volume and pricing as of September 30, 2024 to determine the amount of the obligations. Purchase obligations as of September 30, 2024 are as follows (in millions):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10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0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Supplemental Cash Flow Information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certain cash payments, as well as certain non-cash investing and financing activities.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80" w:type="dxa"/>
            <w:vAlign w:val="bottom"/>
            <w:gridSpan w:val="3"/>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r>
      <w:tr>
        <w:trPr>
          <w:trHeight w:val="196"/>
        </w:trPr>
        <w:tc>
          <w:tcPr>
            <w:tcW w:w="8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gridSpan w:val="2"/>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960" w:type="dxa"/>
            <w:vAlign w:val="bottom"/>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4.9</w:t>
            </w:r>
          </w:p>
        </w:tc>
        <w:tc>
          <w:tcPr>
            <w:tcW w:w="108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11.2</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0.7</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JANA paid through reissuance of common stock from treasury</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44.0</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Difference between the historical cost of treasury stock and fair value upon reissuance for investment in JANA</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873"/>
        </w:trPr>
        <w:tc>
          <w:tcPr>
            <w:tcW w:w="82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8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Quarterly Report are based on information available to us on the date hereof, and we assume no obligation to update any such forward-looking statements. In some cases, you can identify forward-looking statements by terminology such as “may,” “will,” “should,” “could,” “expect,” “intend,” “plan,” “anticipate,” “believe,” “estimate,” “predict,” “potential,” “continue,” or the negative of these terms or other comparable terminology.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and changes in macroeconomic conditions resulting from the outbreak of a pandemic or escalation of the conflicts in Ukraine and the Middle East; risks associated with the Investment Company Act of 1940;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related to the externalization of certain of our management functions to our Manager; and other risks detailed in the "Statement Regarding Forward-Looking Information," "Risk Factors" and other sections of our Annual Report on Form 10-K for the year ended December 31, 2023 (our "Annual Report") and other filings with the Securities Exchange Commission ("SEC").</w:t>
      </w:r>
    </w:p>
    <w:p>
      <w:pPr>
        <w:spacing w:after="0" w:line="76" w:lineRule="exact"/>
        <w:rPr>
          <w:sz w:val="20"/>
          <w:szCs w:val="20"/>
          <w:color w:val="auto"/>
        </w:rPr>
      </w:pPr>
    </w:p>
    <w:p>
      <w:pPr>
        <w:ind w:right="740" w:firstLine="324"/>
        <w:spacing w:after="0" w:line="250" w:lineRule="auto"/>
        <w:rPr>
          <w:sz w:val="20"/>
          <w:szCs w:val="20"/>
          <w:color w:val="auto"/>
        </w:rPr>
      </w:pPr>
      <w:r>
        <w:rPr>
          <w:rFonts w:ascii="Times New Roman" w:cs="Times New Roman" w:eastAsia="Times New Roman" w:hAnsi="Times New Roman"/>
          <w:sz w:val="18"/>
          <w:szCs w:val="18"/>
          <w:color w:val="auto"/>
        </w:rPr>
        <w:t>Unless the context indicates otherwise, as used herein, the terms “we,” “us,” “our,” “Cannae,” or the “Company” refer collectively to Cannae Holdings, Inc., and its subsidiaries.</w:t>
      </w:r>
    </w:p>
    <w:p>
      <w:pPr>
        <w:spacing w:after="0" w:line="68"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our Annual Report. For an additional description of our business, including descriptions of segments and recent business developments, see the discussion in Note A - </w:t>
      </w:r>
      <w:r>
        <w:rPr>
          <w:rFonts w:ascii="Times New Roman" w:cs="Times New Roman" w:eastAsia="Times New Roman" w:hAnsi="Times New Roman"/>
          <w:sz w:val="18"/>
          <w:szCs w:val="18"/>
          <w:i w:val="1"/>
          <w:iCs w:val="1"/>
          <w:color w:val="auto"/>
        </w:rPr>
        <w:t>Basis of Financial Statements</w:t>
      </w:r>
      <w:r>
        <w:rPr>
          <w:rFonts w:ascii="Times New Roman" w:cs="Times New Roman" w:eastAsia="Times New Roman" w:hAnsi="Times New Roman"/>
          <w:sz w:val="18"/>
          <w:szCs w:val="18"/>
          <w:color w:val="auto"/>
        </w:rPr>
        <w:t xml:space="preserve"> and Note E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to the Condensed Consolidated Financial Statements included in Item 1 of Part I of this Quarterly Report, which is incorporated by reference into this Part I, Item 2.</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Macroeconomic Conditions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Restaurant Group</w:t>
      </w:r>
      <w:r>
        <w:rPr>
          <w:rFonts w:ascii="Times New Roman" w:cs="Times New Roman" w:eastAsia="Times New Roman" w:hAnsi="Times New Roman"/>
          <w:sz w:val="18"/>
          <w:szCs w:val="18"/>
          <w:color w:val="auto"/>
        </w:rPr>
        <w:t>. Average weekly sales per restaurant are typically higher in the first half of the year, and we typically generate a disproportionate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our earnings from operations in the first half of the year. Holidays, severe weather and other disruptive conditions may impact sales volumes seasonally in some operating regions.</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Recent years were a period of high inflation relative to long-term inflation expectations in the U.S. This inflationary environment primarily impacted the commodity and labor costs of our Restaurant Group. We have adjusted menu pricing to account for these cost increases to an extent, but will continue to balance the impact of inflationary pressures on our costs with the value proposition offered to customers, focusing on long-term profitability.</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revenues and operating income in future periods will continue to be subject to these and other factors that are beyond our control and, as a result, are likely to fluctuate.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Critical Accounting Policies and Estimates disclosed in Item 7 of our Annual Report are hereby incorporated by reference. Other than as described below, there have been no changes to our critical accounting policies and estimates.</w:t>
      </w:r>
    </w:p>
    <w:p>
      <w:pPr>
        <w:spacing w:after="0" w:line="6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Investments in unconsolidated affiliates - impairment monitoring</w:t>
      </w:r>
      <w:r>
        <w:rPr>
          <w:rFonts w:ascii="Times New Roman" w:cs="Times New Roman" w:eastAsia="Times New Roman" w:hAnsi="Times New Roman"/>
          <w:sz w:val="18"/>
          <w:szCs w:val="18"/>
          <w:color w:val="auto"/>
        </w:rPr>
        <w:t>. On an ongoing basis, management monitors the Company's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affiliates to determine 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pacing w:after="0" w:line="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2024, the fair value of our ownership interest in Alight based on quoted market prices was $388.3 million and the book value of our recorded asset for Alight was $485.3 million. While the fair value of our investment in Alight is below our book value as of September 30, 2024, there are other indicators that our investment is not other than temporarily impaired as of September 30, 2024. The fair value of our investment in Alight has been below book value for approximately 5 months. Alight recently completed the sale of the Payroll &amp; Professional Services Business and used a portion of the proceeds to pay off a significant portion of its debt, improving its' capital strength. Alight has consistently reported strong gross profit and operating cash flows subsequent to our initial investment. Due to these factors, we consider the decline in fair value to be temporary as of September 30, 2024. Though we do not currently believe our investment in Alight is other than temporarily impaired, because the fair value is below the book value of our investment as of September 30, 2024, further declines in fair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value of the investment, deterioration in Alight's actual or forecasted results of operations or adverse changes in the U.S. macroeconomic environment could result in an impairment charge in future periods to record our asset at fair value.</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June 30, 2024, the book value of our investment in Sightline accounted for under the equity method of accounting prior to recording impairment was $154.7 million. Based on a valuation using a hybrid discounted cash flow and market comparison approach and adjusted for the risk of a capital shortfall at the business, the aggregate fair market value of our ownership of Sightline equity was approximately $13.7 million as of June 30, 2024. The fair value measurement is considered a level 3 fair value measure. The primary inputs in the valuation were the forecasted results of operations of Sightline, the discount rate used in the discounted cash flow analysis and the adjustment for the risk of a capital shortfall. The primary significant unobservable input used was the 35% discount rate used in the discounted cash flow analysis and the 50% adjustment for the risk of capital shortfall.</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quantum of the decrease in the fair market value of our ownership interest subsequent to our acquisition, declines in the forecasted results of operations and liquidity of Sightline, and the uncertainty of the ability of Sightline to raise new capital, management determined the decrease in value of our investment in Sightline was other-than-temporary as of June 30, 2024. Accordingly, we recorded an impairment of $141.0 million which is included in Recognized (losses) gains, net, on our Consolidated Statement of Operations for the nine months ended September 30, 2024.</w:t>
      </w:r>
    </w:p>
    <w:p>
      <w:pPr>
        <w:spacing w:after="0" w:line="7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Accounting for Income Taxes. </w:t>
      </w:r>
      <w:r>
        <w:rPr>
          <w:rFonts w:ascii="Times New Roman" w:cs="Times New Roman" w:eastAsia="Times New Roman" w:hAnsi="Times New Roman"/>
          <w:sz w:val="18"/>
          <w:szCs w:val="18"/>
          <w:color w:val="auto"/>
        </w:rPr>
        <w:t>We recognize deferred tax assets and liabilities for temporary differences between the financial reporting basis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7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September 30, 2024, we had a net deferred tax asset of $69.4 million, which is primarily attributable to temporary differences for our investments in unconsolidated affiliates held through partnerships. In the nine months ended September 30, 2024, we recorded an additional valuation allowance of $58.9 million on the Company's federal net operating loss ("NOL") carryforwards and certain deferred taxes related to our consolidated partnerships. In the first quarter of 2024 it was determined that the net taxable capital gain from our sales of shares of Dayforce and D&amp;B would likely be offset by other sources of current year taxable loss. Accordingly, we determined it was uncertain whether we would be able to use the Company's available federal NOL carryforwards and certain other deferred taxes. One of the factors used in assessing the need for a valuation allowance on net deferred tax assets is whether a company is in a three-year cumulative book loss position and for the three years ended December 31, 2023, the Company was in a cumulative book loss position. The Company is relying on deferred tax liabilities, and the ability to carry back capital losses, as sources of income to facilitate the recovery of its remaining deferred tax assets. The Company’s prospective investment strategy, fluctuations in the fair market value of its ownership interests prior to any dispositions and other factors may influence the timing of reversals of deferred tax assets and liabilities and their ultimate impact on taxable income or loss, which could have an effect on the recoverability of deferred tax assets. As of September 30, 2024, the Company has a federal valuation allowance of $58.7 million representing a full valuation allowance on its federal NOL carryforwards and certain other deferred taxes where it is not more likely than not that the tax benefit will be realized. Additionally, a state valuation allowance of $4.8 million has been recorded representing certain state NOLs where it is not more likely than not that the tax benefit of certain state NOLs will be realized before the NOLs in those certain states expire. At this time, we consider it more likely than not that we will have sufficient taxable income and available excess capital gain from prior year periods that will allow us to realize our other deferred tax assets. The Company will continue to monitor the recoverability of deferred tax assets on a quarterly basis and may need to record an additional valuation allowance on its net deferred tax asset in future periods.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9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44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5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5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5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Restaurant revenue</w:t>
            </w:r>
          </w:p>
        </w:tc>
        <w:tc>
          <w:tcPr>
            <w:tcW w:w="880" w:type="dxa"/>
            <w:vAlign w:val="bottom"/>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w:t>
            </w:r>
          </w:p>
        </w:tc>
      </w:tr>
      <w:tr>
        <w:trPr>
          <w:trHeight w:val="21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revenue</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07"/>
        </w:trPr>
        <w:tc>
          <w:tcPr>
            <w:tcW w:w="5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operating revenues</w:t>
            </w:r>
          </w:p>
        </w:tc>
        <w:tc>
          <w:tcPr>
            <w:tcW w:w="8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w:t>
            </w: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5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w:t>
            </w:r>
          </w:p>
        </w:tc>
      </w:tr>
      <w:tr>
        <w:trPr>
          <w:trHeight w:val="21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13"/>
        </w:trPr>
        <w:tc>
          <w:tcPr>
            <w:tcW w:w="5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w:t>
            </w:r>
          </w:p>
        </w:tc>
      </w:tr>
      <w:tr>
        <w:trPr>
          <w:trHeight w:val="207"/>
        </w:trPr>
        <w:tc>
          <w:tcPr>
            <w:tcW w:w="55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544.9</w:t>
            </w:r>
          </w:p>
        </w:tc>
      </w:tr>
      <w:tr>
        <w:trPr>
          <w:trHeight w:val="212"/>
        </w:trPr>
        <w:tc>
          <w:tcPr>
            <w:tcW w:w="55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Operating loss</w:t>
            </w: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19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investment and other income</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3"/>
        </w:trPr>
        <w:tc>
          <w:tcPr>
            <w:tcW w:w="5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gains (losses), net</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r>
      <w:tr>
        <w:trPr>
          <w:trHeight w:val="207"/>
        </w:trPr>
        <w:tc>
          <w:tcPr>
            <w:tcW w:w="55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w:t>
            </w:r>
          </w:p>
        </w:tc>
      </w:tr>
      <w:tr>
        <w:trPr>
          <w:trHeight w:val="21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 and equity in losses of unconsolidated affiliates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w:t>
            </w:r>
          </w:p>
        </w:tc>
      </w:tr>
      <w:tr>
        <w:trPr>
          <w:trHeight w:val="21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w:t>
            </w:r>
          </w:p>
        </w:tc>
      </w:tr>
      <w:tr>
        <w:trPr>
          <w:trHeight w:val="21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equity in losses of unconsolidated affiliates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r>
      <w:tr>
        <w:trPr>
          <w:trHeight w:val="21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losses of unconsolidated affiliates</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w:t>
            </w:r>
          </w:p>
        </w:tc>
      </w:tr>
      <w:tr>
        <w:trPr>
          <w:trHeight w:val="21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w:t>
            </w:r>
          </w:p>
        </w:tc>
      </w:tr>
      <w:tr>
        <w:trPr>
          <w:trHeight w:val="21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37"/>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Cannae Holdings, Inc. common shareholders</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September 30, 2024 and 2023</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material fluctuations in our consolidated results of operations for the three months ended September 30, 2024 as compared to the three months ended September 30, 2023. The material changes in revenues, expenses and pre-tax loss for the three months ended September 30, 2024 and 2023 are discussed in further detail at the segment level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revenues decreased $29.7 million, or 20.7%, in the three months ended September 30, 2024 compared to the corresponding period in 2023. The reduction in revenue is primarily attributable to the closure of O'Charley's locations in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expenses consist primarily of personnel costs, cost of restaurant revenue, other operating expenses, and depreciation and amortization.</w:t>
      </w:r>
    </w:p>
    <w:p>
      <w:pPr>
        <w:spacing w:after="0" w:line="11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that are directly attributable to the restaurant-level operations of the Restaurant Group are included in Cost of restaurant revenue.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management fees, carried interest fees, professional fees, advertising costs, travel expenses and impairments of operating assets.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our depreciation related to investments in property and equipment as well as amortization of intangible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Pre-Tax Earnings (Loss)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(loss) before income taxes and equity in losses of unconsolidated affiliates increased (decreased loss) $188.3 million, or 101.7%, in the three months ended September 30, 2024 compared to the corresponding period in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Income tax benefit was $6.2 million and $40.5 million in the three-month periods ended September 30, 2024 and 2023, respectively. Our effective tax rate was (193.8)% and 21.9% in the three months ended September 30, 2024 and 2023,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the three months ended September 30, 2024 compared to the corresponding period in 2023 is primarily attributable to the impact to the rate of equity in losses of unconsolidated affiliates relative to pre-tax losses.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Unconsolidated Affiliates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Equity in losses of unconsolidated affiliates for the three months ended September 30, 2024 and 2023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80" w:type="dxa"/>
            <w:vAlign w:val="bottom"/>
            <w:gridSpan w:val="4"/>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196"/>
        </w:trPr>
        <w:tc>
          <w:tcPr>
            <w:tcW w:w="7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0" w:type="dxa"/>
            <w:vAlign w:val="bottom"/>
            <w:gridSpan w:val="3"/>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7"/>
                <w:szCs w:val="17"/>
                <w:color w:val="auto"/>
              </w:rPr>
            </w:pP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Dun &amp; Bradstreet</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Sightline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 Knight Football</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0"/>
        </w:trPr>
        <w:tc>
          <w:tcPr>
            <w:tcW w:w="7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2024 and 2023</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material fluctuations in our consolidated results of operations for the nine months ended September 30, 2024 as compared to the nine months ended September 30, 2023. The material changes in revenues, expenses and pre-tax loss for the nine months ended September 30, 2024 and 2023 are discussed in further detail at the segment level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revenues decreased $108.1 million, or 24.0%, in the nine months ended September 30, 2024 compared to the corresponding period in 2023. The reduction in revenue is primarily attributable to the closure of O'Charley's locations in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Pre-Tax Earnings (Loss)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(loss) before income taxes and equity in losses of unconsolidated affiliates increased (decreased loss) $4.5 million, or 2.0%, in the nine months ended September 30, 2024 compared to the corresponding period in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Income tax expense (benefit) was $13.5 million and $(59.7) million in the nine-month periods ended September 30, 2024 and 2023, respectively. Our effective tax rate was (6.3)% and 27.1% in the nine months ended September 30, 2024 and 2023,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the nine months September 30, 2024 compared to the corresponding period in 2023 is attributable to the recording of a valuation allowance in the current period of $58.9 million on our federal net operating loss carryforwards and certain deferred taxes within our consolidated partnerships, the impact to the rate of equity in losses of unconsolidated affiliates relative to pre-tax loss and the impairment recorded to our investment in Sightline.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Unconsolidated Affiliates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Equity in losses of unconsolidated affiliates for the nine months ended September 30, 2024 and 2023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r>
      <w:tr>
        <w:trPr>
          <w:trHeight w:val="196"/>
        </w:trPr>
        <w:tc>
          <w:tcPr>
            <w:tcW w:w="7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4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7"/>
                <w:szCs w:val="17"/>
                <w:color w:val="auto"/>
              </w:rPr>
            </w:pP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Dun &amp; Bradstreet</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Sightline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 Knight Football</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CSI</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equity in earnings of CSI in the nine months ended September 30, 2024 was primarily driven by the sale of a portion of CSI to a third party by BGPT Catalyst, LP, the entity through which we own our interest in CSI.</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Group</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Restaurant Group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9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48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Restaurant revenue</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w:t>
            </w:r>
          </w:p>
        </w:tc>
      </w:tr>
      <w:tr>
        <w:trPr>
          <w:trHeight w:val="223"/>
        </w:trPr>
        <w:tc>
          <w:tcPr>
            <w:tcW w:w="5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restaurant revenue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r>
      <w:tr>
        <w:trPr>
          <w:trHeight w:val="229"/>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Personnel costs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23"/>
        </w:trPr>
        <w:tc>
          <w:tcPr>
            <w:tcW w:w="5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r>
      <w:tr>
        <w:trPr>
          <w:trHeight w:val="223"/>
        </w:trPr>
        <w:tc>
          <w:tcPr>
            <w:tcW w:w="54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Operating loss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1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Recognized gains, net</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 and equity in losses of unconsolidated affiliates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September 30, 2024</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revenues for the Restaurant Group segment decreased $29.1 million, or 22.2%, in the three months ended September 30, 2024, compared to the corresponding period in 2023. The change was attributable to approximately $22.1 million of incremental revenue included in the three months ended September 30, 2023 associated with O'Charley's stores that were closed prior to 2024 and a decline in comparable store sales.</w:t>
      </w:r>
    </w:p>
    <w:p>
      <w:pPr>
        <w:spacing w:after="0" w:line="6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Comparable Store Sales. </w:t>
      </w:r>
      <w:r>
        <w:rPr>
          <w:rFonts w:ascii="Times New Roman" w:cs="Times New Roman" w:eastAsia="Times New Roman" w:hAnsi="Times New Roman"/>
          <w:sz w:val="18"/>
          <w:szCs w:val="18"/>
          <w:color w:val="auto"/>
        </w:rPr>
        <w:t>One method we use in evaluating the performance of our restaurants is to compare sales results for restaurants period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O'Charley's and 99 Restaurants brands decreased by 11.3% and 4.4%, respectively, in the three months ended September 30, 2024 compared to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corresponding period in 2023. The decrease is primarily attributable to a decrease in guest counts, partially offset by an increase in the average amount spent by guests each visit.</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restaurant revenue decreased directionally consistent with Restaurant revenue in the period. Cost of restaurant revenue as a percentage of Restaurant revenue was 91.1% and 88.3% in the three months ended September 30, 2024 and 2023, respectively. The increase was primarily attributable to promotional initiatives at O'Charley's to drive increased guest counts implemented in the in three months ended September 30, 2024.</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operating expense for the Restaurant Group segment decreased $34.9 million, or 86.4%, in the three months ended September 30, 2024, compared to the corresponding periods in 2023. The decrease is primarily attributable to $28.8 million of impairment charges to property and equipment and lease assets of O'Charley's recorded in the quarter ended September 30, 2023 and closures of stores in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2024</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revenues for the Restaurant Group segment decreased $108.7 million, or 25.6%, in the nine months ended September 30, 2024, compared to the corresponding period in 2023. The decrease was attributable to approximately $87.4 million of incremental revenue included in the nine months ended September 30, 2023 associated with O'Charley's stores that were closed prior to 2024 and a decline in comparable store sales.</w:t>
      </w:r>
    </w:p>
    <w:p>
      <w:pPr>
        <w:spacing w:after="0" w:line="6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Comparable Store Sales. </w:t>
      </w:r>
      <w:r>
        <w:rPr>
          <w:rFonts w:ascii="Times New Roman" w:cs="Times New Roman" w:eastAsia="Times New Roman" w:hAnsi="Times New Roman"/>
          <w:sz w:val="18"/>
          <w:szCs w:val="18"/>
          <w:color w:val="auto"/>
        </w:rPr>
        <w:t>Comparable store sales for our O'Charley's and 99 Restaurants brands decreased by 8.5% and 3.5%, respectively, in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2024 compared to the comparable period in 2023. The decrease in 2024 is primarily attributable to a decrease in guest counts, partially offset by an increase in the average amount spent by customers each visit.</w:t>
      </w:r>
    </w:p>
    <w:p>
      <w:pPr>
        <w:spacing w:after="0" w:line="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restaurant revenue decreased directionally consistent with Restaurant revenues. Cost of restaurant revenue as a percentage of Restaurant revenue was 88.3% and 88.4% in the nine months ended September 30, 2024 and 2023, respectively.</w:t>
      </w:r>
    </w:p>
    <w:p>
      <w:pPr>
        <w:spacing w:after="0" w:line="5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Other operating expense for the Restaurant Group segment decreased $42.8 million, or 70.2%, in the nine months ended September 30, 2024, compared to the corresponding period in 2023. The decrease is primarily attributable to $28.8 million of impairment charges to property and equipment and lease assets of O'Charley's recorded in the quarter ended September 30, 2023 and the closure of stores in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Dun &amp; Bradstreet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we own approximately 15.6% of the outstanding common stock of Dun &amp; Bradstreet. We account for our ownership interest in Dun &amp; Bradstreet under the equity method of accounting; therefore, its results of operations do not consolidate into ours.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Summarized statement of operations information for Dun &amp; Bradstreet for the relevant dates and time periods included in Equity in earnings (losses) of unconsolidated affiliates in our Statements of Operations is presented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9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480" w:type="dxa"/>
            <w:vAlign w:val="bottom"/>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86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609.1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1,749.8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1,683.6</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62.2</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115.9</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w:t>
            </w:r>
          </w:p>
        </w:tc>
        <w:tc>
          <w:tcPr>
            <w:tcW w:w="86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Dun &amp; Bradstreet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bl>
    <w:p>
      <w:pPr>
        <w:spacing w:after="0" w:line="184" w:lineRule="exact"/>
        <w:rPr>
          <w:sz w:val="20"/>
          <w:szCs w:val="20"/>
          <w:color w:val="auto"/>
        </w:rPr>
      </w:pPr>
    </w:p>
    <w:p>
      <w:pPr>
        <w:ind w:right="1100" w:firstLine="324"/>
        <w:spacing w:after="0" w:line="375" w:lineRule="auto"/>
        <w:rPr>
          <w:sz w:val="20"/>
          <w:szCs w:val="20"/>
          <w:color w:val="auto"/>
        </w:rPr>
      </w:pPr>
      <w:r>
        <w:rPr>
          <w:rFonts w:ascii="Times New Roman" w:cs="Times New Roman" w:eastAsia="Times New Roman" w:hAnsi="Times New Roman"/>
          <w:sz w:val="18"/>
          <w:szCs w:val="18"/>
          <w:color w:val="auto"/>
        </w:rPr>
        <w:t xml:space="preserve">Details relating to the results of operations of Dun &amp; Bradstreet (NYSE: "DNB") can be found in its periodic reports filed with the SEC. </w:t>
      </w:r>
      <w:r>
        <w:rPr>
          <w:rFonts w:ascii="Times New Roman" w:cs="Times New Roman" w:eastAsia="Times New Roman" w:hAnsi="Times New Roman"/>
          <w:sz w:val="18"/>
          <w:szCs w:val="18"/>
          <w:b w:val="1"/>
          <w:bCs w:val="1"/>
          <w:i w:val="1"/>
          <w:iCs w:val="1"/>
          <w:color w:val="auto"/>
        </w:rPr>
        <w:t>Alight</w:t>
      </w:r>
    </w:p>
    <w:p>
      <w:pPr>
        <w:spacing w:after="0" w:line="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we own approximately 9.8% of the outstanding common stock of Alight. We account for our ownership of Alight under the equity method of accounting; therefore, its results do not consolidate into ours.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20, 2024, Alight entered into a definitive agreement to sell the Payroll &amp; Professional Services Business. The transaction closed on July 12, 2024. Beginning with the quarter ended March 31, 2024, Alight began accounting for the assets and liabilities of the Payroll &amp; Professional Services Business as “held for sale” and its operating results as discontinued operations. Accordingly, Alight's results presented for the periods ended September 30, 2023 have been retrospectively revised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reflect the Payroll &amp; Professional Services Business as discontinued operations.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Summarized statement of operations information for Alight for the relevant dates and time periods included in Equity in earnings (losses) of unconsolidated affiliates in our Condensed Consolidated Statements of Operations is presented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30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540" w:type="dxa"/>
            <w:vAlign w:val="bottom"/>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3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1,652.0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523.0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 from discontinued operations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Alight</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bl>
    <w:p>
      <w:pPr>
        <w:spacing w:after="0" w:line="179" w:lineRule="exact"/>
        <w:rPr>
          <w:sz w:val="20"/>
          <w:szCs w:val="20"/>
          <w:color w:val="auto"/>
        </w:rPr>
      </w:pPr>
    </w:p>
    <w:p>
      <w:pPr>
        <w:ind w:right="1880" w:firstLine="324"/>
        <w:spacing w:after="0" w:line="367" w:lineRule="auto"/>
        <w:rPr>
          <w:sz w:val="20"/>
          <w:szCs w:val="20"/>
          <w:color w:val="auto"/>
        </w:rPr>
      </w:pPr>
      <w:r>
        <w:rPr>
          <w:rFonts w:ascii="Times New Roman" w:cs="Times New Roman" w:eastAsia="Times New Roman" w:hAnsi="Times New Roman"/>
          <w:sz w:val="18"/>
          <w:szCs w:val="18"/>
          <w:color w:val="auto"/>
        </w:rPr>
        <w:t xml:space="preserve">Details relating to the results of operations of Alight (NYSE: "ALIT") can be found in its periodic reports filed with the SEC. </w:t>
      </w:r>
      <w:r>
        <w:rPr>
          <w:rFonts w:ascii="Times New Roman" w:cs="Times New Roman" w:eastAsia="Times New Roman" w:hAnsi="Times New Roman"/>
          <w:sz w:val="18"/>
          <w:szCs w:val="18"/>
          <w:b w:val="1"/>
          <w:bCs w:val="1"/>
          <w:i w:val="1"/>
          <w:iCs w:val="1"/>
          <w:color w:val="auto"/>
        </w:rPr>
        <w:t>Black Knight Football</w:t>
      </w:r>
    </w:p>
    <w:p>
      <w:pPr>
        <w:spacing w:after="0" w:line="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2024, we own approximately 45.5% of the ownership interest of Black Knight Football. We account for our ownership of BKFC under the equity method of accounting and report our equity in the earnings or loss of BKFC on a three-month lag; therefore, its results do not consolidate into ours. Accordingly, our net loss for the three and nine months ended September 30, 2024 includes our equity in Black Knight Football’s losses for the three and nine months ended June 30, 2024 and our net loss for the three and nine months ended September 30, 2023 includes our equity in Black Knight Football's losses for the three months ended June 30, 2023 and the period from December 13, 2022 (the date we acquired our initial interest in BKFC) through June 30, 2023, respectively.</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Summarized statement of operation information for Black Knight Football for the relevant dates and time periods included in Equity in earnings (losses) of unconsolidated affiliates in our Condensed Consolidated Statements of Operations is presented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820" w:type="dxa"/>
            <w:vAlign w:val="bottom"/>
            <w:gridSpan w:val="2"/>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80" w:type="dxa"/>
            <w:vAlign w:val="bottom"/>
          </w:tcPr>
          <w:p>
            <w:pPr>
              <w:spacing w:after="0"/>
              <w:rPr>
                <w:sz w:val="13"/>
                <w:szCs w:val="13"/>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period from December</w:t>
            </w:r>
          </w:p>
        </w:tc>
      </w:tr>
      <w:tr>
        <w:trPr>
          <w:trHeight w:val="195"/>
        </w:trPr>
        <w:tc>
          <w:tcPr>
            <w:tcW w:w="3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13, 2022 through June 30, 2023</w:t>
            </w:r>
          </w:p>
        </w:tc>
      </w:tr>
      <w:tr>
        <w:trPr>
          <w:trHeight w:val="195"/>
        </w:trPr>
        <w:tc>
          <w:tcPr>
            <w:tcW w:w="3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4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77.8</w:t>
            </w:r>
          </w:p>
        </w:tc>
        <w:tc>
          <w:tcPr>
            <w:tcW w:w="4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179.9</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20" w:type="dxa"/>
            <w:vAlign w:val="bottom"/>
          </w:tcPr>
          <w:p>
            <w:pPr>
              <w:spacing w:after="0"/>
              <w:rPr>
                <w:sz w:val="19"/>
                <w:szCs w:val="19"/>
                <w:color w:val="auto"/>
              </w:rPr>
            </w:pPr>
          </w:p>
        </w:tc>
        <w:tc>
          <w:tcPr>
            <w:tcW w:w="14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of unconsolidated affiliates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BKFC</w:t>
            </w: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20" w:type="dxa"/>
            <w:vAlign w:val="bottom"/>
          </w:tcPr>
          <w:p>
            <w:pPr>
              <w:spacing w:after="0"/>
              <w:rPr>
                <w:sz w:val="20"/>
                <w:szCs w:val="20"/>
                <w:color w:val="auto"/>
              </w:rPr>
            </w:pPr>
          </w:p>
        </w:tc>
        <w:tc>
          <w:tcPr>
            <w:tcW w:w="14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8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bl>
    <w:p>
      <w:pPr>
        <w:spacing w:after="0" w:line="179"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Black Knight Football's total revenue is primarily attributable to Premier League media rights revenue earned by AFCB and matchday and sponsorship revenue. Total revenues for Black Knight Football increased $9.8 million, or 14.4%, in the three months ended June 30, 2024, compared to the corresponding period in 2023. The increase in revenue was primarily attributable to an increase in matchday and sponsorship revenue. Total revenues for Black Knight Football increased $66.0 million, or 57.9%, in the nine months ended June 30, 2024, compared to the corresponding period in 2023. The increase in revenue was primarily attributable to the fact that the period in 2023 was shorter due to the date we acquired our initial interest in BKFC along with an increase in matchday and sponsorship revenue. Personnel costs for BKFC increased $13.0 million, or 35.3%, in the three months ended June 30, 2024. The increase in these costs was attributable to the acquisition of new players at AFC Bournemouth. Personnel costs for BKFC increased $58.9 million, or 76.1%, in the nine months ended June 30, 2024 compared to the corresponding period in 2023. The increase was attributable to the acquisition of new players at AFC Bournemouth and the fact that the period in 2023 was shorter due to the date we acquired our initial interest in BKFC (December 13, 2022). Net loss in the three and nine months ended June 30, 2024 was further impacted by an impairment charge of $12.0 million to BKFC's investment in FC Lorient resulting from the club's relegation to Ligue 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Corporate and Other segment consists of our share in the operations of certain controlled businesses and other equity ownership interests, activity of the corporate holding company and certain intercompany eliminations and taxes.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non-reportable Corporate and other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9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46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5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5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revenue</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Personnel costs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23"/>
        </w:trPr>
        <w:tc>
          <w:tcPr>
            <w:tcW w:w="5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3"/>
        </w:trPr>
        <w:tc>
          <w:tcPr>
            <w:tcW w:w="55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Operating loss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0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investment and other income</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5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gains (losses), net</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23"/>
        </w:trPr>
        <w:tc>
          <w:tcPr>
            <w:tcW w:w="5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 and equity in losses of unconsolidated affiliates</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1"/>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September 30, 2024</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decreased $5.0 million in the three months ended September 30, 2024 compared to the prior year period. The change in the three-month period was primarily attributable to decreased fees paid to Trasimene, partially offset by an increase in professional fees.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Recognized gains (losses), net in our Corporate and Other segment consists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8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r>
      <w:tr>
        <w:trPr>
          <w:trHeight w:val="190"/>
        </w:trPr>
        <w:tc>
          <w:tcPr>
            <w:tcW w:w="7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6"/>
                <w:szCs w:val="16"/>
                <w:color w:val="auto"/>
              </w:rPr>
            </w:pPr>
          </w:p>
        </w:tc>
      </w:tr>
      <w:tr>
        <w:trPr>
          <w:trHeight w:val="242"/>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Dayforce fair value adjustments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Paysafe fair value adjustments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Sightline impairment</w:t>
            </w:r>
          </w:p>
        </w:tc>
        <w:tc>
          <w:tcPr>
            <w:tcW w:w="1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System1 impairment</w:t>
            </w: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fair value adjustments</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Recognized gains (losses), net</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0"/>
        </w:trPr>
        <w:tc>
          <w:tcPr>
            <w:tcW w:w="7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2024</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Personnel costs increased $20.8 million in the nine months ended September 30, 2024, compared to the corresponding period in 2023. The change in personnel costs was primarily driven by a $12.8 million increase in stock-based compensation cost and a $5.7 million increase in success bonuses paid related to our sales of shares of Dayforce.</w:t>
      </w:r>
    </w:p>
    <w:p>
      <w:pPr>
        <w:spacing w:after="0" w:line="6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increased $6.9 million in the nine months ended September 30, 2024 compared to the prior year period. The increase in the nine month period was primarily driven by increased professional fees associated with 2024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Recognized (losses) gains, net in our Corporate and Other segment consists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Dayforce fair value adjustments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Paysafe fair value adjustments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Sightline impairment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System1 impairment</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fair value adjustments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Dun &amp; Bradstreet dilution and partial sales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 dilution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(losses) gains,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short and long term cash requirements include management fees, personnel costs, other operating expenses, taxes,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interest and principal on our debt, capital expenditures, dividends on our common stock, and other potential business acquisitions or investments, including the Watkins Acquisition. On November 7, 2024, our Board declared cash dividends of $0.12 per share, payable on December 31, 2024, to Cannae common shareholders of record as of December 17, 2024. There are no restrictions on our retained earnings regarding our ability to pay dividends to stockholders. The declaration of any future dividends is at the discretion of our Board. Additional uses of cash flow over the short and long term are expected to include stock repurchases and debt repayments.</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we had cash and cash equivalents of $160.7 million, of which $146.5 million was cash held by the corporate holding company, $8.9 million of short-term investments held by the corporate holding company, and $49.0 million of immediate capacity under our existing holding company credit facilities with the ability to add an additional $350.0 million of borrowing capacity by amending our 2020 Margin Facility. As of September 30, 2024, we have pledged $7.0 million of our short term investments as collateral for letters of credit for our Restaurant Group.</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continually assess our capital allocation strategy, including decisions relating to monetizing investments,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focused on evaluating our assets and ownership interests as potential vehicles for creating liquidity. Our intent is to use that liquidity for general corporate purposes, including future acquisitions, potentially reducing debt, repurchasing shares of our stock, paying dividends on our stock, other strategic initiatives and/or conserving cash.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2024</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Operating Cash Flow</w:t>
      </w:r>
      <w:r>
        <w:rPr>
          <w:rFonts w:ascii="Times New Roman" w:cs="Times New Roman" w:eastAsia="Times New Roman" w:hAnsi="Times New Roman"/>
          <w:sz w:val="18"/>
          <w:szCs w:val="18"/>
          <w:color w:val="auto"/>
        </w:rPr>
        <w:t>. Our cash flows used in operations for the nine months ended September 30, 2024 and 2023 totaled $78.1 million and $54.5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increase in cash used in operations of $23.6 million is primarily attributable to increased investment success bonuses paid related to sales of Dayforce and professional fees and termination fees associated with the Third Amended MSA.</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Our cash flows provided by (used in) investing activities for the nine months ended September 30, 2024 and 2023 were $307.1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$(33.6) million, respectively. The increase in cash provided by investing activities of $340.7 million in the 2024 period from the 2023 period is primarily attributable to higher proceeds from sales of investments and a decrease in new investments made in the 2024 period compared to the 2023 period.</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Our cash flows used in financing activities for the nine months ended September 30, 2024 and 2023 were $174.5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$101.5 million, respectively. The increase in cash used in financing activities of $73.0 million is primarily attributable to the Tender Offer, partial repayment of the FNF Note and dividends paid in the nine months ended September 30, 2024, partially offset by a net increase in debt borrowings in the nine months ended September 30, 2024 and treasury repurchases in the nine months ended September 30, 2023.</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Arrangements. </w:t>
      </w:r>
      <w:r>
        <w:rPr>
          <w:rFonts w:ascii="Times New Roman" w:cs="Times New Roman" w:eastAsia="Times New Roman" w:hAnsi="Times New Roman"/>
          <w:sz w:val="18"/>
          <w:szCs w:val="18"/>
          <w:color w:val="auto"/>
        </w:rPr>
        <w:t>For a description of our financing arrangements, see Note G -</w:t>
      </w:r>
      <w:r>
        <w:rPr>
          <w:rFonts w:ascii="Times New Roman" w:cs="Times New Roman" w:eastAsia="Times New Roman" w:hAnsi="Times New Roman"/>
          <w:sz w:val="18"/>
          <w:szCs w:val="18"/>
          <w:i w:val="1"/>
          <w:iCs w:val="1"/>
          <w:color w:val="auto"/>
        </w:rPr>
        <w:t xml:space="preserve"> Notes Payable </w:t>
      </w:r>
      <w:r>
        <w:rPr>
          <w:rFonts w:ascii="Times New Roman" w:cs="Times New Roman" w:eastAsia="Times New Roman" w:hAnsi="Times New Roman"/>
          <w:sz w:val="18"/>
          <w:szCs w:val="18"/>
          <w:color w:val="auto"/>
        </w:rPr>
        <w:t>included in Item 1 of Part I of this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which is incorporated by reference into this Item 2 of Part I.</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There have been no material changes to the seasonality experienced in our businesses from those described for the period as of and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2023 included in our Annual Report.</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Our long-term contractual obligations generally include our credit agreements and other debt facilities, lease payments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obligations on certain of our premises and equipment, purchase obligations of the Restaurant Group and payments to our Manager.</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Operating lease payments include the expected future rent payments of the Company and its operating subsidiaries, primarily for the Restaurant Group.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operating leases are accounted for pursuant to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September 30, 2024 to determine the amount of these obligations.</w:t>
      </w:r>
    </w:p>
    <w:p>
      <w:pPr>
        <w:spacing w:after="0" w:line="81"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On February 26, 2024, the Company, Cannae LLC and Trasimene entered into the Third Amended MSA. The Third Amended MSA amends the management services agreement primarily to (i) provide for a termination of the agreement by the Company effective June 30, 2027, (ii) reduce the management fee to a fixed amount of $7.6 million annually effective beginning July 2, 2024 and (iii) provide for payment of the termination fee under the agreement of $20 million to be paid by the Company to Trasimene in installments of $6.7 million annually over the three-year period ended July 1, 2026. The Third Amended MSA has a termination date of June 30, 2027 unless earlier terminated by the Company or Trasimene.</w:t>
      </w:r>
    </w:p>
    <w:p>
      <w:pPr>
        <w:spacing w:after="0" w:line="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Restaurant Group financing obligations include its agreements to lease its corporate office and certain restaurant equipment, which are accounted for as failed sale and leaseback transactions.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2024, our required future payments relating to these contractual obligations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payments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payable to Manager</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Restaurant Group financing obligations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Capital Stock Transactions</w:t>
      </w:r>
      <w:r>
        <w:rPr>
          <w:rFonts w:ascii="Times New Roman" w:cs="Times New Roman" w:eastAsia="Times New Roman" w:hAnsi="Times New Roman"/>
          <w:sz w:val="18"/>
          <w:szCs w:val="18"/>
          <w:color w:val="auto"/>
        </w:rPr>
        <w:t>. On August 3, 2022, our Board authorized a three-year stock repurchase program (the "2022 Repurchase Program"),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Company may repurchase up to 10.0 million shares of its common stock. Purchases may be made from time to time in the open market at prevailing prices or in privately negotiated transactions through August 3, 2025. The repurchase program does not obligate the Company to acquire any specific number of shares and may be suspended or terminated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did not repurchase any shares of Cannae common stock pursuant to the 2022 Repurchase Program during the three months ended September 30, 2024. Since the original commencement of the 2022 Repurchase Program through market close on September 30, 2024, we have repurchased a total of 7,704,537 shares of Cannae common stock for approximately $151.0 million in the aggregate, or an average of $19.59 per share. As of the date of this Quarterly Report, there are 2,295,463 shares available for repurchase under the 2022 Repurchase Program.</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29, 2023, our Board authorized a new stock repurchase program, (the "2023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2023 Repurchase Program does not supersede or impact the repurchase capacity under the 2022 Repurchase Program. We have not made any purchases under the 2023 Repurchase Program. As of the date of this Quarterly Report, there are 10.0 million shares available for repurchase under the 2023 Repurchase Program.</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21, 2024, we issued 1.85 million shares of common stock of the Company from the Company’s treasury and paid $18.3 million in cash, in the aggregate, to certain partners of JANA Partners Capital, LLC and JANA Partners Management, LP (together, "JANA") in exchange for a 19.99% equity interest in JANA.</w:t>
      </w:r>
    </w:p>
    <w:p>
      <w:pPr>
        <w:spacing w:after="0" w:line="6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February 21, 2024, we announced a tender offer to purchase up to $200 million of shares of our common stock at a purchase price of not less than $20.75 per share and not greater than $23.75 per share (the "Tender Offer"). We conducted the Tender Offer through a procedure commonly referred to as a "modified Dutch auction." This procedure allows shareholders to select the price within a price range specified by us at which the shareholders are willing to sell their shares.</w:t>
      </w:r>
    </w:p>
    <w:p>
      <w:pPr>
        <w:spacing w:after="0" w:line="6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April 1, 2024, the Tender Offer expired and the Company accepted for purchase an aggregate of 9,672,540 shares of its common stock that were properly tendered and not properly withdrawn at or below a purchase price of $22.95 per share for an aggregate cost of $222.0 million, excluding fees and expenses. Included in the 9,672,540 shares of Cannae common stock we accepted for purchase in the Tender Offer are 957,943 shares that Cannae elected to purchase pursuant to its right to purchase up to an additional 2% of its outstanding common stock.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there have been no material changes in the market risks described in Part II, Item 7A "Quantitative and Qualitative Disclosures about Market Risk" in our Annual Report on Form 10-K for the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SEC’s rules and forms; and (b) accumulated and communicated to management, including our principal executive and principal financial officers, as appropriate to allow timely decisions regarding required disclosure.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2024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discussion of legal proceedings in Note H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Condensed Consolidated Financial Statements included in Item 1 of Part I of this Quarterly Report, which is incorporated by reference into this Item 1 of Part II.</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Risk Factors" included in our Annual Report on Form 10-K for the year ended December 31, 2023, which are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ind w:firstLine="324"/>
        <w:spacing w:after="0" w:line="294" w:lineRule="auto"/>
        <w:rPr>
          <w:sz w:val="20"/>
          <w:szCs w:val="20"/>
          <w:color w:val="auto"/>
        </w:rPr>
      </w:pPr>
      <w:r>
        <w:rPr>
          <w:rFonts w:ascii="Times New Roman" w:cs="Times New Roman" w:eastAsia="Times New Roman" w:hAnsi="Times New Roman"/>
          <w:sz w:val="18"/>
          <w:szCs w:val="18"/>
          <w:color w:val="auto"/>
        </w:rPr>
        <w:t>There were no unregistered sales of equity securities sold during the period covered by this Quarterly Report that were not previously included in a Current Report on Form 8-K</w:t>
      </w:r>
      <w:r>
        <w:rPr>
          <w:rFonts w:ascii="Times New Roman" w:cs="Times New Roman" w:eastAsia="Times New Roman" w:hAnsi="Times New Roman"/>
          <w:sz w:val="21"/>
          <w:szCs w:val="21"/>
          <w:color w:val="008080"/>
        </w:rPr>
        <w:t>.</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Exhibits:</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40" w:type="dxa"/>
            <w:vAlign w:val="bottom"/>
            <w:gridSpan w:val="5"/>
            <w:vMerge w:val="restart"/>
          </w:tcPr>
          <w:p>
            <w:pPr>
              <w:ind w:left="17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7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302 of the Sarbanes-Oxley Act of 2002.</w:t>
            </w:r>
          </w:p>
        </w:tc>
        <w:tc>
          <w:tcPr>
            <w:tcW w:w="23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7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26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of Periodic Financial Reports pursuant to Section 906 of the Sarbanes-Oxley Act of 2002,</w:t>
            </w: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7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18 U.S.C. Section 1350.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of Periodic Financial Reports pursuant to Section 906 of the Sarbanes-Oxley Act of 2002, 18</w:t>
            </w: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U.S.C. Section 1350.</w:t>
            </w:r>
          </w:p>
        </w:tc>
        <w:tc>
          <w:tcPr>
            <w:tcW w:w="822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101.DEF</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101.PRE</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right="3320" w:firstLine="386"/>
        <w:spacing w:after="0" w:line="323" w:lineRule="auto"/>
        <w:tabs>
          <w:tab w:leader="none" w:pos="144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 * Furnished herewith in accordance with Item 601(b)(32) of Regulation S-K.</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67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CANNAE HOLDINGS, INC.</w:t>
            </w:r>
          </w:p>
        </w:tc>
      </w:tr>
      <w:tr>
        <w:trPr>
          <w:trHeight w:val="234"/>
        </w:trPr>
        <w:tc>
          <w:tcPr>
            <w:tcW w:w="3220" w:type="dxa"/>
            <w:vAlign w:val="bottom"/>
          </w:tcPr>
          <w:p>
            <w:pPr>
              <w:spacing w:after="0"/>
              <w:rPr>
                <w:sz w:val="20"/>
                <w:szCs w:val="20"/>
                <w:color w:val="auto"/>
              </w:rPr>
            </w:pPr>
          </w:p>
        </w:tc>
        <w:tc>
          <w:tcPr>
            <w:tcW w:w="67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(registrant)</w:t>
            </w:r>
          </w:p>
        </w:tc>
      </w:tr>
      <w:tr>
        <w:trPr>
          <w:trHeight w:val="414"/>
        </w:trPr>
        <w:tc>
          <w:tcPr>
            <w:tcW w:w="3220" w:type="dxa"/>
            <w:vAlign w:val="bottom"/>
          </w:tcPr>
          <w:p>
            <w:pPr>
              <w:spacing w:after="0"/>
              <w:rPr>
                <w:sz w:val="24"/>
                <w:szCs w:val="24"/>
                <w:color w:val="auto"/>
              </w:rPr>
            </w:pPr>
          </w:p>
        </w:tc>
        <w:tc>
          <w:tcPr>
            <w:tcW w:w="67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Bryan D. Coy</w:t>
            </w:r>
          </w:p>
        </w:tc>
      </w:tr>
      <w:tr>
        <w:trPr>
          <w:trHeight w:val="218"/>
        </w:trPr>
        <w:tc>
          <w:tcPr>
            <w:tcW w:w="3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Bryan D. Coy</w:t>
            </w:r>
          </w:p>
        </w:tc>
      </w:tr>
      <w:tr>
        <w:trPr>
          <w:trHeight w:val="180"/>
        </w:trPr>
        <w:tc>
          <w:tcPr>
            <w:tcW w:w="3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86"/>
        </w:trPr>
        <w:tc>
          <w:tcPr>
            <w:tcW w:w="3220" w:type="dxa"/>
            <w:vAlign w:val="bottom"/>
          </w:tcPr>
          <w:p>
            <w:pPr>
              <w:spacing w:after="0"/>
              <w:rPr>
                <w:sz w:val="24"/>
                <w:szCs w:val="24"/>
                <w:color w:val="auto"/>
              </w:rPr>
            </w:pPr>
          </w:p>
        </w:tc>
        <w:tc>
          <w:tcPr>
            <w:tcW w:w="6700" w:type="dxa"/>
            <w:vAlign w:val="bottom"/>
            <w:gridSpan w:val="2"/>
          </w:tcPr>
          <w:p>
            <w:pPr>
              <w:jc w:val="right"/>
              <w:ind w:right="4570"/>
              <w:spacing w:after="0"/>
              <w:rPr>
                <w:sz w:val="20"/>
                <w:szCs w:val="20"/>
                <w:color w:val="auto"/>
              </w:rPr>
            </w:pPr>
            <w:r>
              <w:rPr>
                <w:rFonts w:ascii="Times New Roman" w:cs="Times New Roman" w:eastAsia="Times New Roman" w:hAnsi="Times New Roman"/>
                <w:sz w:val="18"/>
                <w:szCs w:val="18"/>
                <w:color w:val="auto"/>
              </w:rPr>
              <w:t>35</w:t>
            </w:r>
          </w:p>
        </w:tc>
      </w:tr>
    </w:tbl>
    <w:p>
      <w:pPr>
        <w:sectPr>
          <w:pgSz w:w="11900" w:h="16838" w:orient="portrait"/>
          <w:cols w:equalWidth="0" w:num="1">
            <w:col w:w="11120"/>
          </w:cols>
          <w:pgMar w:left="320" w:top="117" w:right="4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R. Caswell, certify that:</w:t>
      </w:r>
    </w:p>
    <w:p>
      <w:pPr>
        <w:spacing w:after="0" w:line="171"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Cannae Holdings,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966"/>
        <w:spacing w:after="0" w:line="282" w:lineRule="auto"/>
        <w:tabs>
          <w:tab w:leader="none" w:pos="14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hanging="966"/>
        <w:spacing w:after="0" w:line="282" w:lineRule="auto"/>
        <w:tabs>
          <w:tab w:leader="none" w:pos="14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966"/>
        <w:spacing w:after="0" w:line="282" w:lineRule="auto"/>
        <w:tabs>
          <w:tab w:leader="none" w:pos="14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4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18415</wp:posOffset>
            </wp:positionV>
            <wp:extent cx="3488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Ryan R. Caswell</w:t>
      </w:r>
    </w:p>
    <w:p>
      <w:pPr>
        <w:ind w:left="1140"/>
        <w:spacing w:after="0"/>
        <w:rPr>
          <w:sz w:val="20"/>
          <w:szCs w:val="20"/>
          <w:color w:val="auto"/>
        </w:rPr>
      </w:pPr>
      <w:r>
        <w:rPr>
          <w:rFonts w:ascii="Times New Roman" w:cs="Times New Roman" w:eastAsia="Times New Roman" w:hAnsi="Times New Roman"/>
          <w:sz w:val="18"/>
          <w:szCs w:val="18"/>
          <w:color w:val="auto"/>
        </w:rPr>
        <w:t>President and Principal Executive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D. Coy, certify that:</w:t>
      </w:r>
    </w:p>
    <w:p>
      <w:pPr>
        <w:spacing w:after="0" w:line="171"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Cannae Holdings,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966"/>
        <w:spacing w:after="0" w:line="282" w:lineRule="auto"/>
        <w:tabs>
          <w:tab w:leader="none" w:pos="14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hanging="966"/>
        <w:spacing w:after="0" w:line="282" w:lineRule="auto"/>
        <w:tabs>
          <w:tab w:leader="none" w:pos="14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966"/>
        <w:spacing w:after="0" w:line="282" w:lineRule="auto"/>
        <w:tabs>
          <w:tab w:leader="none" w:pos="14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10"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18415</wp:posOffset>
            </wp:positionV>
            <wp:extent cx="33089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Bryan D. Coy</w:t>
      </w:r>
    </w:p>
    <w:p>
      <w:pPr>
        <w:ind w:left="114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56" w:lineRule="exact"/>
        <w:rPr>
          <w:sz w:val="20"/>
          <w:szCs w:val="20"/>
          <w:color w:val="auto"/>
        </w:rPr>
      </w:pPr>
    </w:p>
    <w:p>
      <w:pPr>
        <w:ind w:right="20" w:firstLine="245"/>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Principal Executive Officer of Cannae Holdings, Inc., a Delaware corporation (the “Company”), and hereby further certifies as follows.</w:t>
      </w:r>
    </w:p>
    <w:p>
      <w:pPr>
        <w:spacing w:after="0" w:line="162" w:lineRule="exact"/>
        <w:rPr>
          <w:sz w:val="20"/>
          <w:szCs w:val="20"/>
          <w:color w:val="auto"/>
        </w:rPr>
      </w:pPr>
    </w:p>
    <w:p>
      <w:pPr>
        <w:ind w:left="900" w:hanging="892"/>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88"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64"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18415</wp:posOffset>
            </wp:positionV>
            <wp:extent cx="33343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Ryan R. Caswell</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President and Principal Executive Officer</w:t>
      </w:r>
    </w:p>
    <w:p>
      <w:pPr>
        <w:sectPr>
          <w:pgSz w:w="11900" w:h="16838" w:orient="portrait"/>
          <w:cols w:equalWidth="0" w:num="1">
            <w:col w:w="11240"/>
          </w:cols>
          <w:pgMar w:left="320" w:top="113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175" w:lineRule="exact"/>
        <w:rPr>
          <w:sz w:val="20"/>
          <w:szCs w:val="20"/>
          <w:color w:val="auto"/>
        </w:rPr>
      </w:pPr>
    </w:p>
    <w:p>
      <w:pPr>
        <w:ind w:right="20" w:firstLine="239"/>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Cannae Holdings, Inc., a Delaware corporation (the “Company”), and hereby further certifies as follows.</w:t>
      </w:r>
    </w:p>
    <w:p>
      <w:pPr>
        <w:spacing w:after="0" w:line="162" w:lineRule="exact"/>
        <w:rPr>
          <w:sz w:val="20"/>
          <w:szCs w:val="20"/>
          <w:color w:val="auto"/>
        </w:rPr>
      </w:pPr>
    </w:p>
    <w:p>
      <w:pPr>
        <w:ind w:left="900" w:hanging="892"/>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88"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64"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18415</wp:posOffset>
            </wp:positionV>
            <wp:extent cx="33261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Bryan D. Coy</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2"/>
      <w:numFmt w:val="decimal"/>
      <w:start w:val="104"/>
    </w:lvl>
  </w:abstractNum>
  <w:abstractNum w:abstractNumId="7">
    <w:nsid w:val="4DB127F8"/>
    <w:multiLevelType w:val="hybridMultilevel"/>
    <w:lvl w:ilvl="0">
      <w:lvlJc w:val="left"/>
      <w:lvlText w:val="**"/>
      <w:numFmt w:val="bullet"/>
      <w:start w:val="1"/>
    </w:lvl>
    <w:lvl w:ilvl="1">
      <w:lvlJc w:val="left"/>
      <w:lvlText w:val="%2"/>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2024-11-12T16:27:53Z</dcterms:created>
  <dcterms:modified xsi:type="dcterms:W3CDTF">2024-11-12T16:27:53Z</dcterms:modified>
</cp:coreProperties>
</file>