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1-38300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CANNAE HOLDINGS, INC.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______________________________________________________________________________________________________________________________________________________</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555" w:type="dxa"/>
        <w:jc w:val="center"/>
        <w:tblInd w:w="0" w:type="dxa"/>
        <w:tblLayout w:type="fixed"/>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2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82-1273460</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1701 Village Center Circle,</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89134</w:t>
            </w:r>
          </w:p>
        </w:tc>
      </w:tr>
      <w:tr>
        <w:trPr/>
        <w:tc>
          <w:tcPr>
            <w:tcW w:w="52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323-7330 </w:t>
      </w:r>
    </w:p>
    <w:p>
      <w:pPr>
        <w:pStyle w:val="TextBody"/>
        <w:bidi w:val="0"/>
        <w:spacing w:lineRule="auto" w:line="288" w:before="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w:t>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20" w:after="283"/>
        <w:jc w:val="center"/>
        <w:rPr/>
      </w:pPr>
      <w:r>
        <w:rPr/>
      </w:r>
    </w:p>
    <w:p>
      <w:pPr>
        <w:pStyle w:val="TextBody"/>
        <w:bidi w:val="0"/>
        <w:spacing w:lineRule="auto" w:line="288" w:before="0" w:after="12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052" w:type="dxa"/>
        <w:jc w:val="left"/>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627"/>
        <w:gridCol w:w="551"/>
        <w:gridCol w:w="555"/>
        <w:gridCol w:w="109"/>
        <w:gridCol w:w="109"/>
        <w:gridCol w:w="109"/>
        <w:gridCol w:w="442"/>
        <w:gridCol w:w="442"/>
        <w:gridCol w:w="444"/>
        <w:gridCol w:w="109"/>
        <w:gridCol w:w="109"/>
        <w:gridCol w:w="109"/>
        <w:gridCol w:w="562"/>
        <w:gridCol w:w="562"/>
        <w:gridCol w:w="564"/>
        <w:gridCol w:w="109"/>
        <w:gridCol w:w="109"/>
        <w:gridCol w:w="109"/>
        <w:gridCol w:w="625"/>
        <w:gridCol w:w="625"/>
        <w:gridCol w:w="628"/>
        <w:gridCol w:w="109"/>
        <w:gridCol w:w="109"/>
        <w:gridCol w:w="109"/>
        <w:gridCol w:w="630"/>
        <w:gridCol w:w="630"/>
        <w:gridCol w:w="632"/>
        <w:gridCol w:w="109"/>
        <w:gridCol w:w="109"/>
        <w:gridCol w:w="16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there were 70,711,974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SEPTEMBER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0"/>
        <w:gridCol w:w="3088"/>
        <w:gridCol w:w="3095"/>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3">
              <w:r>
                <w:rPr>
                  <w:rStyle w:val="InternetLink"/>
                  <w:rFonts w:ascii="Times New Roman;sans-serif" w:hAnsi="Times New Roman;sans-serif"/>
                  <w:b w:val="false"/>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6">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9">
              <w:r>
                <w:rPr>
                  <w:rStyle w:val="InternetLink"/>
                  <w:rFonts w:ascii="Times New Roman;sans-serif" w:hAnsi="Times New Roman;sans-serif"/>
                  <w:b w:val="false"/>
                  <w:color w:val="000080"/>
                  <w:sz w:val="20"/>
                  <w:u w:val="single"/>
                </w:rPr>
                <w:t xml:space="preserve">A. </w:t>
              </w:r>
            </w:hyperlink>
            <w:hyperlink w:anchor="ie7ca93e23cb240cd89e2a2ea9219ca3e_19">
              <w:r>
                <w:rPr>
                  <w:rStyle w:val="InternetLink"/>
                  <w:rFonts w:ascii="Times New Roman;sans-serif" w:hAnsi="Times New Roman;sans-serif"/>
                  <w:b w:val="false"/>
                  <w:color w:val="000080"/>
                  <w:sz w:val="20"/>
                  <w:u w:val="single"/>
                </w:rPr>
                <w:t>Condensed Consolidated Balance Sheets as of September 30,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9">
              <w:r>
                <w:rPr>
                  <w:rStyle w:val="InternetLink"/>
                  <w:rFonts w:ascii="Times New Roman;sans-serif" w:hAnsi="Times New Roman;sans-serif"/>
                  <w:b w:val="false"/>
                  <w:color w:val="0000FF"/>
                  <w:sz w:val="20"/>
                  <w:u w:val="single"/>
                </w:rPr>
                <w:t>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22">
              <w:r>
                <w:rPr>
                  <w:rStyle w:val="InternetLink"/>
                  <w:rFonts w:ascii="Times New Roman;sans-serif" w:hAnsi="Times New Roman;sans-serif"/>
                  <w:b w:val="false"/>
                  <w:color w:val="0000FF"/>
                  <w:sz w:val="20"/>
                  <w:u w:val="single"/>
                </w:rPr>
                <w:t>B. Condensed Consolidated Statements of Operations for the three and nine-month periods ended September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22">
              <w:r>
                <w:rPr>
                  <w:rStyle w:val="InternetLink"/>
                  <w:rFonts w:ascii="Times New Roman;sans-serif" w:hAnsi="Times New Roman;sans-serif"/>
                  <w:b w:val="false"/>
                  <w:color w:val="0000FF"/>
                  <w:sz w:val="20"/>
                  <w:u w:val="single"/>
                </w:rPr>
                <w:t>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25">
              <w:r>
                <w:rPr>
                  <w:rStyle w:val="InternetLink"/>
                  <w:rFonts w:ascii="Times New Roman;sans-serif" w:hAnsi="Times New Roman;sans-serif"/>
                  <w:b w:val="false"/>
                  <w:color w:val="0000FF"/>
                  <w:sz w:val="20"/>
                  <w:u w:val="single"/>
                </w:rPr>
                <w:t>C. Condensed Consolidated Statements of Comprehensive (Loss) Earnings for the three and nine-month periods ended September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25">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28">
              <w:r>
                <w:rPr>
                  <w:rStyle w:val="InternetLink"/>
                  <w:rFonts w:ascii="Times New Roman;sans-serif" w:hAnsi="Times New Roman;sans-serif"/>
                  <w:b w:val="false"/>
                  <w:color w:val="0000FF"/>
                  <w:sz w:val="20"/>
                  <w:u w:val="single"/>
                </w:rPr>
                <w:t>D. Condensed Consolidated Statements of Equity for the three and nine-month periods ended September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28">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34">
              <w:r>
                <w:rPr>
                  <w:rStyle w:val="InternetLink"/>
                  <w:rFonts w:ascii="Times New Roman;sans-serif" w:hAnsi="Times New Roman;sans-serif"/>
                  <w:b w:val="false"/>
                  <w:color w:val="0000FF"/>
                  <w:sz w:val="20"/>
                  <w:u w:val="single"/>
                </w:rPr>
                <w:t>E. Condensed Consolidated Statements of Cash Flows for the nine-month periods ended September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34">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37">
              <w:r>
                <w:rPr>
                  <w:rStyle w:val="InternetLink"/>
                  <w:rFonts w:ascii="Times New Roman;sans-serif" w:hAnsi="Times New Roman;sans-serif"/>
                  <w:b w:val="false"/>
                  <w:color w:val="0000FF"/>
                  <w:sz w:val="20"/>
                  <w:u w:val="single"/>
                </w:rPr>
                <w:t xml:space="preserve">F. Notes to Condensed Consolidated Financial Statements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40">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2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24">
              <w:r>
                <w:rPr>
                  <w:rStyle w:val="InternetLink"/>
                  <w:rFonts w:ascii="Times New Roman;sans-serif" w:hAnsi="Times New Roman;sans-serif"/>
                  <w:b w:val="false"/>
                  <w:color w:val="0000FF"/>
                  <w:sz w:val="20"/>
                  <w:u w:val="single"/>
                </w:rPr>
                <w:t>21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69">
              <w:r>
                <w:rPr>
                  <w:rStyle w:val="InternetLink"/>
                  <w:rFonts w:ascii="Times New Roman;sans-serif" w:hAnsi="Times New Roman;sans-serif"/>
                  <w:b w:val="false"/>
                  <w:color w:val="0000FF"/>
                  <w:sz w:val="20"/>
                  <w:u w:val="single"/>
                </w:rPr>
                <w:t>Item 3. Quantitative and Qualitative Disclosure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69">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72">
              <w:r>
                <w:rPr>
                  <w:rStyle w:val="InternetLink"/>
                  <w:rFonts w:ascii="Times New Roman;sans-serif" w:hAnsi="Times New Roman;sans-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72">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75">
              <w:r>
                <w:rPr>
                  <w:rStyle w:val="InternetLink"/>
                  <w:rFonts w:ascii="Times New Roman;sans-serif" w:hAnsi="Times New Roman;sans-serif"/>
                  <w:b w:val="false"/>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78">
              <w:r>
                <w:rPr>
                  <w:rStyle w:val="InternetLink"/>
                  <w:rFonts w:ascii="Times New Roman;sans-serif" w:hAnsi="Times New Roman;sans-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78">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81">
              <w:r>
                <w:rPr>
                  <w:rStyle w:val="InternetLink"/>
                  <w:rFonts w:ascii="Times New Roman;sans-serif" w:hAnsi="Times New Roman;sans-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81">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84">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84">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90">
              <w:r>
                <w:rPr>
                  <w:rStyle w:val="InternetLink"/>
                  <w:rFonts w:ascii="Times New Roman;sans-serif" w:hAnsi="Times New Roman;sans-serif"/>
                  <w:b w:val="false"/>
                  <w:color w:val="000080"/>
                  <w:sz w:val="20"/>
                  <w:u w:val="single"/>
                </w:rPr>
                <w:t>Item 3. D</w:t>
              </w:r>
            </w:hyperlink>
            <w:r>
              <w:rPr>
                <w:rFonts w:ascii="Times New Roman;sans-serif" w:hAnsi="Times New Roman;sans-serif"/>
                <w:b w:val="false"/>
                <w:color w:val="0000FF"/>
                <w:sz w:val="20"/>
                <w:u w:val="single"/>
              </w:rPr>
              <w:t>efaults Upon Senior Securities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90">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472">
              <w:r>
                <w:rPr>
                  <w:rStyle w:val="InternetLink"/>
                  <w:rFonts w:ascii="Times New Roman;sans-serif" w:hAnsi="Times New Roman;sans-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472">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93">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93">
              <w:r>
                <w:rPr>
                  <w:rStyle w:val="InternetLink"/>
                  <w:rFonts w:ascii="Times New Roman;sans-serif" w:hAnsi="Times New Roman;sans-serif"/>
                  <w:b w:val="false"/>
                  <w:color w:val="0000FF"/>
                  <w:sz w:val="20"/>
                  <w:u w:val="singl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ca93e23cb240cd89e2a2ea9219ca3e_196">
              <w:r>
                <w:rPr>
                  <w:rStyle w:val="InternetLink"/>
                  <w:rFonts w:ascii="Times New Roman;sans-serif" w:hAnsi="Times New Roman;sans-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ca93e23cb240cd89e2a2ea9219ca3e_196">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CANNAE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12"/>
        <w:gridCol w:w="2398"/>
        <w:gridCol w:w="2363"/>
        <w:gridCol w:w="203"/>
        <w:gridCol w:w="718"/>
        <w:gridCol w:w="113"/>
        <w:gridCol w:w="109"/>
        <w:gridCol w:w="109"/>
        <w:gridCol w:w="109"/>
        <w:gridCol w:w="200"/>
        <w:gridCol w:w="709"/>
        <w:gridCol w:w="162"/>
      </w:tblGrid>
      <w:tr>
        <w:trPr/>
        <w:tc>
          <w:tcPr>
            <w:tcW w:w="301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at fair value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assets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investments and non-current assets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current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long-term</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long-term</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 long-term</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 see Note H</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Cannae common stock, 0.0001 par value; authorized 115,000,000 shares as of September 30, 2023 and December 31, 2022; issued of 92,841,242 and 92,583,280 shares as of September 30, 2023 and December 31, 2022, respectively and outstanding of 70,761,454 and 76,254,972 shares as of September 30, 2023 and December 31, 2022, respectively</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authorized 10,000,000 shares; issued and outstanding, none as of September 30, 2023 and December 31, 2022</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Treasury stock, 22,079,788 and 16,328,308 shares as of September 30, 2023 and December 31, 2022, respectively, at cost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Cannae shareholders' equity</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20"/>
        <w:gridCol w:w="1532"/>
        <w:gridCol w:w="1546"/>
        <w:gridCol w:w="231"/>
        <w:gridCol w:w="732"/>
        <w:gridCol w:w="128"/>
        <w:gridCol w:w="128"/>
        <w:gridCol w:w="128"/>
        <w:gridCol w:w="128"/>
        <w:gridCol w:w="231"/>
        <w:gridCol w:w="658"/>
        <w:gridCol w:w="128"/>
        <w:gridCol w:w="109"/>
        <w:gridCol w:w="109"/>
        <w:gridCol w:w="109"/>
        <w:gridCol w:w="218"/>
        <w:gridCol w:w="691"/>
        <w:gridCol w:w="121"/>
        <w:gridCol w:w="121"/>
        <w:gridCol w:w="121"/>
        <w:gridCol w:w="121"/>
        <w:gridCol w:w="218"/>
        <w:gridCol w:w="691"/>
        <w:gridCol w:w="186"/>
      </w:tblGrid>
      <w:tr>
        <w:trPr/>
        <w:tc>
          <w:tcPr>
            <w:tcW w:w="182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92"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(losses) gains,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(expense) income </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before income taxes and equity in losses of unconsolidated affiliates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before equity in losses of unconsolidated affiliates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of unconsolidated affiliates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 attributable to Cannae Holdings, Inc. common shareholders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Basic</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earnings per share </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Diluted</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 per share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Weighted Average Shares Outstanding</w:t>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basic basis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Cannae Holdings common stock, diluted basis</w:t>
            </w:r>
          </w:p>
        </w:tc>
        <w:tc>
          <w:tcPr>
            <w:tcW w:w="9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42"/>
        <w:gridCol w:w="1689"/>
        <w:gridCol w:w="1569"/>
        <w:gridCol w:w="225"/>
        <w:gridCol w:w="697"/>
        <w:gridCol w:w="125"/>
        <w:gridCol w:w="125"/>
        <w:gridCol w:w="125"/>
        <w:gridCol w:w="125"/>
        <w:gridCol w:w="225"/>
        <w:gridCol w:w="537"/>
        <w:gridCol w:w="125"/>
        <w:gridCol w:w="109"/>
        <w:gridCol w:w="109"/>
        <w:gridCol w:w="109"/>
        <w:gridCol w:w="211"/>
        <w:gridCol w:w="651"/>
        <w:gridCol w:w="117"/>
        <w:gridCol w:w="117"/>
        <w:gridCol w:w="117"/>
        <w:gridCol w:w="117"/>
        <w:gridCol w:w="211"/>
        <w:gridCol w:w="651"/>
        <w:gridCol w:w="177"/>
      </w:tblGrid>
      <w:tr>
        <w:trPr/>
        <w:tc>
          <w:tcPr>
            <w:tcW w:w="194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(loss), net of tax:</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Unrealized (loss) earnings of investments in unconsolidated affiliates </w:t>
            </w:r>
            <w:r>
              <w:rPr>
                <w:rFonts w:ascii="Times New Roman;sans-serif" w:hAnsi="Times New Roman;sans-serif"/>
                <w:b w:val="false"/>
                <w:color w:val="000000"/>
                <w:sz w:val="12"/>
              </w:rPr>
              <w:t>(1)</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Reclassification adjustments for unrealized gains and losses of unconsolidated affiliates, net of tax, included in net earnings </w:t>
            </w:r>
            <w:r>
              <w:rPr>
                <w:rFonts w:ascii="Times New Roman;sans-serif" w:hAnsi="Times New Roman;sans-serif"/>
                <w:b w:val="false"/>
                <w:color w:val="000000"/>
                <w:sz w:val="12"/>
              </w:rPr>
              <w:t>(2)</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earnings</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earnings attributable to Cannae Holdings, Inc. common shareholders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(469.2)</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 xml:space="preserve">(1)Net of income tax (benefit) expense of $(0.7) million and $(2.3) million for the three months ended September 30, 2023 and 2022, respectively, and $0.5 million and $(4.3) million for the </w:t>
      </w:r>
      <w:r>
        <w:rPr>
          <w:rFonts w:ascii="Times New Roman;sans-serif" w:hAnsi="Times New Roman;sans-serif"/>
          <w:b w:val="false"/>
          <w:color w:val="000000"/>
          <w:sz w:val="20"/>
        </w:rPr>
        <w:t>nine</w:t>
      </w:r>
      <w:r>
        <w:rPr>
          <w:color w:val="000000"/>
        </w:rPr>
        <w:t xml:space="preserve"> </w:t>
      </w:r>
      <w:r>
        <w:rPr>
          <w:rFonts w:ascii="Times New Roman;sans-serif" w:hAnsi="Times New Roman;sans-serif"/>
          <w:b w:val="false"/>
          <w:color w:val="000000"/>
          <w:sz w:val="18"/>
        </w:rPr>
        <w:t xml:space="preserve">months ended September 30, 2023 and 2022, respectively. </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(2)Net of income tax expense of $0.7 million for the three and nine months ended September 30, 2022, respectively.</w:t>
      </w:r>
      <w:r>
        <w:rPr>
          <w:color w:val="000000"/>
        </w:rPr>
        <w:t>    </w:t>
      </w:r>
    </w:p>
    <w:p>
      <w:pPr>
        <w:pStyle w:val="TextBody"/>
        <w:bidi w:val="0"/>
        <w:spacing w:lineRule="auto" w:line="288" w:before="3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pStyle w:val="TextBody"/>
        <w:bidi w:val="0"/>
        <w:spacing w:before="0" w:after="0"/>
        <w:jc w:val="left"/>
        <w:rPr/>
      </w:pPr>
      <w:r>
        <w:rPr/>
      </w:r>
    </w:p>
    <w:p>
      <w:pPr>
        <w:pStyle w:val="TextBody"/>
        <w:bidi w:val="0"/>
        <w:spacing w:before="340" w:after="340"/>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1883" w:type="dxa"/>
        <w:jc w:val="center"/>
        <w:tblInd w:w="0" w:type="dxa"/>
        <w:tblLayout w:type="fixed"/>
        <w:tblCellMar>
          <w:top w:w="28" w:type="dxa"/>
          <w:left w:w="28" w:type="dxa"/>
          <w:bottom w:w="28" w:type="dxa"/>
          <w:right w:w="28" w:type="dxa"/>
        </w:tblCellMar>
      </w:tblPr>
      <w:tblGrid>
        <w:gridCol w:w="520"/>
        <w:gridCol w:w="457"/>
        <w:gridCol w:w="434"/>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265"/>
        <w:gridCol w:w="652"/>
        <w:gridCol w:w="149"/>
        <w:gridCol w:w="109"/>
        <w:gridCol w:w="109"/>
        <w:gridCol w:w="109"/>
        <w:gridCol w:w="196"/>
        <w:gridCol w:w="69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adjustments for unrealized gains and losses on unconsolidated affiliates, net of tax, included in net earnings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paid to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earnings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September 30, 2022</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June 30, 2023</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September 30, 2023</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1883" w:type="dxa"/>
        <w:jc w:val="center"/>
        <w:tblInd w:w="0" w:type="dxa"/>
        <w:tblLayout w:type="fixed"/>
        <w:tblCellMar>
          <w:top w:w="28" w:type="dxa"/>
          <w:left w:w="28" w:type="dxa"/>
          <w:bottom w:w="28" w:type="dxa"/>
          <w:right w:w="28" w:type="dxa"/>
        </w:tblCellMar>
      </w:tblPr>
      <w:tblGrid>
        <w:gridCol w:w="623"/>
        <w:gridCol w:w="548"/>
        <w:gridCol w:w="240"/>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217"/>
        <w:gridCol w:w="533"/>
        <w:gridCol w:w="121"/>
        <w:gridCol w:w="109"/>
        <w:gridCol w:w="109"/>
        <w:gridCol w:w="109"/>
        <w:gridCol w:w="233"/>
        <w:gridCol w:w="233"/>
        <w:gridCol w:w="196"/>
        <w:gridCol w:w="109"/>
        <w:gridCol w:w="109"/>
        <w:gridCol w:w="109"/>
        <w:gridCol w:w="196"/>
        <w:gridCol w:w="571"/>
        <w:gridCol w:w="109"/>
        <w:gridCol w:w="109"/>
        <w:gridCol w:w="109"/>
        <w:gridCol w:w="109"/>
        <w:gridCol w:w="265"/>
        <w:gridCol w:w="652"/>
        <w:gridCol w:w="149"/>
        <w:gridCol w:w="109"/>
        <w:gridCol w:w="109"/>
        <w:gridCol w:w="109"/>
        <w:gridCol w:w="196"/>
        <w:gridCol w:w="69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2021</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adjustments for unrealized gains and losses on unconsolidated affiliates, net of tax, included in net earnings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paid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September 30,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December 31, 2022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earnings — unrealized earnings of investments in unconsolidated affiliates,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shares withheld for taxes and in treasury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Subsidiary dividends paid to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September 30, 2023</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See Notes to Condensed Consolidated Financial Statements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96" w:type="dxa"/>
        <w:jc w:val="center"/>
        <w:tblInd w:w="0" w:type="dxa"/>
        <w:tblLayout w:type="fixed"/>
        <w:tblCellMar>
          <w:top w:w="28" w:type="dxa"/>
          <w:left w:w="28" w:type="dxa"/>
          <w:bottom w:w="28" w:type="dxa"/>
          <w:right w:w="28" w:type="dxa"/>
        </w:tblCellMar>
      </w:tblPr>
      <w:tblGrid>
        <w:gridCol w:w="2413"/>
        <w:gridCol w:w="2114"/>
        <w:gridCol w:w="2132"/>
        <w:gridCol w:w="230"/>
        <w:gridCol w:w="742"/>
        <w:gridCol w:w="128"/>
        <w:gridCol w:w="128"/>
        <w:gridCol w:w="128"/>
        <w:gridCol w:w="128"/>
        <w:gridCol w:w="230"/>
        <w:gridCol w:w="742"/>
        <w:gridCol w:w="181"/>
      </w:tblGrid>
      <w:tr>
        <w:trPr/>
        <w:tc>
          <w:tcPr>
            <w:tcW w:w="241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Equity in losses of unconsolidated affiliates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Distributions from investments in unconsolidated affiliates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Recognized losses and asset impairments, net </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Lease asset amortization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Stock-based compensation expense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Non-cash carried interest expense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deferred revenue and other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sales of Ceridian shares </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partial sale of AmeriLife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partial sale of D&amp;B shares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CorroHealth</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and equipment and other intangible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Collections of notes receivable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property and equipment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 in unconsolidated affiliates and other long term investments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System1</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investments in unconsolidated affiliates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other long term investments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investments in unconsolidated affiliates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 securities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maturity of short-term investment securities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service payments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Subsidiary distributions paid to noncontrolling interest shareholders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vested shares withheld for taxes and in treasury</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repurchases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pPr>
      <w:r>
        <w:rPr>
          <w:rFonts w:ascii="Times New Roman;sans-serif" w:hAnsi="Times New Roman;sans-serif"/>
          <w:b w:val="false"/>
          <w:color w:val="000000"/>
          <w:sz w:val="20"/>
        </w:rPr>
        <w:t>S</w:t>
      </w:r>
      <w:r>
        <w:rPr>
          <w:rFonts w:ascii="Times New Roman;sans-serif" w:hAnsi="Times New Roman;sans-serif"/>
          <w:b w:val="false"/>
          <w:color w:val="000000"/>
          <w:sz w:val="16"/>
        </w:rPr>
        <w:t xml:space="preserve">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A — Basis of Financial Statements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describes the significant accounting policies of Cannae Holdings, Inc. and its subsidiaries (collectively, "we," "us," "our,” "Cannae," "CNNE," or the "Company"), which have been followed in preparing the accompanying Condensed Consolidated Financial Statements.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September 30, 2023 include our ownership interests in Dun &amp; Bradstreet Holdings, Inc. ("Dun &amp; Bradstreet" or "D&amp;B"); Ceridian HCM Holding, Inc. ("Ceridian"); Alight, Inc. ("Alight"); Paysafe Limited ("Paysafe"); Sightline Payments Holdings, LLC ("Sightline"); System1, Inc. ("System1"); Black Knight Football and Entertainment, LP ("BKFE"); Computer Services, Inc. ("CSI"); AmeriLife Group, LLC ("AmeriLife"); O'Charley's Holdings, LLC ("O'Charley's"); 99 Restaurants Holdings, LLC ("99 Restaurants"); and various other controlled portfolio companies and minority equity ownership interests.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Note E - </w:t>
      </w:r>
      <w:r>
        <w:rPr>
          <w:rFonts w:ascii="Times New Roman;sans-serif" w:hAnsi="Times New Roman;sans-serif"/>
          <w:b w:val="false"/>
          <w:i/>
          <w:color w:val="000000"/>
          <w:sz w:val="20"/>
        </w:rPr>
        <w:t>Segment Information</w:t>
      </w:r>
      <w:r>
        <w:rPr>
          <w:color w:val="000000"/>
        </w:rPr>
        <w:t> </w:t>
      </w:r>
      <w:r>
        <w:rPr>
          <w:rFonts w:ascii="Times New Roman;sans-serif" w:hAnsi="Times New Roman;sans-serif"/>
          <w:b w:val="false"/>
          <w:color w:val="000000"/>
          <w:sz w:val="20"/>
        </w:rPr>
        <w:t>for further discussion of the businesses comprising our reportable segments.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generally accepted accounting principles in the United States ("GAAP") </w:t>
      </w:r>
      <w:r>
        <w:rPr>
          <w:rFonts w:ascii="Times New Roman;sans-serif" w:hAnsi="Times New Roman;sans-serif"/>
          <w:b w:val="false"/>
          <w:color w:val="000000"/>
          <w:sz w:val="20"/>
          <w:shd w:fill="FFFFFF" w:val="clear"/>
        </w:rPr>
        <w:t>and the instructions to Form 10-Q and Article 10 of Regulation S-X</w:t>
      </w:r>
      <w:r>
        <w:rPr>
          <w:color w:val="000000"/>
        </w:rPr>
        <w:t xml:space="preserve"> </w:t>
      </w:r>
      <w:r>
        <w:rPr>
          <w:rFonts w:ascii="Times New Roman;sans-serif" w:hAnsi="Times New Roman;sans-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2022.</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Management Estimates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Note C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Actual results may differ from estimates.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Ceridian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completed the sale of 1.0 million shares of common stock of Ceridian. In connection with the sale, we received proceeds of $78.0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we completed the sale of 1.0 million shares of common stock of Ceridian. In connection with the sale, we received proceeds of $66.7 million.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owned 4.0 million shares of Ceridian common stock as of September 30, 2023, which represented approximately 2.6% of its outstanding stock as of September 30, 2023.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Refer to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and Note C -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 xml:space="preserve">for further discussion of our accounting for our ownership interest in Ceridian and other equity securities.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2023, April 26, 2023 and July 26, 2023, the board of directors of D&amp;B declared quarterly cash dividends of $0.05 per share of DNB common stock. In the nine months ended September 30, 2023, we received $11.9 million of cash dividends from D&amp;B which are recorded as a reduction to the basis of our recorded asset for D&amp;B.</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owned 79.0 million shares of D&amp;B, which represented approximately 18.0% of its outstanding common stock.</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further discussion of our accounting for our ownership interest in D&amp;B and other equity method investments.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Black Knight Football and Entertainment</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nine months ended September 30, 2023, we invested $109.8 million in BKFE. BKFE used the proceeds from investments from Cannae and others to further invest in its infrastructure and playing squad. As of September 30, 2023, we hold a 48.2% ownership interest in BKFE.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Developments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repurchased 2,679,052 shares of Cannae common stock for approximately $51.1 million in the aggregate, or an average of $19.06 per share, pursuant to the 2022 Repurchase Program. During the nine months ended September 30, 2023, we repurchased 5,744,856 shares of Cannae common stock for approximately $111.5 million in the aggregate, or an average of $19.41 per share, pursuant to the 2022 Repurchase Program. We accrued $1.1 million for the associated excise tax on the transactions which is included in the book value of the treasury stock repurchased. Subsequent to September 30, 2023, we repurchased 52,567 shares of Cannae Common Stock for approximately $1.0 million.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On May 22, 2023, we invested $52.1 million for an 89% ownership interest in High Sierra Distillery, LP ("Minden Mill"). Minden Mill, through its wholly-owned subsidiaries, owns and operates an estate distillery and related hospitality venues. Entities affiliated with our chairman, William P. Foley II, are the general partner of Minden Mill and manage all aspects of its operation. The investment in Minden Mill is accounted for as an investment in an unconsolidated affiliate.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for further discussion of our 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2023, the Company, Cannae LLC and Trasimene entered into a Second Amended and Restated Management Services Agreement (the "Amended MSA") which amends and restates the Management Services Agreement dated as of August 27, 2019, as amended on January 27, 2021 and further amended on August 4, 2021 (the "Original MSA"). The Amended MSA amends and restates the Original MSA primarily to (i) reduce the management fee from 1.5% to 1.25% for amounts greater than $2.5 billion of cost of invested capital, (ii) reduce the base fee for terminating the agreement from the average annual management fee for the preceding 24-month period as of a termination date (approximately $40 million for the period ended September 30, 2023) to $20 million, except in the event the termination results from a third-party change of control in which case the base fee is $40 million, and (iii) require all transactions with affiliates of the Manager be reviewed by a new Related Person Transaction Committee of the Company's Board of Directors. The Amended MSA has an initial term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five years. The Amended MSA will be automatically renewed for one-year terms thereafter unless terminated by either the Company or the Manager in accordance with the terms of the Amended MSA.</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we incurred management fee expenses payable to our Manager of $9.7 million and $28.7 million, respectively, and during the three and nine months ended September 30, 2022, we incurred $9.7 million and $30.9 million, respectively. During the three and nine months ended September 30, 2022, we incurred $1.9 million and $49.3 million, respectively, of carried interest expense related to the disposition of certain of the Company's assets and ownership interests. These expenses are recorded in Other operating expenses on our Condensed Consolidated Statement of Operations.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that provide the ability to purchase shares of our common stock that are antidilutive are excluded from the computation of diluted earnings per share. For the three and nine months ended September 30, 2023 there were 0.1 million and zero antidilutive shares of restricted stock outstanding, respectively, that were excluded from the calculation of diluted earnings per share. For the three and nine months ended September 30, 2022, there were zero and 0.1 million antidilutive shares of restricted stock outstanding, respectively, that were excluded from the calculation of diluted earnings per share.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21.9% and 11.3% in the three months ended September 30, 2023 and 2022, respectively, and 27.1% and 26.8% in the nine months ended September 30, 2023 and 2022, respectively. The change in the effective tax rate in the three and nine-month periods ended September 30, 2023 compared to the corresponding prior year periods was primarily attributable to the varying impact of equity in losses of unconsolidated affiliates on income tax (benefit) expense.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Deferred tax asset of $84.5 million and $22.7 million as of September 30, 2023 and December 31, 2022, respectively. The $61.8 million change in deferred taxes in the nine months ended September 30, 2023 is primarily attributable to equity in losses of unconsolidated affiliates and impairments of investments in unconsolidated affiliates, partially offset by sales of Ceridian shares and mark-to-market gains recorded on Ceridian.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 and Property and Equipment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and nine months ended September 30, 2023 we recorded $21.9 million and $23.2 million, respectively, of impairment to Lease assets, and $6.9 million and $7.8 million, respectively, of impairment to Property and equipment. In the three and nine months ended September 30, 2022 we recorded $0.5 million and $1.3 million, respectively, of impairment to Lease assets, and $0.4 million and $1.1 million, respectively, of impairment to Property and equipment. The impairments relate primarily to our Restaurant Group for O'Charley's stores that have closed or are expected to close in the fourth quarter of 2023. All such impairments are included in Other operating expenses in our Consolidated Statements of Operations.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our evaluation of the recently issued accounting pronouncements and we did not identify any that are expected to, if currently adopted, have a material impact on our Condensed Consolidated Financial Statements.</w:t>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ind w:left="0" w:right="0" w:firstLine="36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B —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unconsolidated affiliates recorded using the equity method of accounting as of September 30, 2023 and December 31, 2022 consisted of the following:</w:t>
      </w:r>
    </w:p>
    <w:tbl>
      <w:tblPr>
        <w:tblW w:w="7839" w:type="dxa"/>
        <w:jc w:val="left"/>
        <w:tblInd w:w="0" w:type="dxa"/>
        <w:tblLayout w:type="fixed"/>
        <w:tblCellMar>
          <w:top w:w="28" w:type="dxa"/>
          <w:left w:w="28" w:type="dxa"/>
          <w:bottom w:w="28" w:type="dxa"/>
          <w:right w:w="28" w:type="dxa"/>
        </w:tblCellMar>
      </w:tblPr>
      <w:tblGrid>
        <w:gridCol w:w="554"/>
        <w:gridCol w:w="487"/>
        <w:gridCol w:w="489"/>
        <w:gridCol w:w="571"/>
        <w:gridCol w:w="571"/>
        <w:gridCol w:w="1423"/>
        <w:gridCol w:w="109"/>
        <w:gridCol w:w="109"/>
        <w:gridCol w:w="109"/>
        <w:gridCol w:w="300"/>
        <w:gridCol w:w="1090"/>
        <w:gridCol w:w="155"/>
        <w:gridCol w:w="109"/>
        <w:gridCol w:w="109"/>
        <w:gridCol w:w="109"/>
        <w:gridCol w:w="288"/>
        <w:gridCol w:w="1047"/>
        <w:gridCol w:w="210"/>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fair value of our direct ownership in the common stock of unconsolidated affiliates that have quoted market prices as of September 30, 2023 consisted of the following:</w:t>
      </w:r>
    </w:p>
    <w:tbl>
      <w:tblPr>
        <w:tblW w:w="3120" w:type="dxa"/>
        <w:jc w:val="left"/>
        <w:tblInd w:w="0" w:type="dxa"/>
        <w:tblLayout w:type="fixed"/>
        <w:tblCellMar>
          <w:top w:w="28" w:type="dxa"/>
          <w:left w:w="28" w:type="dxa"/>
          <w:bottom w:w="28" w:type="dxa"/>
          <w:right w:w="28" w:type="dxa"/>
        </w:tblCellMar>
      </w:tblPr>
      <w:tblGrid>
        <w:gridCol w:w="554"/>
        <w:gridCol w:w="487"/>
        <w:gridCol w:w="489"/>
        <w:gridCol w:w="342"/>
        <w:gridCol w:w="999"/>
        <w:gridCol w:w="249"/>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360"/>
        <w:jc w:val="both"/>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shd w:fill="FFFFFF" w:val="clear"/>
        </w:rPr>
        <w:t xml:space="preserve">Equity in (losses) earnings of unconsolidated affiliates 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months ended September 30, 2023 and 2022 consisted of the following:</w:t>
      </w:r>
    </w:p>
    <w:tbl>
      <w:tblPr>
        <w:tblW w:w="7381" w:type="dxa"/>
        <w:jc w:val="left"/>
        <w:tblInd w:w="0" w:type="dxa"/>
        <w:tblLayout w:type="fixed"/>
        <w:tblCellMar>
          <w:top w:w="28" w:type="dxa"/>
          <w:left w:w="28" w:type="dxa"/>
          <w:bottom w:w="28" w:type="dxa"/>
          <w:right w:w="28" w:type="dxa"/>
        </w:tblCellMar>
      </w:tblPr>
      <w:tblGrid>
        <w:gridCol w:w="630"/>
        <w:gridCol w:w="553"/>
        <w:gridCol w:w="556"/>
        <w:gridCol w:w="264"/>
        <w:gridCol w:w="735"/>
        <w:gridCol w:w="136"/>
        <w:gridCol w:w="136"/>
        <w:gridCol w:w="136"/>
        <w:gridCol w:w="136"/>
        <w:gridCol w:w="264"/>
        <w:gridCol w:w="735"/>
        <w:gridCol w:w="136"/>
        <w:gridCol w:w="109"/>
        <w:gridCol w:w="109"/>
        <w:gridCol w:w="109"/>
        <w:gridCol w:w="232"/>
        <w:gridCol w:w="762"/>
        <w:gridCol w:w="120"/>
        <w:gridCol w:w="120"/>
        <w:gridCol w:w="120"/>
        <w:gridCol w:w="120"/>
        <w:gridCol w:w="232"/>
        <w:gridCol w:w="762"/>
        <w:gridCol w:w="169"/>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Dun &amp; Bradstreet </w:t>
            </w:r>
            <w:r>
              <w:rPr>
                <w:rFonts w:ascii="Times New Roman;sans-serif" w:hAnsi="Times New Roman;sans-serif"/>
                <w:b w:val="false"/>
                <w:color w:val="000000"/>
                <w:sz w:val="13"/>
              </w:rPr>
              <w:t>(1)</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Sightline </w:t>
            </w:r>
            <w:r>
              <w:rPr>
                <w:rFonts w:ascii="Times New Roman;sans-serif" w:hAnsi="Times New Roman;sans-serif"/>
                <w:b w:val="false"/>
                <w:color w:val="000000"/>
                <w:sz w:val="13"/>
              </w:rPr>
              <w:t>(2)</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_____________________________________</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Equity in losses for D&amp;B includes $2.1 million of loss for the three months ended September 30, 2023 and 2022, respectively, and $6.4 million and $5.4 million of loss for the nine months ended September 30, 2023 and 2022, respectively, related to amortization of Cannae's basis difference between the book value of its ownership interest and ratable portion of the underlying equity in net assets of D&amp;B.</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Equity in losses for Sightline includes $1.9 million of loss in the three months ended September 30, 2023 and 2022, respectively, and $5.8 million of loss for the nine months ended September 30, 2023 and 2022, respectively, related to amortization of Cannae's basis difference between the book value of its investment and ratable portion of the underlying equity in net assets of Sightline.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Dun &amp; Bradstreet</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 </w:t>
      </w:r>
    </w:p>
    <w:tbl>
      <w:tblPr>
        <w:tblW w:w="6960" w:type="dxa"/>
        <w:jc w:val="left"/>
        <w:tblInd w:w="0" w:type="dxa"/>
        <w:tblLayout w:type="fixed"/>
        <w:tblCellMar>
          <w:top w:w="28" w:type="dxa"/>
          <w:left w:w="28" w:type="dxa"/>
          <w:bottom w:w="28" w:type="dxa"/>
          <w:right w:w="28" w:type="dxa"/>
        </w:tblCellMar>
      </w:tblPr>
      <w:tblGrid>
        <w:gridCol w:w="1243"/>
        <w:gridCol w:w="1094"/>
        <w:gridCol w:w="1098"/>
        <w:gridCol w:w="300"/>
        <w:gridCol w:w="1090"/>
        <w:gridCol w:w="155"/>
        <w:gridCol w:w="109"/>
        <w:gridCol w:w="109"/>
        <w:gridCol w:w="109"/>
        <w:gridCol w:w="291"/>
        <w:gridCol w:w="1058"/>
        <w:gridCol w:w="150"/>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687"/>
        <w:gridCol w:w="1479"/>
        <w:gridCol w:w="1488"/>
        <w:gridCol w:w="252"/>
        <w:gridCol w:w="737"/>
        <w:gridCol w:w="129"/>
        <w:gridCol w:w="129"/>
        <w:gridCol w:w="129"/>
        <w:gridCol w:w="129"/>
        <w:gridCol w:w="252"/>
        <w:gridCol w:w="737"/>
        <w:gridCol w:w="129"/>
        <w:gridCol w:w="109"/>
        <w:gridCol w:w="109"/>
        <w:gridCol w:w="109"/>
        <w:gridCol w:w="214"/>
        <w:gridCol w:w="780"/>
        <w:gridCol w:w="110"/>
        <w:gridCol w:w="110"/>
        <w:gridCol w:w="110"/>
        <w:gridCol w:w="110"/>
        <w:gridCol w:w="214"/>
        <w:gridCol w:w="780"/>
        <w:gridCol w:w="173"/>
      </w:tblGrid>
      <w:tr>
        <w:trPr/>
        <w:tc>
          <w:tcPr>
            <w:tcW w:w="168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before income taxes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Dun &amp; Bradstreet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System1</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book value of our investment in System1 accounted for under the equity method of accounting prior to any impairment was $96.5 million. Based on quoted market prices, the aggregate fair market value of our ownership of System1 common stock was approximately $32.7 million as of September 30, 2023. Due to the quantum of the decrease in the fair market value of our ownership interest subsequent to our acquisition, declines in the forecasted results of operations and liquidity of System1, and the uncertainty of the impact of the economic environment on System1's business, management determined the decrease in value of our investment in System1 was other-than-temporary as of September 30, 2023. Accordingly, we recorded an impairment of $63.9 million which is included in Recognized (losses) gains, net, on our Consolidated Statement of Operations for the year ended September 30, 2023.</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a $(60.4) million difference between the amount of our recorded ownership interest in System1 and the amount of the Company's ratable portion of the underlying equity in the net assets of System1. The basis difference was reduced upon the impairment of our investment in System1 as of September 30, 2023 described above. The Company is currently evaluating the accounting treatment of the new basis difference to System1's identifiable net assets.</w:t>
      </w:r>
    </w:p>
    <w:p>
      <w:pPr>
        <w:pStyle w:val="TextBody"/>
        <w:bidi w:val="0"/>
        <w:spacing w:lineRule="auto" w:line="288" w:before="12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Sightline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book value of our investment in Sightline accounted for under the equity method of accounting prior to any impairment was $232.5 million. Based on a valuation using a hybrid discounted cash flow and market comparison approach, the aggregate fair market value of our ownership of Sightline equity was approximately $162.3 million as of September 30, 2023. The fair value measurement is considered a level 3 fair value measure. The primary inputs in the valuation were the forecasted results of operations of Sightline and the discount rate used in the discounted cash flow analysis. The primary significant unobservable input used was the 29% discount rate used in the discounted cash flow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quantum of the decrease in the fair market value of our ownership interest subsequent to our acquisition, declines in the forecasted results of operations and liquidity of Sightline, and the uncertainty of the impact of the economic environment on Sightline's business, management determined the decrease in value of our investment in Sightline was other-than-temporary as of September 30, 2023. Accordingly, we recorded an impairment of $70.2 million which is included in Recognized (losses) gains, net, on our Consolidated Statement of Operations for the year ended September 30, 2023.</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a $114.7 million difference between the amount of our recorded ownership interest in Sightline and the amount of the Company's ratable portion of the underlying equity in the net assets of Sightline. The basis difference was reduced upon the impairment of our investment in Sightline as of September 30, 2023 described above. The Company is currently evaluating the accounting treatment of the new basis difference to Sightline's identifiable net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Gains (losses) on equity securities included in Recognized gains (losses), net on the Condensed Consolidated Statements of Operations consisted of the following 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months ended September 30, 2023 and 2022:</w:t>
      </w:r>
    </w:p>
    <w:tbl>
      <w:tblPr>
        <w:tblW w:w="10205" w:type="dxa"/>
        <w:jc w:val="center"/>
        <w:tblInd w:w="0" w:type="dxa"/>
        <w:tblLayout w:type="fixed"/>
        <w:tblCellMar>
          <w:top w:w="28" w:type="dxa"/>
          <w:left w:w="28" w:type="dxa"/>
          <w:bottom w:w="28" w:type="dxa"/>
          <w:right w:w="28" w:type="dxa"/>
        </w:tblCellMar>
      </w:tblPr>
      <w:tblGrid>
        <w:gridCol w:w="1937"/>
        <w:gridCol w:w="1640"/>
        <w:gridCol w:w="1646"/>
        <w:gridCol w:w="253"/>
        <w:gridCol w:w="488"/>
        <w:gridCol w:w="131"/>
        <w:gridCol w:w="131"/>
        <w:gridCol w:w="131"/>
        <w:gridCol w:w="131"/>
        <w:gridCol w:w="253"/>
        <w:gridCol w:w="615"/>
        <w:gridCol w:w="131"/>
        <w:gridCol w:w="109"/>
        <w:gridCol w:w="109"/>
        <w:gridCol w:w="109"/>
        <w:gridCol w:w="230"/>
        <w:gridCol w:w="558"/>
        <w:gridCol w:w="119"/>
        <w:gridCol w:w="119"/>
        <w:gridCol w:w="119"/>
        <w:gridCol w:w="119"/>
        <w:gridCol w:w="230"/>
        <w:gridCol w:w="723"/>
        <w:gridCol w:w="174"/>
      </w:tblGrid>
      <w:tr>
        <w:trPr/>
        <w:tc>
          <w:tcPr>
            <w:tcW w:w="1937"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recognized during the period on equity securities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(losses) gains recognized during the period on equity securities sold, transferred or disposed during the period</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recognized during the reporting period on equity securities held at the reporting date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Equity Security Investments Without Readily Determinable Fair Values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We account for our investments in AmeriLife and certain other ownership interests at cost less impairment, </w:t>
      </w:r>
      <w:r>
        <w:rPr>
          <w:rFonts w:ascii="Times New Roman;sans-serif" w:hAnsi="Times New Roman;sans-serif"/>
          <w:b w:val="false"/>
          <w:color w:val="000000"/>
          <w:sz w:val="20"/>
        </w:rPr>
        <w:t>if any, plus or minus changes resulting from observable price changes in orderly market transactions</w:t>
      </w:r>
      <w:r>
        <w:rPr>
          <w:rFonts w:ascii="Times New Roman;sans-serif" w:hAnsi="Times New Roman;sans-serif"/>
          <w:b w:val="false"/>
          <w:color w:val="000000"/>
          <w:sz w:val="20"/>
          <w:shd w:fill="FFFFFF" w:val="clear"/>
        </w:rPr>
        <w:t xml:space="preserve">. As of September 30, 2023 and December 31, 2022, we have $121.9 million and $114.8 million, respectively, recorded for such investments, which is included in Other long term investments and noncurrent assets on our Condensed Consolidated Balance Sheets.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During the nine months ended September 30, 2023, we recorded an impairment of $9.0 million to certain of our equity ownership interests without readily determinable fair values. The amount of the impairment was determined based on the valuation of the investee implied by a contemplated sale to a third-party. During the </w:t>
      </w:r>
      <w:r>
        <w:rPr>
          <w:rFonts w:ascii="Times New Roman;sans-serif" w:hAnsi="Times New Roman;sans-serif"/>
          <w:b w:val="false"/>
          <w:color w:val="000000"/>
          <w:sz w:val="20"/>
        </w:rPr>
        <w:t xml:space="preserve">nine months ended September 30, 2022, we recorded an impairment of </w:t>
      </w:r>
      <w:r>
        <w:rPr>
          <w:rFonts w:ascii="Times New Roman;sans-serif" w:hAnsi="Times New Roman;sans-serif"/>
          <w:b w:val="false"/>
          <w:color w:val="000000"/>
          <w:sz w:val="20"/>
          <w:shd w:fill="FFFFFF" w:val="clear"/>
        </w:rPr>
        <w:t>$32.8 million</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certain of our equity ownership interests without readily determinable fair values. The amount of the impairment charge was determined based on the valuation of investee implied by a third-party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C —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1. </w:t>
      </w:r>
      <w:r>
        <w:rPr>
          <w:rFonts w:ascii="Times New Roman;sans-serif" w:hAnsi="Times New Roman;sans-serif"/>
          <w:b w:val="false"/>
          <w:color w:val="000000"/>
          <w:sz w:val="20"/>
          <w:shd w:fill="FFFFFF" w:val="clear"/>
        </w:rPr>
        <w:t>Financial assets and liabilities whose values are based on unadjusted quoted prices for identical assets or liabilities in an active market that we have the ability to access.</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2. </w:t>
      </w:r>
      <w:r>
        <w:rPr>
          <w:rFonts w:ascii="Times New Roman;sans-serif" w:hAnsi="Times New Roman;sans-serif"/>
          <w:b w:val="false"/>
          <w:color w:val="000000"/>
          <w:sz w:val="20"/>
          <w:shd w:fill="FFFFFF" w:val="clear"/>
        </w:rPr>
        <w:t>Financial assets and liabilities whose values are based on quoted prices in markets that are not active or model inputs that are observable either directly or indirectly for substantially the full term of the asset or liability.</w:t>
      </w:r>
    </w:p>
    <w:p>
      <w:pPr>
        <w:pStyle w:val="TextBody"/>
        <w:bidi w:val="0"/>
        <w:spacing w:lineRule="auto" w:line="288" w:before="0" w:after="100"/>
        <w:ind w:left="0" w:right="0" w:firstLine="720"/>
        <w:jc w:val="both"/>
        <w:rPr/>
      </w:pPr>
      <w:r>
        <w:rPr>
          <w:rFonts w:ascii="Times New Roman;sans-serif" w:hAnsi="Times New Roman;sans-serif"/>
          <w:b w:val="false"/>
          <w:i/>
          <w:color w:val="000000"/>
          <w:sz w:val="20"/>
          <w:shd w:fill="FFFFFF" w:val="clear"/>
        </w:rPr>
        <w:t xml:space="preserve">Level 3. </w:t>
      </w:r>
      <w:r>
        <w:rPr>
          <w:rFonts w:ascii="Times New Roman;sans-serif" w:hAnsi="Times New Roman;sans-serif"/>
          <w:b w:val="false"/>
          <w:color w:val="000000"/>
          <w:sz w:val="20"/>
          <w:shd w:fill="FFFFFF" w:val="clear"/>
        </w:rPr>
        <w:t>Financial assets and liabilities whose values are based on model inputs that are unobservable.</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fair value hierarchy for those assets and liabilities measured at fair value on a recurring basis as of September 30, 2023 and December 31, 2022, respectively:</w:t>
      </w:r>
    </w:p>
    <w:tbl>
      <w:tblPr>
        <w:tblW w:w="6723"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818"/>
        <w:gridCol w:w="720"/>
        <w:gridCol w:w="726"/>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material assets or liabilities valued on a recurring basis using Level 3 inputs as of or for the nine months ended September 30, 2023 and December 31, 2022.</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Additional information regarding the fair value of our investment portfolio is included in Note B - </w:t>
      </w:r>
      <w:r>
        <w:rPr>
          <w:rFonts w:ascii="Times New Roman;sans-serif" w:hAnsi="Times New Roman;sans-serif"/>
          <w:b w:val="false"/>
          <w:i/>
          <w:color w:val="000000"/>
          <w:sz w:val="20"/>
        </w:rPr>
        <w:t>Investments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D — Variable Interest Entities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September 30, 2023 and December 31, 2022, we are not the primary beneficiary of any VIEs.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Unconsolidated VIEs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select information related to variable interests held by the Company as of September 30, 2023 and December 31, 2022, of which we are not the primary beneficiary:</w:t>
      </w:r>
    </w:p>
    <w:tbl>
      <w:tblPr>
        <w:tblW w:w="10002" w:type="dxa"/>
        <w:jc w:val="left"/>
        <w:tblInd w:w="0" w:type="dxa"/>
        <w:tblLayout w:type="fixed"/>
        <w:tblCellMar>
          <w:top w:w="28" w:type="dxa"/>
          <w:left w:w="28" w:type="dxa"/>
          <w:bottom w:w="28" w:type="dxa"/>
          <w:right w:w="28" w:type="dxa"/>
        </w:tblCellMar>
      </w:tblPr>
      <w:tblGrid>
        <w:gridCol w:w="1216"/>
        <w:gridCol w:w="1070"/>
        <w:gridCol w:w="1073"/>
        <w:gridCol w:w="109"/>
        <w:gridCol w:w="109"/>
        <w:gridCol w:w="109"/>
        <w:gridCol w:w="312"/>
        <w:gridCol w:w="911"/>
        <w:gridCol w:w="161"/>
        <w:gridCol w:w="161"/>
        <w:gridCol w:w="351"/>
        <w:gridCol w:w="1027"/>
        <w:gridCol w:w="181"/>
        <w:gridCol w:w="129"/>
        <w:gridCol w:w="129"/>
        <w:gridCol w:w="129"/>
        <w:gridCol w:w="250"/>
        <w:gridCol w:w="732"/>
        <w:gridCol w:w="129"/>
        <w:gridCol w:w="109"/>
        <w:gridCol w:w="345"/>
        <w:gridCol w:w="1008"/>
        <w:gridCol w:w="252"/>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714"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29"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714"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Affiliates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held variable interests in certain unconsolidated affiliates, which are primarily comprised of our ownership interests in BKFE, CSI and Minden Mill. Cannae does not have the power to direct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that most significantly impact the economic performance of these unconsolidated affiliates; therefore, we are not the primary beneficiary.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risk to which these investments and funds are exposed is the credit risk of the underlying investees. Cannae has guaranteed certain payment obligations of BKFE related to investment commitments associated with its acquisitions of interests in football clubs. These BKFE obligations total an estimated amount of approximately $63.6 million in the aggregate as of the date of this Quarterly Report and are potentially payable at various increments over the next approximately five years. The underlying obligation of BKFE to fund these amounts is contingent on the exercise of certain investment options by BKFE or other parties. Cannae is required to fund such payments solely to the extent BKFE is unable to meet these obligations. We do not provide any other implicit or explicit liquidity guarantees or principal value guarantees to these VIEs.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assets are included in Investments in unconsolidated affiliates on the Condensed Consolidated Balance Sheets and accounted for under the equity method of accounting. See Note B - </w:t>
      </w:r>
      <w:r>
        <w:rPr>
          <w:rFonts w:ascii="Times New Roman;sans-serif" w:hAnsi="Times New Roman;sans-serif"/>
          <w:b w:val="false"/>
          <w:i/>
          <w:color w:val="000000"/>
          <w:sz w:val="20"/>
        </w:rPr>
        <w:t>Investments</w:t>
      </w:r>
      <w:r>
        <w:rPr>
          <w:color w:val="000000"/>
        </w:rPr>
        <w:t xml:space="preserve"> </w:t>
      </w:r>
      <w:r>
        <w:rPr>
          <w:rFonts w:ascii="Times New Roman;sans-serif" w:hAnsi="Times New Roman;sans-serif"/>
          <w:b w:val="false"/>
          <w:color w:val="000000"/>
          <w:sz w:val="20"/>
        </w:rPr>
        <w:t xml:space="preserve">for further discussion of our accounting for investments in unconsolidated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E — Segment Information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concerning our reportable segments is shown in the following tables.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September 30, 2023:</w:t>
      </w:r>
    </w:p>
    <w:tbl>
      <w:tblPr>
        <w:tblW w:w="11616"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77"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6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and realized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(losses) earnings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three months ended September 30, 2022:</w:t>
      </w:r>
    </w:p>
    <w:tbl>
      <w:tblPr>
        <w:tblW w:w="11725" w:type="dxa"/>
        <w:jc w:val="left"/>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77"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(expense),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other income and recognized gains (losses),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earnings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nine months ended September 30, 2023:</w:t>
      </w:r>
    </w:p>
    <w:tbl>
      <w:tblPr>
        <w:tblW w:w="11725"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77"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and other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equity in (losses) earnings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(loss) earnings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nine months ended September 30, 2022:</w:t>
      </w:r>
    </w:p>
    <w:tbl>
      <w:tblPr>
        <w:tblW w:w="11435" w:type="dxa"/>
        <w:jc w:val="center"/>
        <w:tblInd w:w="0" w:type="dxa"/>
        <w:tblLayout w:type="fixed"/>
        <w:tblCellMar>
          <w:top w:w="28" w:type="dxa"/>
          <w:left w:w="28" w:type="dxa"/>
          <w:bottom w:w="28" w:type="dxa"/>
          <w:right w:w="28" w:type="dxa"/>
        </w:tblCellMar>
      </w:tblPr>
      <w:tblGrid>
        <w:gridCol w:w="634"/>
        <w:gridCol w:w="268"/>
        <w:gridCol w:w="269"/>
        <w:gridCol w:w="196"/>
        <w:gridCol w:w="556"/>
        <w:gridCol w:w="109"/>
        <w:gridCol w:w="109"/>
        <w:gridCol w:w="109"/>
        <w:gridCol w:w="109"/>
        <w:gridCol w:w="109"/>
        <w:gridCol w:w="109"/>
        <w:gridCol w:w="196"/>
        <w:gridCol w:w="691"/>
        <w:gridCol w:w="109"/>
        <w:gridCol w:w="109"/>
        <w:gridCol w:w="109"/>
        <w:gridCol w:w="109"/>
        <w:gridCol w:w="196"/>
        <w:gridCol w:w="706"/>
        <w:gridCol w:w="109"/>
        <w:gridCol w:w="109"/>
        <w:gridCol w:w="109"/>
        <w:gridCol w:w="109"/>
        <w:gridCol w:w="253"/>
        <w:gridCol w:w="528"/>
        <w:gridCol w:w="109"/>
        <w:gridCol w:w="109"/>
        <w:gridCol w:w="109"/>
        <w:gridCol w:w="109"/>
        <w:gridCol w:w="196"/>
        <w:gridCol w:w="556"/>
        <w:gridCol w:w="109"/>
        <w:gridCol w:w="109"/>
        <w:gridCol w:w="109"/>
        <w:gridCol w:w="109"/>
        <w:gridCol w:w="196"/>
        <w:gridCol w:w="691"/>
        <w:gridCol w:w="109"/>
        <w:gridCol w:w="109"/>
        <w:gridCol w:w="109"/>
        <w:gridCol w:w="109"/>
        <w:gridCol w:w="196"/>
        <w:gridCol w:w="796"/>
        <w:gridCol w:w="109"/>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Dun &amp; Bradstreet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Paysafe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Sightline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Affiliate 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96"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6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Restaurant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external customers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investment and other income, including recognized gains (losses),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and other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income taxes and equity in earnings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earnings before equity in earnings (losses) of unconsolidated affiliates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(losses)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3,181.1 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our segments include the following:</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Restaurant Group. </w:t>
      </w:r>
      <w:r>
        <w:rPr>
          <w:rFonts w:ascii="Times New Roman;sans-serif" w:hAnsi="Times New Roman;sans-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 xml:space="preserve">Dun &amp; Bradstreet. </w:t>
      </w:r>
      <w:r>
        <w:rPr>
          <w:rFonts w:ascii="Times New Roman;sans-serif" w:hAnsi="Times New Roman;sans-serif"/>
          <w:b w:val="false"/>
          <w:color w:val="000000"/>
          <w:sz w:val="20"/>
        </w:rPr>
        <w:t>This segment consists of our 18.0% ownership interest in Dun &amp; Bradstreet. Dun &amp; Bradstreet is a leading global provider of 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2022 contained hundreds of millions of business records. Our chief operating decision maker reviews the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sans-serif" w:hAnsi="Times New Roman;sans-serif"/>
          <w:b w:val="false"/>
          <w:i/>
          <w:color w:val="000000"/>
          <w:sz w:val="20"/>
        </w:rPr>
        <w:t>Affiliate Elimination</w:t>
      </w:r>
      <w:r>
        <w:rPr>
          <w:color w:val="000000"/>
        </w:rPr>
        <w:t> </w:t>
      </w:r>
      <w:r>
        <w:rPr>
          <w:rFonts w:ascii="Times New Roman;sans-serif" w:hAnsi="Times New Roman;sans-serif"/>
          <w:b w:val="false"/>
          <w:color w:val="000000"/>
          <w:sz w:val="20"/>
        </w:rPr>
        <w:t xml:space="preserve">section of the segment presentation above.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Alight</w:t>
      </w:r>
      <w:r>
        <w:rPr>
          <w:rFonts w:ascii="Times New Roman;sans-serif" w:hAnsi="Times New Roman;sans-serif"/>
          <w:b w:val="false"/>
          <w:color w:val="000000"/>
          <w:sz w:val="20"/>
        </w:rPr>
        <w:t xml:space="preserve">. This segment consists of our 9.8% ownership interest in Alight. Alight is a leading cloud-based human capital technology and services 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Paysafe</w:t>
      </w:r>
      <w:r>
        <w:rPr>
          <w:rFonts w:ascii="Times New Roman;sans-serif" w:hAnsi="Times New Roman;sans-serif"/>
          <w:b w:val="false"/>
          <w:color w:val="000000"/>
          <w:sz w:val="20"/>
        </w:rPr>
        <w:t xml:space="preserve">. This segment consists of our 5.5% ownership interest in Paysafe. Paysafe is a leading payments platform with an extensive track record of serving merchants and consumers in the global entertainment sectors. Its core purpose is to enable businesses and consumers to connect and transact seamlessly through industry-leading capabilities in payment processing, digital wallet, and online cash solutions. Our chief operating decision maker reviews the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 xml:space="preserve">section of the segment presentation above. We report our equity in earnings or loss of Paysafe on a three-month lag. Accordingly, our net earnings and the segment tables above, respectively, for the three and nine months ended September 30, 2023 and 2022, include our equity in Paysafe’s earnings and complete results of Paysafe, respectively, for the three and nine months ended June 30, 2023 and 2022, respectively. </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Sightline</w:t>
      </w:r>
      <w:r>
        <w:rPr>
          <w:rFonts w:ascii="Times New Roman;sans-serif" w:hAnsi="Times New Roman;sans-serif"/>
          <w:b w:val="false"/>
          <w:color w:val="000000"/>
          <w:sz w:val="20"/>
        </w:rPr>
        <w:t xml:space="preserve">. This segment consists of our 32.2% ownership interest in Sightline Payments. Sightline Payments is a digital payments provider and mobile application developer to the United States' sports betting and casino gaming market. Our chief operating decision maker reviews the financial results of Sightline for purposes of assessing performance and allocating resources. Thus, we consider Sightline a reportable segment and have included the full results of Sightline subsequent to our initial acquisition of an ownership interest in the tables above. We account for Sightline using the equity method of accounting, and therefore, its results do not consolidate into ours. Accordingly, we have presented the elimination of Sightline's results in the </w:t>
      </w:r>
      <w:r>
        <w:rPr>
          <w:rFonts w:ascii="Times New Roman;sans-serif" w:hAnsi="Times New Roman;sans-serif"/>
          <w:b w:val="false"/>
          <w:i/>
          <w:color w:val="000000"/>
          <w:sz w:val="20"/>
        </w:rPr>
        <w:t>Affiliate Elimination</w:t>
      </w:r>
      <w:r>
        <w:rPr>
          <w:color w:val="000000"/>
        </w:rPr>
        <w:t xml:space="preserve"> </w:t>
      </w:r>
      <w:r>
        <w:rPr>
          <w:rFonts w:ascii="Times New Roman;sans-serif" w:hAnsi="Times New Roman;sans-serif"/>
          <w:b w:val="false"/>
          <w:color w:val="000000"/>
          <w:sz w:val="20"/>
        </w:rPr>
        <w:t>section of the segment presentation above. We report our equity in earnings or loss of Sightline on a three-month lag. Accordingly, our net earnings and the segment tables above, respectively, for the three and nine months ended September 30, 2023 and 2022, include our equity in Sightline’s earnings and complete results of Sightline, respectively, for the three and nine months ended June 30, 2023 and 2022, respectively.</w:t>
      </w:r>
    </w:p>
    <w:p>
      <w:pPr>
        <w:pStyle w:val="TextBody"/>
        <w:bidi w:val="0"/>
        <w:spacing w:lineRule="auto" w:line="288" w:before="120" w:after="120"/>
        <w:ind w:left="0" w:right="0" w:hanging="450"/>
        <w:jc w:val="both"/>
        <w:rPr/>
      </w:pPr>
      <w:r>
        <w:rPr>
          <w:color w:val="000000"/>
        </w:rPr>
        <w:t>•</w:t>
      </w:r>
      <w:r>
        <w:rPr>
          <w:rFonts w:ascii="Times New Roman;sans-serif" w:hAnsi="Times New Roman;sans-serif"/>
          <w:b w:val="false"/>
          <w:i/>
          <w:color w:val="000000"/>
          <w:sz w:val="20"/>
        </w:rPr>
        <w:t>Corporate and Other.</w:t>
      </w:r>
      <w:r>
        <w:rPr>
          <w:color w:val="000000"/>
        </w:rPr>
        <w:t xml:space="preserve"> </w:t>
      </w:r>
      <w:r>
        <w:rPr>
          <w:rFonts w:ascii="Times New Roman;sans-serif" w:hAnsi="Times New Roman;sans-serif"/>
          <w:b w:val="false"/>
          <w:color w:val="000000"/>
          <w:sz w:val="20"/>
        </w:rPr>
        <w:t>This nonreportable segment consists of our share in the operations of certain controlled portfolio companies and other equity interests, activity of the corporate holding company and certain intercompany eliminations and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F — Revenue Recognition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w:t>
      </w:r>
    </w:p>
    <w:tbl>
      <w:tblPr>
        <w:tblW w:w="9955" w:type="dxa"/>
        <w:jc w:val="center"/>
        <w:tblInd w:w="0" w:type="dxa"/>
        <w:tblLayout w:type="fixed"/>
        <w:tblCellMar>
          <w:top w:w="28" w:type="dxa"/>
          <w:left w:w="28" w:type="dxa"/>
          <w:bottom w:w="28" w:type="dxa"/>
          <w:right w:w="28" w:type="dxa"/>
        </w:tblCellMar>
      </w:tblPr>
      <w:tblGrid>
        <w:gridCol w:w="792"/>
        <w:gridCol w:w="696"/>
        <w:gridCol w:w="701"/>
        <w:gridCol w:w="109"/>
        <w:gridCol w:w="109"/>
        <w:gridCol w:w="109"/>
        <w:gridCol w:w="503"/>
        <w:gridCol w:w="503"/>
        <w:gridCol w:w="509"/>
        <w:gridCol w:w="109"/>
        <w:gridCol w:w="109"/>
        <w:gridCol w:w="109"/>
        <w:gridCol w:w="256"/>
        <w:gridCol w:w="728"/>
        <w:gridCol w:w="142"/>
        <w:gridCol w:w="142"/>
        <w:gridCol w:w="142"/>
        <w:gridCol w:w="142"/>
        <w:gridCol w:w="256"/>
        <w:gridCol w:w="728"/>
        <w:gridCol w:w="142"/>
        <w:gridCol w:w="109"/>
        <w:gridCol w:w="109"/>
        <w:gridCol w:w="109"/>
        <w:gridCol w:w="242"/>
        <w:gridCol w:w="689"/>
        <w:gridCol w:w="135"/>
        <w:gridCol w:w="135"/>
        <w:gridCol w:w="135"/>
        <w:gridCol w:w="135"/>
        <w:gridCol w:w="242"/>
        <w:gridCol w:w="689"/>
        <w:gridCol w:w="190"/>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Restaurant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and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revenue consists of restaurant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trade receivables and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tbl>
      <w:tblPr>
        <w:tblW w:w="6566" w:type="dxa"/>
        <w:jc w:val="center"/>
        <w:tblInd w:w="0" w:type="dxa"/>
        <w:tblLayout w:type="fixed"/>
        <w:tblCellMar>
          <w:top w:w="28" w:type="dxa"/>
          <w:left w:w="28" w:type="dxa"/>
          <w:bottom w:w="28" w:type="dxa"/>
          <w:right w:w="28" w:type="dxa"/>
        </w:tblCellMar>
      </w:tblPr>
      <w:tblGrid>
        <w:gridCol w:w="1139"/>
        <w:gridCol w:w="1002"/>
        <w:gridCol w:w="1009"/>
        <w:gridCol w:w="449"/>
        <w:gridCol w:w="864"/>
        <w:gridCol w:w="232"/>
        <w:gridCol w:w="109"/>
        <w:gridCol w:w="109"/>
        <w:gridCol w:w="109"/>
        <w:gridCol w:w="422"/>
        <w:gridCol w:w="812"/>
        <w:gridCol w:w="310"/>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(contract liabilities)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Deferred revenue is recorded primarily for restaurant gift card sales. The unrecognized portion of such revenue is recorded as Deferred revenue in the Condensed Consolidated Balance Sheets. Revenue of $2.7 million and $3.3 million was recognized in the three months ended </w:t>
      </w:r>
      <w:r>
        <w:rPr>
          <w:rFonts w:ascii="Times New Roman;sans-serif" w:hAnsi="Times New Roman;sans-serif"/>
          <w:b w:val="false"/>
          <w:color w:val="000000"/>
          <w:sz w:val="20"/>
          <w:shd w:fill="FFFFFF" w:val="clear"/>
        </w:rPr>
        <w:t>September 30, 2023 and</w:t>
      </w:r>
      <w:r>
        <w:rPr>
          <w:color w:val="000000"/>
        </w:rPr>
        <w:t xml:space="preserve">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respectively, and $7.5 million and $10.9 million in the nine months ended, respectively, that was included in Deferred revenue at the beginning of the period.</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related to contract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G — Notes Payable</w:t>
      </w:r>
    </w:p>
    <w:p>
      <w:pPr>
        <w:pStyle w:val="TextBody"/>
        <w:bidi w:val="0"/>
        <w:spacing w:lineRule="auto" w:line="288" w:before="12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Notes payable, net consists of the following:</w:t>
      </w:r>
    </w:p>
    <w:tbl>
      <w:tblPr>
        <w:tblW w:w="6143"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348"/>
        <w:gridCol w:w="1017"/>
        <w:gridCol w:w="180"/>
        <w:gridCol w:w="109"/>
        <w:gridCol w:w="109"/>
        <w:gridCol w:w="109"/>
        <w:gridCol w:w="372"/>
        <w:gridCol w:w="901"/>
        <w:gridCol w:w="271"/>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Margin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FNF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carrying value of our outstanding notes payable approximates fair value and are considered Level 2 financial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Margin Facility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and (iii) change the spread from 358 to 375 basis points.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August 17, 2026. Outstanding amounts under the 2020 Margin Facility, if any, bear interest quarterly at a rate per annum equal to a three-month adjusted SOFR plus an applicable margin. The 2020 Margin Facility requires the Borrowers to maintain a certain loan-to-value ratio (based on the value of Ceridian, D&amp;B and Alight shares). In the event the Borrowers fail to maintain such loan-to-value ratio, the Borrowers must post additional cash collateral under the Loan Agreement and/or elect to repay a portion of the revolving loans thereunder, or sell the Ceridian, D&amp;B and/or Alight shares and use the proceeds from such sale to prepay a portion of the revolving loans thereunder.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we borrowed and repaid $50 million under the 2020 Margin Facility.</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no outstanding balance under the 2020 Margin Facility, $150.0 million of unused capacity with an option to increase the capacity to $500.0 million upon amendment, and 4 million shares of Ceridian, 35 million shares of D&amp;B and 40 million shares of Alight were pledged as collateral for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FNF Revolver</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17, 2017, Fidelity National Financial, Inc. ("FNF") issued to Cannae a revolver note in aggregate principal amount of up to $100.0 million. On May 12, 2022, FNF and Cannae amended and restated the revolver note to,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a $84.7 million outstanding principal amount which incurred interest at 9.95% and there is no available borrowing capacity under the FNF Revolver.</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principal maturities of notes payable at September 30, 2023 are as follows (in millions):</w:t>
      </w:r>
    </w:p>
    <w:tbl>
      <w:tblPr>
        <w:tblW w:w="2510" w:type="dxa"/>
        <w:jc w:val="left"/>
        <w:tblInd w:w="0" w:type="dxa"/>
        <w:tblLayout w:type="fixed"/>
        <w:tblCellMar>
          <w:top w:w="28" w:type="dxa"/>
          <w:left w:w="28" w:type="dxa"/>
          <w:bottom w:w="28" w:type="dxa"/>
          <w:right w:w="28" w:type="dxa"/>
        </w:tblCellMar>
      </w:tblPr>
      <w:tblGrid>
        <w:gridCol w:w="553"/>
        <w:gridCol w:w="486"/>
        <w:gridCol w:w="490"/>
        <w:gridCol w:w="211"/>
        <w:gridCol w:w="61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H — Commitments and Contingencies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bidi w:val="0"/>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2023 and December 31, 2022,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bidi w:val="0"/>
        <w:spacing w:lineRule="auto" w:line="268" w:before="120" w:after="120"/>
        <w:ind w:left="0" w:right="0" w:firstLine="360"/>
        <w:jc w:val="both"/>
        <w:rPr/>
      </w:pPr>
      <w:r>
        <w:rPr>
          <w:rFonts w:ascii="Times New Roman;sans-serif" w:hAnsi="Times New Roman;sans-serif"/>
          <w:b w:val="false"/>
          <w:color w:val="000000"/>
          <w:sz w:val="20"/>
        </w:rPr>
        <w:t xml:space="preserve">On September 23, 2020, a stockholder derivative lawsuit styled </w:t>
      </w:r>
      <w:r>
        <w:rPr>
          <w:rFonts w:ascii="Times New Roman;sans-serif" w:hAnsi="Times New Roman;sans-serif"/>
          <w:b w:val="false"/>
          <w:i/>
          <w:color w:val="000000"/>
          <w:sz w:val="20"/>
        </w:rPr>
        <w:t>Oklahoma Firefighters Pension &amp; Retirement System, derivatively on behalf of Cannae Holdings, Inc. v. William P. Foley, II, et al.</w:t>
      </w:r>
      <w:r>
        <w:rPr>
          <w:rFonts w:ascii="Times New Roman;sans-serif" w:hAnsi="Times New Roman;sans-serif"/>
          <w:b w:val="false"/>
          <w:color w:val="000000"/>
          <w:sz w:val="20"/>
        </w:rPr>
        <w:t xml:space="preserve">,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CANNAE HOLDINGS, INC.</w:t>
      </w:r>
    </w:p>
    <w:p>
      <w:pPr>
        <w:pStyle w:val="TextBody"/>
        <w:bidi w:val="0"/>
        <w:spacing w:lineRule="auto" w:line="288" w:before="0" w:after="0"/>
        <w:jc w:val="center"/>
        <w:rPr/>
      </w:pPr>
      <w:r>
        <w:rPr>
          <w:rFonts w:ascii="Times New Roman;sans-serif" w:hAnsi="Times New Roman;sans-serif"/>
          <w:b/>
          <w:color w:val="000000"/>
          <w:sz w:val="20"/>
        </w:rPr>
        <w:t xml:space="preserve">NOTES TO CONDENSED CONSOLIDATED FINANCIAL STATEMENTS (UNAUDITED) — </w:t>
      </w:r>
      <w:r>
        <w:rPr>
          <w:rFonts w:ascii="Times New Roman;sans-serif" w:hAnsi="Times New Roman;sans-serif"/>
          <w:b/>
          <w:color w:val="000000"/>
          <w:sz w:val="19"/>
        </w:rPr>
        <w:t>continued</w:t>
      </w:r>
    </w:p>
    <w:p>
      <w:pPr>
        <w:pStyle w:val="TextBody"/>
        <w:bidi w:val="0"/>
        <w:spacing w:before="0" w:after="0"/>
        <w:jc w:val="center"/>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w:t>
      </w:r>
    </w:p>
    <w:p>
      <w:pPr>
        <w:pStyle w:val="TextBody"/>
        <w:bidi w:val="0"/>
        <w:spacing w:lineRule="auto" w:line="256" w:before="0" w:after="0"/>
        <w:ind w:left="0" w:right="0" w:firstLine="360"/>
        <w:jc w:val="both"/>
        <w:rPr/>
      </w:pPr>
      <w:r>
        <w:rPr>
          <w:rFonts w:ascii="Times New Roman;sans-serif" w:hAnsi="Times New Roman;sans-serif"/>
          <w:b w:val="false"/>
          <w:color w:val="000000"/>
          <w:sz w:val="20"/>
        </w:rPr>
        <w:t xml:space="preserve">On October 25, 2022, the parties, including the SLC acting on behalf of the Company, reached an agreement-in-principle to settle the action, subject to various terms and conditions, as well as court approval. On March 10, 2023, the parties formalized their settlement and entered into a Stipulation and Agreement of Compromise, Settlement and Release which has been filed with the court. The agreement includes, among other things, a payment of $6 million in cash to the Company, amendments to the Management Services Agreement between the Company and the Manager, and corporate governance changes. On June 8, 2023, the court entered an Order and Final Judgment approving the settlement in all respects and dismissing the lawsuit. The net settlement amount has been paid to the Company, the Management Services Agreement was amended on September 30, 2023, and the parties have complied with the remaining terms of the settlement. The net settlement is recorded in Recognized gains (losses), net on our Condensed Consolidated Statement of Operations in the nine months ended September 30, 2023. See further discussion of the Amended MSA in Note A - </w:t>
      </w:r>
      <w:r>
        <w:rPr>
          <w:rFonts w:ascii="Times New Roman;sans-serif" w:hAnsi="Times New Roman;sans-serif"/>
          <w:b w:val="false"/>
          <w:i/>
          <w:color w:val="000000"/>
          <w:sz w:val="20"/>
        </w:rPr>
        <w:t>Basis of Financial Statements</w:t>
      </w:r>
    </w:p>
    <w:p>
      <w:pPr>
        <w:pStyle w:val="TextBody"/>
        <w:bidi w:val="0"/>
        <w:spacing w:lineRule="auto" w:line="256"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Unconditional Purchase Obligations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September 30, 2023 to determine the amount of the obligations. Purchase obligations as of September 30, 2023 are as follows (in millions):</w:t>
      </w:r>
    </w:p>
    <w:tbl>
      <w:tblPr>
        <w:tblW w:w="3336" w:type="dxa"/>
        <w:jc w:val="center"/>
        <w:tblInd w:w="0" w:type="dxa"/>
        <w:tblLayout w:type="fixed"/>
        <w:tblCellMar>
          <w:top w:w="28" w:type="dxa"/>
          <w:left w:w="28" w:type="dxa"/>
          <w:bottom w:w="28" w:type="dxa"/>
          <w:right w:w="28" w:type="dxa"/>
        </w:tblCellMar>
      </w:tblPr>
      <w:tblGrid>
        <w:gridCol w:w="890"/>
        <w:gridCol w:w="782"/>
        <w:gridCol w:w="788"/>
        <w:gridCol w:w="211"/>
        <w:gridCol w:w="51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I — Supplemental Cash Flow Information</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supplemental cash flow information is provided with respect to certain cash payments, as well as certain non-cash investing and financing activities.</w:t>
      </w:r>
    </w:p>
    <w:tbl>
      <w:tblPr>
        <w:tblW w:w="9366" w:type="dxa"/>
        <w:jc w:val="left"/>
        <w:tblInd w:w="0" w:type="dxa"/>
        <w:tblLayout w:type="fixed"/>
        <w:tblCellMar>
          <w:top w:w="28" w:type="dxa"/>
          <w:left w:w="28" w:type="dxa"/>
          <w:bottom w:w="28" w:type="dxa"/>
          <w:right w:w="28" w:type="dxa"/>
        </w:tblCellMar>
      </w:tblPr>
      <w:tblGrid>
        <w:gridCol w:w="2332"/>
        <w:gridCol w:w="2049"/>
        <w:gridCol w:w="2068"/>
        <w:gridCol w:w="109"/>
        <w:gridCol w:w="109"/>
        <w:gridCol w:w="109"/>
        <w:gridCol w:w="283"/>
        <w:gridCol w:w="687"/>
        <w:gridCol w:w="146"/>
        <w:gridCol w:w="146"/>
        <w:gridCol w:w="146"/>
        <w:gridCol w:w="146"/>
        <w:gridCol w:w="283"/>
        <w:gridCol w:w="546"/>
        <w:gridCol w:w="207"/>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D&amp;B shares received as partial consideration for the Optimal Blue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current conflicts in Ukraine and the Middle East;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2022 (our "Annual Report") and other filings with the SEC.</w:t>
      </w:r>
    </w:p>
    <w:p>
      <w:pPr>
        <w:pStyle w:val="TextBody"/>
        <w:bidi w:val="0"/>
        <w:spacing w:lineRule="auto" w:line="25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Annual Report.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For a description of our business, including descriptions of segments and recent business developments, see the discussion</w:t>
      </w:r>
      <w:r>
        <w:rPr>
          <w:color w:val="000000"/>
        </w:rPr>
        <w:t xml:space="preserve"> </w:t>
      </w:r>
      <w:r>
        <w:rPr>
          <w:rFonts w:ascii="Times New Roman;sans-serif" w:hAnsi="Times New Roman;sans-serif"/>
          <w:b w:val="false"/>
          <w:color w:val="000000"/>
          <w:sz w:val="20"/>
        </w:rPr>
        <w:t xml:space="preserve">in Note A - </w:t>
      </w:r>
      <w:r>
        <w:rPr>
          <w:rFonts w:ascii="Times New Roman;sans-serif" w:hAnsi="Times New Roman;sans-serif"/>
          <w:b w:val="false"/>
          <w:i/>
          <w:color w:val="000000"/>
          <w:sz w:val="20"/>
        </w:rPr>
        <w:t>Basis of Financial Statements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Part I, Item 2.</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Business Trends and Conditions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Dun &amp; Bradstreet. </w:t>
      </w:r>
      <w:r>
        <w:rPr>
          <w:rFonts w:ascii="Times New Roman;sans-serif" w:hAnsi="Times New Roman;sans-serif"/>
          <w:b w:val="false"/>
          <w:color w:val="000000"/>
          <w:sz w:val="20"/>
        </w:rPr>
        <w:t>D&amp;B believes there are several key trends in the global macroeconomic environment generating additional growth in D&amp;B's total addressable market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Restaurant Group</w:t>
      </w:r>
      <w:r>
        <w:rPr>
          <w:rFonts w:ascii="Times New Roman;sans-serif" w:hAnsi="Times New Roman;sans-serif"/>
          <w:b w:val="false"/>
          <w:color w:val="000000"/>
          <w:sz w:val="20"/>
        </w:rPr>
        <w:t>. The restaurant industry is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operating in a period of high inflation relative to long term inflation expectations in the United States. This inflationary environment is primarily impacting the commodity and labor costs of our Restaurant Group. We have adjusted menu pricing to at least partially account for these cost increases but will continue to balance menu pricing considering the impact of inflationary pressures on costs and the value proposition offered to customers.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Restaurant Group has undertaken a project to renegotiate or terminate leases and close O'Charley's stores with unfavorable store-level cash flow profiles. Through this process they have closed (or expect to close prior to year-end) certain O'Charley's stores. We expect the process to generally reduce the future revenue and improve the future operating profitability of our Restaurant Group, however we cannot be certain of the precise impact as of the date of this Quarterly Report. As of September 30, 2023, there are $29.6 million of liabilities recognized on our Condensed Consolidated Balance Sheet related to stores expected to be closed in the fourth quarter of 2023 and for which the associated lease assets and property and equipment have been fully impaired in the periods ended September 30, 2023. Such lease liabilities will be derecognized, net of any termination fees and disposal costs, when O'Charley's is legally released from the remaining liability.</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further discussion of the historical results of operations of our Restaurant Group and of stores closed as of September 30, 2023 and the impact of impairments to lease assets and property equipment in the year ended September 30, 2023 in </w:t>
      </w:r>
      <w:r>
        <w:rPr>
          <w:rFonts w:ascii="Times New Roman;sans-serif" w:hAnsi="Times New Roman;sans-serif"/>
          <w:b w:val="false"/>
          <w:i/>
          <w:color w:val="000000"/>
          <w:sz w:val="20"/>
        </w:rPr>
        <w:t>Results of Operations - Restaurant Group</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and operating income in future periods will continue to be subject to these and other factors that are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control and, as a result, are likely to fluctuate.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bidi w:val="0"/>
        <w:spacing w:lineRule="auto" w:line="288" w:before="120" w:after="100"/>
        <w:ind w:left="0" w:right="0" w:firstLine="360"/>
        <w:jc w:val="both"/>
        <w:rPr/>
      </w:pPr>
      <w:r>
        <w:rPr>
          <w:rFonts w:ascii="Times New Roman;sans-serif" w:hAnsi="Times New Roman;sans-serif"/>
          <w:b w:val="false"/>
          <w:i/>
          <w:color w:val="000000"/>
          <w:sz w:val="20"/>
        </w:rPr>
        <w:t>Investments in unconsolidated affiliates - impairment monitoring</w:t>
      </w:r>
      <w:r>
        <w:rPr>
          <w:rFonts w:ascii="Times New Roman;sans-serif" w:hAnsi="Times New Roman;sans-serif"/>
          <w:b w:val="false"/>
          <w:color w:val="000000"/>
          <w:sz w:val="20"/>
        </w:rPr>
        <w:t>.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fair value of our ownership interest in Alight based on quoted market prices was $372.1 million and the book value of our recorded asset for Alight was $523.7 million. While the fair value of our investment in Alight is below our book value, there are no other indicators that our investment is other than temporarily impaired. Alight has consistently outperformed market expectations and our expectations for its results of operations from when we initially invested in Alight. Due to these factors, we consider the decline in value to be temporary as of September 30, 2023. Though we do not currently believe our investment in Alight is other than temporarily impaired, because the fair value is currently below the book value of our investment in Alight, further declines in fair value of the investment, deterioration in Alight's actual or forecasted results of operations or adverse changes in the US macroeconomic environment could result in an impairment charge in future periods to record our asset at fair value.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book value of our investment in System1 accounted for under the equity method of accounting prior to any impairment was $96.5 million. Based on quoted market prices, the aggregate fair market value of our ownership of System1 common stock was approximately $32.7 million as of September 30, 2023. Due to the quantum of the decrease in the fair market value of our ownership interest subsequent to our acquisition, declines in the forecasted results of operations and liquidity of System1, and the uncertainty of the impact of the economic environment on System1's business, management determined the decrease in value of our investment in System1 was other-than-temporary as of September 30, 2023. Accordingly, we recorded an impairment of $63.9 million which is included in Recognized (losses) gains, net, on our Consolidated Statement of Operations for the year ended September 30,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book value of our investment in Sightline accounted for under the equity method of accounting prior to any impairment was $232.5 million. Based on a valuation using a hybrid discounted cash flow and market comparison approach, the aggregate fair market value of our ownership of Sightline equity was approximately $162.3 million as of September 30, 2023. The fair value measurement is considered a level 3 fair value measure. The primary inputs in the valuation were the forecasted results of operations of Sightline and the discount rate used in the discounted cash flow analysis. The primary significant unobservable input used was the 29% discount rate used in the discounted cash flow analysis.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quantum of the decrease in the fair market value of our ownership interest subsequent to our acquisition, declines in the forecasted results of operations and liquidity of Sightline, and the uncertainty of the impact of the economic environment on Sightline's business, management determined the decrease in value of our investment in Sightline was other-than-temporary as of September 30, 2023. Accordingly, we recorded an impairment of $70.2 million which is included in Recognized (losses) gains, net, on our Consolidated Statement of Operations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Consolidated Results of Operations</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 xml:space="preserve">Net Earnings. </w:t>
      </w:r>
      <w:r>
        <w:rPr>
          <w:rFonts w:ascii="Times New Roman;sans-serif" w:hAnsi="Times New Roman;sans-serif"/>
          <w:b w:val="false"/>
          <w:color w:val="000000"/>
          <w:sz w:val="20"/>
        </w:rPr>
        <w:t>The following table presents certain financial data for the periods indicated:</w:t>
      </w:r>
    </w:p>
    <w:tbl>
      <w:tblPr>
        <w:tblW w:w="10205" w:type="dxa"/>
        <w:jc w:val="center"/>
        <w:tblInd w:w="0" w:type="dxa"/>
        <w:tblLayout w:type="fixed"/>
        <w:tblCellMar>
          <w:top w:w="28" w:type="dxa"/>
          <w:left w:w="28" w:type="dxa"/>
          <w:bottom w:w="28" w:type="dxa"/>
          <w:right w:w="28" w:type="dxa"/>
        </w:tblCellMar>
      </w:tblPr>
      <w:tblGrid>
        <w:gridCol w:w="1825"/>
        <w:gridCol w:w="1530"/>
        <w:gridCol w:w="1544"/>
        <w:gridCol w:w="231"/>
        <w:gridCol w:w="732"/>
        <w:gridCol w:w="128"/>
        <w:gridCol w:w="128"/>
        <w:gridCol w:w="128"/>
        <w:gridCol w:w="128"/>
        <w:gridCol w:w="231"/>
        <w:gridCol w:w="658"/>
        <w:gridCol w:w="128"/>
        <w:gridCol w:w="109"/>
        <w:gridCol w:w="109"/>
        <w:gridCol w:w="109"/>
        <w:gridCol w:w="218"/>
        <w:gridCol w:w="690"/>
        <w:gridCol w:w="121"/>
        <w:gridCol w:w="121"/>
        <w:gridCol w:w="121"/>
        <w:gridCol w:w="121"/>
        <w:gridCol w:w="218"/>
        <w:gridCol w:w="690"/>
        <w:gridCol w:w="187"/>
      </w:tblGrid>
      <w:tr>
        <w:trPr/>
        <w:tc>
          <w:tcPr>
            <w:tcW w:w="18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5306" w:type="dxa"/>
            <w:gridSpan w:val="21"/>
            <w:tcBorders/>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(losses) gains,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(expense) income </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before income taxes and equity in losses of unconsolidated affiliates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before equity in losses of unconsolidated affiliates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of unconsolidated affiliates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 attributable to Cannae Holdings, Inc. common shareholders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 the Three Months Ended September 30, 2023 and 2022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following is a discussion of the material fluctuations in our consolidated results of operations for the three months ended September 30, 2023 compared to the three months ended September 30, 2022. The material changes in revenues, expenses and pre-tax loss from the three months ended </w:t>
      </w:r>
      <w:r>
        <w:rPr>
          <w:rFonts w:ascii="Times New Roman;sans-serif" w:hAnsi="Times New Roman;sans-serif"/>
          <w:b w:val="false"/>
          <w:color w:val="000000"/>
          <w:sz w:val="20"/>
          <w:shd w:fill="FFFFFF" w:val="clear"/>
        </w:rPr>
        <w:t>September 30, 2023 and 2022 are</w:t>
      </w:r>
      <w:r>
        <w:rPr>
          <w:color w:val="000000"/>
        </w:rPr>
        <w:t xml:space="preserve"> </w:t>
      </w:r>
      <w:r>
        <w:rPr>
          <w:rFonts w:ascii="Times New Roman;sans-serif" w:hAnsi="Times New Roman;sans-serif"/>
          <w:b w:val="false"/>
          <w:color w:val="000000"/>
          <w:sz w:val="20"/>
        </w:rPr>
        <w:t>discussed in further detail at the segment level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decreased $20.9 million, or 12.7%, in the three months ended September 30, 2023 compared to the corresponding period in 2022.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primarily of personnel costs, cost of restaurant revenue, other operating expenses, and depreciation and amortization.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include management fees, carried interest fees, professional fees, advertising costs, travel expenses and impairments of operating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consists of our depreciation related to investments in property and equipment as well as amortization of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Pre-Tax Loss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earnings before income taxes and equity in losses of unconsolidated affiliates decreased $335.2 million, or 223.3%, in the three months ended September 30, 2023 compared to the corresponding period in 2022.</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was $(40.5) million and $17.0 million in the three-month periods ended September 30, 2023 and 2022, respectively. Our effective tax rate was 21.9% and 11.3% in the three months ended September 30, 2023 and 2022,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September 30, 2023 compared to the corresponding period in 2022 is primarily attributable to the impact of equity in losses of unconsolidated affiliates on income tax benefit.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 Losses of Unconsolidated Affiliates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of unconsolidated affiliates for the </w:t>
      </w:r>
      <w:r>
        <w:rPr>
          <w:rFonts w:ascii="Times New Roman;sans-serif" w:hAnsi="Times New Roman;sans-serif"/>
          <w:b w:val="false"/>
          <w:color w:val="000000"/>
          <w:sz w:val="20"/>
        </w:rPr>
        <w:t xml:space="preserve">three </w:t>
      </w:r>
      <w:r>
        <w:rPr>
          <w:rFonts w:ascii="Times New Roman;sans-serif" w:hAnsi="Times New Roman;sans-serif"/>
          <w:b w:val="false"/>
          <w:color w:val="000000"/>
          <w:sz w:val="20"/>
          <w:shd w:fill="FFFFFF" w:val="clear"/>
        </w:rPr>
        <w:t>months ended September 30, 2023 and 2022 consisted of the following:</w:t>
      </w:r>
    </w:p>
    <w:tbl>
      <w:tblPr>
        <w:tblW w:w="4689" w:type="dxa"/>
        <w:jc w:val="left"/>
        <w:tblInd w:w="0" w:type="dxa"/>
        <w:tblLayout w:type="fixed"/>
        <w:tblCellMar>
          <w:top w:w="28" w:type="dxa"/>
          <w:left w:w="28" w:type="dxa"/>
          <w:bottom w:w="28" w:type="dxa"/>
          <w:right w:w="28" w:type="dxa"/>
        </w:tblCellMar>
      </w:tblPr>
      <w:tblGrid>
        <w:gridCol w:w="554"/>
        <w:gridCol w:w="487"/>
        <w:gridCol w:w="489"/>
        <w:gridCol w:w="264"/>
        <w:gridCol w:w="735"/>
        <w:gridCol w:w="136"/>
        <w:gridCol w:w="136"/>
        <w:gridCol w:w="136"/>
        <w:gridCol w:w="136"/>
        <w:gridCol w:w="264"/>
        <w:gridCol w:w="735"/>
        <w:gridCol w:w="136"/>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 the Nine Months Ended September 30, 2023 and 2022</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following is a discussion of the material fluctuations in our consolidated results of operations for the nine months ended September 30, 2023 compared to the nine months ended September 30, 2022. The material changes in revenues, expenses and pre-tax loss from the nine months ended </w:t>
      </w:r>
      <w:r>
        <w:rPr>
          <w:rFonts w:ascii="Times New Roman;sans-serif" w:hAnsi="Times New Roman;sans-serif"/>
          <w:b w:val="false"/>
          <w:color w:val="000000"/>
          <w:sz w:val="20"/>
          <w:shd w:fill="FFFFFF" w:val="clear"/>
        </w:rPr>
        <w:t>September 30, 2023 and 2022 are</w:t>
      </w:r>
      <w:r>
        <w:rPr>
          <w:color w:val="000000"/>
        </w:rPr>
        <w:t xml:space="preserve"> </w:t>
      </w:r>
      <w:r>
        <w:rPr>
          <w:rFonts w:ascii="Times New Roman;sans-serif" w:hAnsi="Times New Roman;sans-serif"/>
          <w:b w:val="false"/>
          <w:color w:val="000000"/>
          <w:sz w:val="20"/>
        </w:rPr>
        <w:t>discussed in further detail at the segment level below.</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decreased $55.7 million, or 11.0%, in the nine months ended September 30, 2023 compared to the corresponding period in 2022.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Pre-Tax Earnings (Loss)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earnings before income taxes and equity in losses of unconsolidated affiliates increased (decreased loss) $195.8 million, or 47.0%, in the nine months ended September 30, 2023 compared to the corresponding period in 2022.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was $59.7 million and $111.4 million in the nine-month periods ended September 30, 2023 and 2022, respectively. Our effective tax rate was 27.1% and 26.8% in the nine months ended September 30, 2023 and 2022, respectively. Our effective tax rate fluctuates depending on our estimate of ultimate income tax liability and changes in the characteristics of net earnings, such as the weighting of operating income versus other income or earnings and losses of unconsolidated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our effective tax rate in the nine months September 30, 2023 compared to the corresponding period in 2022 is primarily attributable to the impact of equity in losses of unconsolidated affiliates on income tax benefit.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 Losses of Unconsolidated Affiliates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shd w:fill="FFFFFF" w:val="clear"/>
        </w:rPr>
        <w:t xml:space="preserve">Equity in (losses) earnings of unconsolidated affiliates for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months ended September 30, 2023 and 2022 consisted of the following:</w:t>
      </w:r>
    </w:p>
    <w:tbl>
      <w:tblPr>
        <w:tblW w:w="5725" w:type="dxa"/>
        <w:jc w:val="left"/>
        <w:tblInd w:w="0" w:type="dxa"/>
        <w:tblLayout w:type="fixed"/>
        <w:tblCellMar>
          <w:top w:w="28" w:type="dxa"/>
          <w:left w:w="28" w:type="dxa"/>
          <w:bottom w:w="28" w:type="dxa"/>
          <w:right w:w="28" w:type="dxa"/>
        </w:tblCellMar>
      </w:tblPr>
      <w:tblGrid>
        <w:gridCol w:w="554"/>
        <w:gridCol w:w="487"/>
        <w:gridCol w:w="489"/>
        <w:gridCol w:w="109"/>
        <w:gridCol w:w="109"/>
        <w:gridCol w:w="230"/>
        <w:gridCol w:w="230"/>
        <w:gridCol w:w="445"/>
        <w:gridCol w:w="1459"/>
        <w:gridCol w:w="230"/>
        <w:gridCol w:w="109"/>
        <w:gridCol w:w="109"/>
        <w:gridCol w:w="109"/>
        <w:gridCol w:w="211"/>
        <w:gridCol w:w="69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383" w:type="dxa"/>
            <w:gridSpan w:val="6"/>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Alight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Restaurant Group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Restaurant Group segment:</w:t>
      </w:r>
    </w:p>
    <w:tbl>
      <w:tblPr>
        <w:tblW w:w="10205" w:type="dxa"/>
        <w:jc w:val="center"/>
        <w:tblInd w:w="0" w:type="dxa"/>
        <w:tblLayout w:type="fixed"/>
        <w:tblCellMar>
          <w:top w:w="28" w:type="dxa"/>
          <w:left w:w="28" w:type="dxa"/>
          <w:bottom w:w="28" w:type="dxa"/>
          <w:right w:w="28" w:type="dxa"/>
        </w:tblCellMar>
      </w:tblPr>
      <w:tblGrid>
        <w:gridCol w:w="1750"/>
        <w:gridCol w:w="1504"/>
        <w:gridCol w:w="1532"/>
        <w:gridCol w:w="244"/>
        <w:gridCol w:w="695"/>
        <w:gridCol w:w="136"/>
        <w:gridCol w:w="136"/>
        <w:gridCol w:w="136"/>
        <w:gridCol w:w="136"/>
        <w:gridCol w:w="244"/>
        <w:gridCol w:w="695"/>
        <w:gridCol w:w="136"/>
        <w:gridCol w:w="109"/>
        <w:gridCol w:w="109"/>
        <w:gridCol w:w="109"/>
        <w:gridCol w:w="236"/>
        <w:gridCol w:w="672"/>
        <w:gridCol w:w="131"/>
        <w:gridCol w:w="131"/>
        <w:gridCol w:w="131"/>
        <w:gridCol w:w="131"/>
        <w:gridCol w:w="236"/>
        <w:gridCol w:w="672"/>
        <w:gridCol w:w="194"/>
      </w:tblGrid>
      <w:tr>
        <w:trPr/>
        <w:tc>
          <w:tcPr>
            <w:tcW w:w="175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5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revenue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restaurant revenue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gains (losses),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 of unconsolidated affiliates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Three Months Ended September 30, 2023</w:t>
      </w:r>
    </w:p>
    <w:p>
      <w:pPr>
        <w:pStyle w:val="TextBody"/>
        <w:bidi w:val="0"/>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Restaurant Group segment decreased $23.4 million, or 15.1%, in the three months ended September 30, 2023, compared to the corresponding period in 2022. The decrease was attributable to approximately $16.4 million of incremental revenue included in the three months ended September 30, 2022 associated with stores that were closed prior to September 30, 2023 and a decline in comparable store sales.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Restaurants brands decreased by 3.1% and 2.1%, respectively, in the three months ended September 30, 2023 compared to the comparable period in 2022. The decrease is primarily attributable to a decrease in guest counts, partially offset by an increase in the average amount spent by customers each visit.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restaurant revenue decreased directionally consistent with Restaurant revenues. Cost of restaurant revenue as a percentage of restaurant revenue was 88.3% and 91.3% in the three months ended September 30, 2023 and 2022, respectively. The decrease in cost of restaurant revenue as a percentage of restaurant revenue is attributable to higher costs of labor, food, and supplies in the third quarter of 2022.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the Restaurant Group segment increased $31.8 million, or 370%, in the three months ended September 30, 2023, compared to the corresponding periods in 2022. The increase was primarily attributable to impairments recorded to O'Charley's lease assets and property and equipment and lease termination and disposal costs related to the closing of stores. In the three months ended September 30, 2023 we recorded $21.9 million of impairment to Lease assets and $6.9 million of impairment to Property and equipment of our Restaurant Group. In the three months ended September 30, 2022 we recorded $0.5 million of impairment to Lease assets and $0.4 million of impairment to Property and equipment of our Restaurant Group. In the three months ended September 30, 2023, $1.8 million of disposal costs were incurred.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increased by $30.6 million, or 397.4%, in the three months ended September 30, 2023 from the corresponding period in 2022. The change in loss was primarily attributable to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Nine Months Ended September 30, 2023</w:t>
      </w:r>
    </w:p>
    <w:p>
      <w:pPr>
        <w:pStyle w:val="TextBody"/>
        <w:bidi w:val="0"/>
        <w:spacing w:lineRule="auto" w:line="288" w:before="1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Restaurant Group segment decreased $58.5 million, or 12.1%, in the nine months ended September 30, 2023, compared to the corresponding period in 2022. The decrease was attributable to approximately $39.6 million of incremental revenue included in the nine months ended September 30, 2022 associated with stores that were closed prior to September 30, 2023 and a decline in comparable store sales.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Comparable Store Sales. </w:t>
      </w:r>
      <w:r>
        <w:rPr>
          <w:rFonts w:ascii="Times New Roman;sans-serif" w:hAnsi="Times New Roman;sans-serif"/>
          <w:b w:val="false"/>
          <w:color w:val="000000"/>
          <w:sz w:val="20"/>
        </w:rPr>
        <w:t xml:space="preserve">Comparable store sales for our O'Charley's and 99 Restaurants brands decreased by 4.6% and 1.8%, respectively, in the nine months ended September 30, 2023 compared to the comparable period in 2022. The decrease in 2023 is primarily attributable to a decrease in guest counts, partially offset by an increase in the average amount spent by customers each visit.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restaurant revenue decreased directionally consistent with Restaurant revenues. Cost of restaurant revenue as a percentage of restaurant revenue was 88.4% and 89.9% in the nine months ended September 30, 2023 and 2022, respectively.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the Restaurant Group segment increased $33.1 million, or 118.6%, in the nine months ended September 30, 2023, compared to the corresponding periods in 2022. The increase is primarily attributable to the impairments recorded in the three months ended September 30,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increased by $33.9 million, or 218.7%, in the nine months ended September 30, 2023 from the corresponding period in 2022. The change in income was primarily attributable to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Dun &amp; Bradstreet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own approximately 18.0% of the outstanding common stock of Dun &amp; Bradstreet. We account for our ownership interest in Dun &amp; Bradstreet under the equity method of accounting; therefore, its results of operations do not consolidate into ours.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Dun &amp; Bradstreet for the relevant dates and time periods included in Equity in earnings (losses) of unconsolidated affiliates in our Statements of Operations is presented below.</w:t>
      </w:r>
    </w:p>
    <w:tbl>
      <w:tblPr>
        <w:tblW w:w="10205" w:type="dxa"/>
        <w:jc w:val="center"/>
        <w:tblInd w:w="0" w:type="dxa"/>
        <w:tblLayout w:type="fixed"/>
        <w:tblCellMar>
          <w:top w:w="28" w:type="dxa"/>
          <w:left w:w="28" w:type="dxa"/>
          <w:bottom w:w="28" w:type="dxa"/>
          <w:right w:w="28" w:type="dxa"/>
        </w:tblCellMar>
      </w:tblPr>
      <w:tblGrid>
        <w:gridCol w:w="1683"/>
        <w:gridCol w:w="1481"/>
        <w:gridCol w:w="1491"/>
        <w:gridCol w:w="252"/>
        <w:gridCol w:w="737"/>
        <w:gridCol w:w="129"/>
        <w:gridCol w:w="129"/>
        <w:gridCol w:w="129"/>
        <w:gridCol w:w="129"/>
        <w:gridCol w:w="252"/>
        <w:gridCol w:w="737"/>
        <w:gridCol w:w="129"/>
        <w:gridCol w:w="109"/>
        <w:gridCol w:w="109"/>
        <w:gridCol w:w="109"/>
        <w:gridCol w:w="214"/>
        <w:gridCol w:w="780"/>
        <w:gridCol w:w="110"/>
        <w:gridCol w:w="110"/>
        <w:gridCol w:w="110"/>
        <w:gridCol w:w="110"/>
        <w:gridCol w:w="214"/>
        <w:gridCol w:w="780"/>
        <w:gridCol w:w="172"/>
      </w:tblGrid>
      <w:tr>
        <w:trPr/>
        <w:tc>
          <w:tcPr>
            <w:tcW w:w="168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Dun &amp; Bradstreet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Dun &amp; Bradstreet (NYSE: "DNB")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Alight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own approximately 9.8% of the outstanding common stock of Alight. We account for our ownership of Alight under the equity method of accounting; therefore, its results do not consolidate into ours. </w:t>
      </w:r>
    </w:p>
    <w:p>
      <w:pPr>
        <w:pStyle w:val="TextBody"/>
        <w:bidi w:val="0"/>
        <w:spacing w:before="120" w:after="12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Alight for the relevant dates and time periods included in Equity in earnings of unconsolidated affiliates in our Condensed Consolidated Statements of Operations is presented below.</w:t>
      </w:r>
    </w:p>
    <w:tbl>
      <w:tblPr>
        <w:tblW w:w="10205" w:type="dxa"/>
        <w:jc w:val="left"/>
        <w:tblInd w:w="0" w:type="dxa"/>
        <w:tblLayout w:type="fixed"/>
        <w:tblCellMar>
          <w:top w:w="28" w:type="dxa"/>
          <w:left w:w="28" w:type="dxa"/>
          <w:bottom w:w="28" w:type="dxa"/>
          <w:right w:w="28" w:type="dxa"/>
        </w:tblCellMar>
      </w:tblPr>
      <w:tblGrid>
        <w:gridCol w:w="1687"/>
        <w:gridCol w:w="1486"/>
        <w:gridCol w:w="1497"/>
        <w:gridCol w:w="251"/>
        <w:gridCol w:w="733"/>
        <w:gridCol w:w="129"/>
        <w:gridCol w:w="129"/>
        <w:gridCol w:w="129"/>
        <w:gridCol w:w="129"/>
        <w:gridCol w:w="251"/>
        <w:gridCol w:w="733"/>
        <w:gridCol w:w="129"/>
        <w:gridCol w:w="109"/>
        <w:gridCol w:w="109"/>
        <w:gridCol w:w="109"/>
        <w:gridCol w:w="214"/>
        <w:gridCol w:w="780"/>
        <w:gridCol w:w="110"/>
        <w:gridCol w:w="110"/>
        <w:gridCol w:w="110"/>
        <w:gridCol w:w="110"/>
        <w:gridCol w:w="214"/>
        <w:gridCol w:w="780"/>
        <w:gridCol w:w="167"/>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noncontrolling interests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Alight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Alight (NYSE: "ALIT")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Paysafe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own approximately 5.5% of the outstanding common stock of Paysafe. We account for our ownership of Paysafe under the equity method of accounting; therefore, its results do not consolidate into ours. We report our equity in the earnings or loss of Paysafe on a three-month lag. Accordingly, our net loss for the three and nine months ended September 30, 2023 and 2022 includes our equity in Paysafe’s losses for the three and nine months ended June 30, 2023 and 2022, respectively.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Paysafe for the relevant dates and time periods included in Equity in earnings of unconsolidated affiliates in our Condensed Consolidated Statements of Operations is presented below.</w:t>
      </w:r>
    </w:p>
    <w:tbl>
      <w:tblPr>
        <w:tblW w:w="9786" w:type="dxa"/>
        <w:jc w:val="left"/>
        <w:tblInd w:w="0" w:type="dxa"/>
        <w:tblLayout w:type="fixed"/>
        <w:tblCellMar>
          <w:top w:w="28" w:type="dxa"/>
          <w:left w:w="28" w:type="dxa"/>
          <w:bottom w:w="28" w:type="dxa"/>
          <w:right w:w="28" w:type="dxa"/>
        </w:tblCellMar>
      </w:tblPr>
      <w:tblGrid>
        <w:gridCol w:w="1698"/>
        <w:gridCol w:w="1495"/>
        <w:gridCol w:w="1502"/>
        <w:gridCol w:w="213"/>
        <w:gridCol w:w="622"/>
        <w:gridCol w:w="110"/>
        <w:gridCol w:w="110"/>
        <w:gridCol w:w="110"/>
        <w:gridCol w:w="110"/>
        <w:gridCol w:w="213"/>
        <w:gridCol w:w="622"/>
        <w:gridCol w:w="110"/>
        <w:gridCol w:w="109"/>
        <w:gridCol w:w="109"/>
        <w:gridCol w:w="109"/>
        <w:gridCol w:w="211"/>
        <w:gridCol w:w="766"/>
        <w:gridCol w:w="109"/>
        <w:gridCol w:w="109"/>
        <w:gridCol w:w="109"/>
        <w:gridCol w:w="109"/>
        <w:gridCol w:w="211"/>
        <w:gridCol w:w="76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noncontrolling interest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Paysafe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relating to the results of operations of Paysafe (NYSE: "PSFE")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and Other segment consists of our share in the operations of certain controlled businesses and other equity ownership interests, activity of the corporate holding company and certain intercompany eliminations and taxes.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from operations of our non-reportable Corporate and other segment:</w:t>
      </w:r>
    </w:p>
    <w:tbl>
      <w:tblPr>
        <w:tblW w:w="10205" w:type="dxa"/>
        <w:jc w:val="center"/>
        <w:tblInd w:w="0" w:type="dxa"/>
        <w:tblLayout w:type="fixed"/>
        <w:tblCellMar>
          <w:top w:w="28" w:type="dxa"/>
          <w:left w:w="28" w:type="dxa"/>
          <w:bottom w:w="28" w:type="dxa"/>
          <w:right w:w="28" w:type="dxa"/>
        </w:tblCellMar>
      </w:tblPr>
      <w:tblGrid>
        <w:gridCol w:w="1834"/>
        <w:gridCol w:w="1529"/>
        <w:gridCol w:w="1535"/>
        <w:gridCol w:w="231"/>
        <w:gridCol w:w="732"/>
        <w:gridCol w:w="128"/>
        <w:gridCol w:w="128"/>
        <w:gridCol w:w="128"/>
        <w:gridCol w:w="128"/>
        <w:gridCol w:w="231"/>
        <w:gridCol w:w="658"/>
        <w:gridCol w:w="128"/>
        <w:gridCol w:w="109"/>
        <w:gridCol w:w="109"/>
        <w:gridCol w:w="109"/>
        <w:gridCol w:w="218"/>
        <w:gridCol w:w="691"/>
        <w:gridCol w:w="121"/>
        <w:gridCol w:w="121"/>
        <w:gridCol w:w="121"/>
        <w:gridCol w:w="121"/>
        <w:gridCol w:w="218"/>
        <w:gridCol w:w="691"/>
        <w:gridCol w:w="186"/>
      </w:tblGrid>
      <w:tr>
        <w:trPr/>
        <w:tc>
          <w:tcPr>
            <w:tcW w:w="183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revenue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investment and other income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Recognized (losses) gains, net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before income taxes and equity in losses of unconsolidated affiliates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Three Months Ended September 30, 2023</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 in our Corporate and Other segment consists of the following:</w:t>
      </w:r>
    </w:p>
    <w:tbl>
      <w:tblPr>
        <w:tblW w:w="5882" w:type="dxa"/>
        <w:jc w:val="left"/>
        <w:tblInd w:w="0" w:type="dxa"/>
        <w:tblLayout w:type="fixed"/>
        <w:tblCellMar>
          <w:top w:w="28" w:type="dxa"/>
          <w:left w:w="28" w:type="dxa"/>
          <w:bottom w:w="28" w:type="dxa"/>
          <w:right w:w="28" w:type="dxa"/>
        </w:tblCellMar>
      </w:tblPr>
      <w:tblGrid>
        <w:gridCol w:w="962"/>
        <w:gridCol w:w="845"/>
        <w:gridCol w:w="848"/>
        <w:gridCol w:w="245"/>
        <w:gridCol w:w="802"/>
        <w:gridCol w:w="126"/>
        <w:gridCol w:w="126"/>
        <w:gridCol w:w="126"/>
        <w:gridCol w:w="126"/>
        <w:gridCol w:w="245"/>
        <w:gridCol w:w="715"/>
        <w:gridCol w:w="126"/>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 fair value adjustments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 impairment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 impairment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 partial sales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AmeriLife partial sales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ans-serif" w:hAnsi="Times New Roman;sans-serif"/>
          <w:b/>
          <w:i/>
          <w:color w:val="000000"/>
          <w:sz w:val="20"/>
        </w:rPr>
      </w:pPr>
      <w:r>
        <w:rPr>
          <w:rFonts w:ascii="Times New Roman;sans-serif" w:hAnsi="Times New Roman;sans-serif"/>
          <w:b/>
          <w:i/>
          <w:color w:val="000000"/>
          <w:sz w:val="20"/>
        </w:rPr>
        <w:t>For the Nine Months Ended September 30,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decreased $51.4 million in the nine months ended September 30, 2023 compared to the prior year period. The decrease in the nine month period was primarily driven by carried interest incurred with our Manager of $49.3 million in the nine months ended September 30, 2022. No carried interest expense was incurred in the nine months ended September 30, 2023. The carried interest for the period ended September 30, 2022 was primarily attributable to the Optimal Blue Disposition, of which $31.8 million was paid in D&amp;B stock.</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Recognized (losses) gains, net in our Corporate and Other segment consists of the following:</w:t>
      </w:r>
    </w:p>
    <w:tbl>
      <w:tblPr>
        <w:tblW w:w="9658" w:type="dxa"/>
        <w:jc w:val="left"/>
        <w:tblInd w:w="0" w:type="dxa"/>
        <w:tblLayout w:type="fixed"/>
        <w:tblCellMar>
          <w:top w:w="28" w:type="dxa"/>
          <w:left w:w="28" w:type="dxa"/>
          <w:bottom w:w="28" w:type="dxa"/>
          <w:right w:w="28" w:type="dxa"/>
        </w:tblCellMar>
      </w:tblPr>
      <w:tblGrid>
        <w:gridCol w:w="1956"/>
        <w:gridCol w:w="1718"/>
        <w:gridCol w:w="1725"/>
        <w:gridCol w:w="109"/>
        <w:gridCol w:w="109"/>
        <w:gridCol w:w="226"/>
        <w:gridCol w:w="226"/>
        <w:gridCol w:w="437"/>
        <w:gridCol w:w="1434"/>
        <w:gridCol w:w="226"/>
        <w:gridCol w:w="109"/>
        <w:gridCol w:w="109"/>
        <w:gridCol w:w="109"/>
        <w:gridCol w:w="211"/>
        <w:gridCol w:w="691"/>
        <w:gridCol w:w="109"/>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Ceridian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Paysafe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Sightline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System1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and other security impairments and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 &amp; Bradstreet partial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Optimal Blue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AmeriLife partial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Cash Requirements.</w:t>
      </w:r>
      <w:r>
        <w:rPr>
          <w:color w:val="000000"/>
        </w:rPr>
        <w:t xml:space="preserve"> </w:t>
      </w:r>
      <w:r>
        <w:rPr>
          <w:rFonts w:ascii="Times New Roman;sans-serif" w:hAnsi="Times New Roman;sans-serif"/>
          <w:b w:val="false"/>
          <w:color w:val="000000"/>
          <w:sz w:val="20"/>
        </w:rPr>
        <w:t>Our short and long term cash requirements include personnel costs, operating expenses, taxes, payments of interest and principal on our debt, capital expenditures, and other potential business acquisitions or investments. There are no restrictions on our retained earnings regarding our ability to pay dividends to stockholders. The declaration of any future dividends is at the discretion of our Board of Directors. Additional uses of cash flow over the short and long term are expected to include stock repurchases, acquisitions, and debt repayments.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$58.1 million, of which $42.5 million was cash held by the corporate holding company, $18.5 million of short-term investments held by the corporate holding company, and $150.0 million of capacity under our existing holding company credit facilities with the ability to add an additional $350.0 million of borrowing capacity by amending our 2020 Margin Facility. As of September 30, 2023, $10.3 million of our short term investments are pledged as collateral for letters of credit for our Restaurant Group.</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for the Nine Months Ended September 30, 2023</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Operating Cash Flow</w:t>
      </w:r>
      <w:r>
        <w:rPr>
          <w:rFonts w:ascii="Times New Roman;sans-serif" w:hAnsi="Times New Roman;sans-serif"/>
          <w:b w:val="false"/>
          <w:color w:val="000000"/>
          <w:sz w:val="20"/>
        </w:rPr>
        <w:t>. Our cash flows used in operations for the nine months ended September 30, 2023 and 2022 totaled $54.5 million and $186.8 million, respectively. The decrease in cash used in operations of $132.3 million is primarily attributable to higher tax payments, carried interest expense incurred with our Manager and ISIP bonuses paid in the 2022 period.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Investing Cash Flows. </w:t>
      </w:r>
      <w:r>
        <w:rPr>
          <w:rFonts w:ascii="Times New Roman;sans-serif" w:hAnsi="Times New Roman;sans-serif"/>
          <w:b w:val="false"/>
          <w:color w:val="000000"/>
          <w:sz w:val="20"/>
        </w:rPr>
        <w:t>Our cash flows (used in) provided by investing activities for the nine months ended September 30, 2023 and 2022 were $(33.6) million and $562.3 million, respectively. The decrease in cash provided by (increase in cash used in) investing activities of $595.9 million in the 2023 period from the 2022 period is primarily attributable to lower proceeds from sales of investments in the 2023 period compared to the 2022 period.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Our cash flows used in financing activities for the nine months ended September 30, 2023 and 2022 were $101.5 million and $90.2 million, respectively. The increase in cash used in financing activities of $11.3 million is primarily attributable to less treasury stock purchased in the nine months ended September 30, 2023 compared to the same period in 2022 as well as the proceeds from draws on the FNF Revolver in the 2022 period.</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 xml:space="preserve">Financing Arrangements. </w:t>
      </w:r>
      <w:r>
        <w:rPr>
          <w:rFonts w:ascii="Times New Roman;sans-serif" w:hAnsi="Times New Roman;sans-serif"/>
          <w:b w:val="false"/>
          <w:color w:val="000000"/>
          <w:sz w:val="20"/>
        </w:rPr>
        <w:t xml:space="preserve">For a description of our financing arrangements, see Note G -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included in Item 1 of Part I of this Quarterly Report, which is incorporated by reference into this Item 2 of Part 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Seasonality.</w:t>
      </w:r>
      <w:r>
        <w:rPr>
          <w:color w:val="000000"/>
        </w:rPr>
        <w:t> </w:t>
      </w:r>
      <w:r>
        <w:rPr>
          <w:rFonts w:ascii="Times New Roman;sans-serif" w:hAnsi="Times New Roman;sans-serif"/>
          <w:b w:val="false"/>
          <w:color w:val="000000"/>
          <w:sz w:val="20"/>
        </w:rPr>
        <w:t>There have been no material changes to the seasonality experienced in our businesses from those described for the period as of and for the year ended December 31, 2022 included in our Annual Report.</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Contractual Obligations.</w:t>
      </w:r>
      <w:r>
        <w:rPr>
          <w:color w:val="000000"/>
        </w:rPr>
        <w:t xml:space="preserve"> </w:t>
      </w:r>
      <w:r>
        <w:rPr>
          <w:rFonts w:ascii="Times New Roman;sans-serif" w:hAnsi="Times New Roman;sans-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Manager.</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2023 to determine the amount of these obligations.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2023, the Company, Cannae LLC and Trasimene entered into a Second Amended and Restated Management Services Agreement (the "Amended MSA") which amends and restates the Management Services Agreement dated as of August 27, 2019, as amended on January 27, 2021 and further amended on August 4, 2021 (the "Original MSA"). The Amended MSA amends and restates the Original MSA primarily to (i) reduce the management fee from 1.5% to 1.25% for amounts greater than $2.5 billion of cost of invested capital, (ii) reduce the base fee for terminating the agreement from the average annual management fee for the preceding 24-month period as of a termination date (approximately $40 million for the period ended September 30, 2023) to $20 million, except in the event the termination results from a third-party change of control in which case the base fee is $40 million, and (iii) require all transactions with affiliates of the Manager be reviewed by a new Related Person Transaction Committee of the Company's Board of Directors. The Amended MSA has an initial term of five years. The Amended MSA will be automatically renewed for one-year terms thereafter unless terminated by either the Company or the Manager in accordance with the terms of the Amended MSA.</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Amended MSA, we are obligated to pay our Manager a quarterly management fee as of the last day of each fiscal quarter, payable in arrears in cash, as may be adjusted pursuant to the terms of the Management Services Agreement. Management fees payable to our Manager are included for the new term of the Amended MSA and are based on our cost of invested capital of $2,614.6 as of September 30, 2023.</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 include its agreements to lease its corporate office and certain O'Charley's restaurant locations, which are accounted for as failed sale and leaseback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required annual payments relating to these contractual obligations were as follows:</w:t>
      </w:r>
    </w:p>
    <w:tbl>
      <w:tblPr>
        <w:tblW w:w="10205" w:type="dxa"/>
        <w:jc w:val="left"/>
        <w:tblInd w:w="0" w:type="dxa"/>
        <w:tblLayout w:type="fixed"/>
        <w:tblCellMar>
          <w:top w:w="28" w:type="dxa"/>
          <w:left w:w="28" w:type="dxa"/>
          <w:bottom w:w="28" w:type="dxa"/>
          <w:right w:w="28" w:type="dxa"/>
        </w:tblCellMar>
      </w:tblPr>
      <w:tblGrid>
        <w:gridCol w:w="897"/>
        <w:gridCol w:w="581"/>
        <w:gridCol w:w="586"/>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4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purchase obligations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payable to Manager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Group financing obligations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Capital Stock Transactions</w:t>
      </w:r>
      <w:r>
        <w:rPr>
          <w:rFonts w:ascii="Times New Roman;sans-serif" w:hAnsi="Times New Roman;sans-serif"/>
          <w:b w:val="false"/>
          <w:color w:val="000000"/>
          <w:sz w:val="20"/>
        </w:rPr>
        <w:t>. 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purchases under the 2023 Repurchase Program.</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we repurchased 2,679,052 shares of Cannae common stock for approximately $51.1 million in the aggregate, or an average of $19.06 per share, under the 2022 Repurchase Program. During the nine months ended September 30, 2023, we repurchased 5,744,856 shares of Cannae common stock for approximately $111.5 million in the aggregate, or an average of $19.41 per share, under the 2022 Repurchase Program. We accrued $1.1 million for the associated excise tax on the transactions which is included in the book value of the treasury stock repurchased. Subsequent to September 30, 2023, we repurchased 52,567 shares of Cannae common stock for approximately $1.0 million under the 2022 Repurchase Program. Since the original commencement of the 2022 Repurchase Program through the date of this Quarterly Report we have repurchased 7,012,038 shares of Cannae common stock for approximately $138.3 million in the aggregate, or $19.73 per share. As of the date of this Quarterly Report, there are 2,935,395 shares of common stock available for repurchase under the 2022 Repurchase Program.</w:t>
      </w:r>
    </w:p>
    <w:p>
      <w:pPr>
        <w:pStyle w:val="TextBody"/>
        <w:bidi w:val="0"/>
        <w:spacing w:lineRule="auto" w:line="288" w:before="120" w:after="120"/>
        <w:ind w:left="0" w:right="0" w:firstLine="360"/>
        <w:jc w:val="both"/>
        <w:rPr/>
      </w:pPr>
      <w:r>
        <w:rPr>
          <w:rFonts w:ascii="Times New Roman;sans-serif" w:hAnsi="Times New Roman;sans-serif"/>
          <w:b w:val="false"/>
          <w:i/>
          <w:color w:val="000000"/>
          <w:sz w:val="20"/>
        </w:rPr>
        <w:t>Off-Balance Sheet Arrangements.</w:t>
      </w:r>
      <w:r>
        <w:rPr>
          <w:color w:val="000000"/>
        </w:rPr>
        <w:t xml:space="preserve"> </w:t>
      </w:r>
      <w:r>
        <w:rPr>
          <w:rFonts w:ascii="Times New Roman;sans-serif" w:hAnsi="Times New Roman;sans-serif"/>
          <w:b w:val="false"/>
          <w:color w:val="000000"/>
          <w:sz w:val="20"/>
          <w:shd w:fill="FFFFFF" w:val="clear"/>
        </w:rPr>
        <w:t>There have been no significant changes to our off-balance sheet arrangements since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market risks described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quarter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See discussion of legal proceedings in Note H -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Condensed Consolidated Financial Statements included in Item 1 of Part I of this Quarterly Report, which is incorporated by reference into this Item 1 of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00"/>
        <w:jc w:val="left"/>
        <w:rPr/>
      </w:pPr>
      <w:r>
        <w:rPr>
          <w:rFonts w:ascii="Times New Roman;sans-serif" w:hAnsi="Times New Roman;sans-serif"/>
          <w:b/>
          <w:color w:val="000000"/>
          <w:sz w:val="20"/>
        </w:rPr>
        <w:t>Item 1A.     </w:t>
      </w:r>
      <w:r>
        <w:rPr>
          <w:color w:val="000000"/>
        </w:rPr>
        <w:t> </w:t>
      </w:r>
      <w:r>
        <w:rPr>
          <w:rFonts w:ascii="Times New Roman;sans-serif" w:hAnsi="Times New Roman;sans-serif"/>
          <w:b/>
          <w:i/>
          <w:color w:val="000000"/>
          <w:sz w:val="20"/>
        </w:rPr>
        <w:t>Risk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disclosed in "Item 1A. Risk Factors" included in our Annual Report on Form 10-K for the year ended December 31, 2022, are hereby incorporated by reference. In addition, we identified the following additional risk.</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An inability of our material unconsolidated affiliates to maintain effective financial reporting processes may adversely impact our ability to report our results of operations or financial condition accurately and timely.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be a negative reaction in the financial markets due to a loss of investor confidence in us and the reliability of our financial statements. This could materially adversely affect us and lead to a decline in the price of the Company's common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Cannae records its share of equity in earnings or loss of System1 on a three-month lag. As of the date of filing of our Quarterly Report on Form 10-Q for the period ended March 31, 2023, System1 had not filed its annual report for the period ended December 31, 2022, and accordingly, our equity in losses of unconsolidated affiliates for the three months ended March 31, 2023 included our ratable share of System1's preliminary results of operations for the three months ended December 31, 2022. On June 6, 2023, System1 finalized and filed its annual report as well as restated quarterly reports for the periods ended March 31, 2022, June 30, 2022 and September 30, 2022. Based on an assessment of the impact of System1's restated results of operations and financial condition for these periods, the restatements by System1 did not have a material impact to Cannae's previously reported financial information. As of the date of this Quarterly Report on Form 10-Q, System1 has filed its quarterly reports for the period ended March 31, 2023 and June 30, 2023. Accordingly, our net loss for the three and nine months ended September 30, 2023 and 2022 include our equity in System1’s loss for the three and nine months ended June 30, 2023 and 2022, respectively.</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8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78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repurchases of equity securities by the Company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327"/>
        <w:gridCol w:w="288"/>
        <w:gridCol w:w="291"/>
        <w:gridCol w:w="109"/>
        <w:gridCol w:w="109"/>
        <w:gridCol w:w="109"/>
        <w:gridCol w:w="736"/>
        <w:gridCol w:w="427"/>
        <w:gridCol w:w="429"/>
        <w:gridCol w:w="109"/>
        <w:gridCol w:w="109"/>
        <w:gridCol w:w="109"/>
        <w:gridCol w:w="282"/>
        <w:gridCol w:w="826"/>
        <w:gridCol w:w="146"/>
        <w:gridCol w:w="109"/>
        <w:gridCol w:w="109"/>
        <w:gridCol w:w="109"/>
        <w:gridCol w:w="1026"/>
        <w:gridCol w:w="748"/>
        <w:gridCol w:w="751"/>
        <w:gridCol w:w="109"/>
        <w:gridCol w:w="109"/>
        <w:gridCol w:w="109"/>
        <w:gridCol w:w="1006"/>
        <w:gridCol w:w="666"/>
        <w:gridCol w:w="948"/>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Number of Shares that May Yet Be Purchased Under the Plans or Programs </w:t>
            </w:r>
            <w:r>
              <w:rPr>
                <w:rFonts w:ascii="Times New Roman;sans-serif" w:hAnsi="Times New Roman;sans-serif"/>
                <w:b/>
                <w:color w:val="000000"/>
                <w:sz w:val="10"/>
              </w:rPr>
              <w:t>(2)</w:t>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7/1/2023 - 7/31/2023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54,880 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5,612,134 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8/1/2023 - 8/31/2022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1,466,712 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1,466,712 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4,145,422 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9/1/2023 - 9/30/2023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1,157,460 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2,987,962 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2,679,052 </w:t>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2,679,052 </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r>
        <w:trPr/>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On August 3, 2022, our Board of Directors approved the 2022 Repurchase Program, under which we may purchase up to 10 million shares of our CNNE common stock through August 3, 2025.</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As of the last day of the applicable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3"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(a) Exhibits: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45"/>
        <w:gridCol w:w="196"/>
        <w:gridCol w:w="197"/>
        <w:gridCol w:w="109"/>
        <w:gridCol w:w="109"/>
        <w:gridCol w:w="109"/>
        <w:gridCol w:w="2761"/>
        <w:gridCol w:w="2684"/>
        <w:gridCol w:w="3795"/>
      </w:tblGrid>
      <w:tr>
        <w:trPr/>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Margin Loan Agreement, dated as of August 17, 2023 by and among Cannae Funding C, LLC, Cannae Funding D, LLC, Cannae Funding A, LLC, the lenders from time to time parties thereto and Royal Bank of Canada as administrative agent and calculation agent (incorporated by reference to Exhibit 10.1 to the Company's Current Report on Form 8-K, filed August 21, 2023)</w:t>
              </w:r>
            </w:hyperlink>
            <w:r>
              <w:rPr>
                <w:rFonts w:ascii="Times New Roman;sans-serif" w:hAnsi="Times New Roman;sans-serif"/>
                <w:b w:val="false"/>
                <w:color w:val="000000"/>
                <w:sz w:val="20"/>
              </w:rPr>
              <w: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Second Amended and Restated Management Services Agreement, dated as of September 30, 2023 by and among Cannae Holdings, Inc., Cannae Holdings, LLC and Trasimene Capital Management, LLC (incorporated by reference to Exhibit 10.1 to the Company's Current Report on Form 8-K, filed October 4, 2023)</w:t>
              </w:r>
            </w:hyperlink>
            <w:r>
              <w:rPr>
                <w:rFonts w:ascii="Times New Roman;sans-serif" w:hAnsi="Times New Roman;sans-serif"/>
                <w:b w:val="false"/>
                <w:color w:val="000000"/>
                <w:sz w:val="20"/>
              </w:rPr>
              <w:t>.</w:t>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0"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12023-q3.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22023-q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12023-q3.htm">
              <w:r>
                <w:rPr>
                  <w:rStyle w:val="InternetLink"/>
                  <w:rFonts w:ascii="Times New Roman;sans-serif" w:hAnsi="Times New Roman;sans-serif"/>
                  <w:b w:val="false"/>
                  <w:color w:val="0000FF"/>
                  <w:sz w:val="20"/>
                  <w:u w:val="single"/>
                </w:rPr>
                <w:t>Certification by Principal Executive Officer of Periodic Financial Reports pursuant to Section 906 of the Sarbanes-Oxley Act of 2002, 18 U.S.C. Section 1350.</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22023-q3.htm">
              <w:r>
                <w:rPr>
                  <w:rStyle w:val="InternetLink"/>
                  <w:rFonts w:ascii="Times New Roman;sans-serif" w:hAnsi="Times New Roman;sans-serif"/>
                  <w:b w:val="false"/>
                  <w:color w:val="0000FF"/>
                  <w:sz w:val="20"/>
                  <w:u w:val="single"/>
                </w:rPr>
                <w:t>Certification by Chief Financial Officer of Periodic Financial Reports pursuant to Section 906 of the Sarbanes-Oxley Act of 2002, 18 U.S.C. Section 1350.</w:t>
              </w:r>
            </w:hyperlink>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 in accordance with Item 601(b)(32) of Regulation 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The instance document does not appear in the interactive data file because its XBRL tags are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7ca93e23cb240cd89e2a2ea9219ca3e_10">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810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394"/>
        <w:gridCol w:w="394"/>
        <w:gridCol w:w="394"/>
        <w:gridCol w:w="1463"/>
        <w:gridCol w:w="1463"/>
        <w:gridCol w:w="146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55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CANNAE HOLDINGS, INC.</w:t>
              <w:br/>
              <w:t>(registrant)</w:t>
              <w:b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and Accounting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Richard N. Massey, certify that: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541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66"/>
        <w:gridCol w:w="1366"/>
        <w:gridCol w:w="193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Richard N. Massey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N. Massey </w:t>
              <w:br/>
              <w:t>Chief Executive Officer and Principal Executive Officer</w:t>
            </w:r>
          </w:p>
        </w:tc>
      </w:tr>
    </w:tbl>
    <w:p>
      <w:pPr>
        <w:pStyle w:val="TextBody"/>
        <w:bidi w:val="0"/>
        <w:spacing w:before="0" w:after="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Bryan D. Coy, certify that: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529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23"/>
        <w:gridCol w:w="1323"/>
        <w:gridCol w:w="189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br/>
              <w:t>Chief Financial Officer and 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Principal Executive Officer of Cannae Holdings, Inc., a Delaware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5411" w:type="dxa"/>
        <w:jc w:val="left"/>
        <w:tblInd w:w="0" w:type="dxa"/>
        <w:tblLayout w:type="fixed"/>
        <w:tblCellMar>
          <w:top w:w="28" w:type="dxa"/>
          <w:left w:w="28" w:type="dxa"/>
          <w:bottom w:w="28" w:type="dxa"/>
          <w:right w:w="28" w:type="dxa"/>
        </w:tblCellMar>
      </w:tblPr>
      <w:tblGrid>
        <w:gridCol w:w="151"/>
        <w:gridCol w:w="134"/>
        <w:gridCol w:w="135"/>
        <w:gridCol w:w="1537"/>
        <w:gridCol w:w="1537"/>
        <w:gridCol w:w="1545"/>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Richard N. Massey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N. Massey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180"/>
        <w:jc w:val="center"/>
        <w:rPr/>
      </w:pPr>
      <w:r>
        <w:rPr>
          <w:rFonts w:ascii="Times New Roman;sans-serif" w:hAnsi="Times New Roman;sans-serif"/>
          <w:b/>
          <w:color w:val="000000"/>
          <w:sz w:val="20"/>
        </w:rPr>
        <w:t>CERTIFICATION OF PERIODIC FINANCIAL REPORTS PURSUANT TO 18 U.S.C. §1350</w:t>
      </w:r>
      <w:r>
        <w:rPr>
          <w:color w:val="000000"/>
        </w:rPr>
        <w:t xml:space="preserve">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The undersigned hereby certifies that he is the duly appointed and acting Chief Financial Officer of Cannae Holdings, Inc., a Delaware corporation (the “Company”), and hereby further certifies as follows. </w:t>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5352" w:type="dxa"/>
        <w:jc w:val="left"/>
        <w:tblInd w:w="0" w:type="dxa"/>
        <w:tblLayout w:type="fixed"/>
        <w:tblCellMar>
          <w:top w:w="28" w:type="dxa"/>
          <w:left w:w="28" w:type="dxa"/>
          <w:bottom w:w="28" w:type="dxa"/>
          <w:right w:w="28" w:type="dxa"/>
        </w:tblCellMar>
      </w:tblPr>
      <w:tblGrid>
        <w:gridCol w:w="173"/>
        <w:gridCol w:w="153"/>
        <w:gridCol w:w="154"/>
        <w:gridCol w:w="1497"/>
        <w:gridCol w:w="1497"/>
        <w:gridCol w:w="1506"/>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04720/000170472023000076/ex101marginloanagreement.htm" TargetMode="External"/><Relationship Id="rId3" Type="http://schemas.openxmlformats.org/officeDocument/2006/relationships/hyperlink" Target="http://www.sec.gov/Archives/edgar/data/1704720/000170472023000081/exhibit101trasimeneamended.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19211</Words>
  <Characters>106950</Characters>
  <CharactersWithSpaces>124844</CharactersWithSpaces>
  <Paragraphs>3273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