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454660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411480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ind w:left="3820" w:right="400" w:hanging="3427"/>
        <w:spacing w:after="0" w:line="407" w:lineRule="auto"/>
        <w:tabs>
          <w:tab w:leader="none" w:pos="170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320" w:right="380" w:hanging="3927"/>
        <w:spacing w:after="0" w:line="368" w:lineRule="auto"/>
        <w:tabs>
          <w:tab w:leader="none" w:pos="17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1-38300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CANNAE HOLDINGS, INC.</w:t>
      </w:r>
    </w:p>
    <w:p>
      <w:pPr>
        <w:spacing w:after="0" w:line="45" w:lineRule="exact"/>
        <w:rPr>
          <w:sz w:val="24"/>
          <w:szCs w:val="24"/>
          <w:color w:val="auto"/>
        </w:rPr>
      </w:pPr>
    </w:p>
    <w:p>
      <w:pPr>
        <w:ind w:left="15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00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Delaware</w:t>
            </w:r>
          </w:p>
        </w:tc>
        <w:tc>
          <w:tcPr>
            <w:tcW w:w="780" w:type="dxa"/>
            <w:vAlign w:val="bottom"/>
          </w:tcPr>
          <w:p>
            <w:pPr>
              <w:spacing w:after="0"/>
              <w:rPr>
                <w:sz w:val="20"/>
                <w:szCs w:val="20"/>
                <w:color w:val="auto"/>
              </w:rPr>
            </w:pPr>
          </w:p>
        </w:tc>
        <w:tc>
          <w:tcPr>
            <w:tcW w:w="6100" w:type="dxa"/>
            <w:vAlign w:val="bottom"/>
            <w:gridSpan w:val="3"/>
          </w:tcPr>
          <w:p>
            <w:pPr>
              <w:jc w:val="right"/>
              <w:ind w:right="2050"/>
              <w:spacing w:after="0"/>
              <w:rPr>
                <w:sz w:val="20"/>
                <w:szCs w:val="20"/>
                <w:color w:val="auto"/>
              </w:rPr>
            </w:pPr>
            <w:r>
              <w:rPr>
                <w:rFonts w:ascii="Arial" w:cs="Arial" w:eastAsia="Arial" w:hAnsi="Arial"/>
                <w:sz w:val="18"/>
                <w:szCs w:val="18"/>
                <w:b w:val="1"/>
                <w:bCs w:val="1"/>
                <w:color w:val="auto"/>
              </w:rPr>
              <w:t>82-1273460</w:t>
            </w:r>
          </w:p>
        </w:tc>
      </w:tr>
      <w:tr>
        <w:trPr>
          <w:trHeight w:val="169"/>
        </w:trPr>
        <w:tc>
          <w:tcPr>
            <w:tcW w:w="4000" w:type="dxa"/>
            <w:vAlign w:val="bottom"/>
            <w:tcBorders>
              <w:top w:val="single" w:sz="8" w:color="auto"/>
            </w:tcBorders>
          </w:tcPr>
          <w:p>
            <w:pPr>
              <w:jc w:val="center"/>
              <w:ind w:left="910"/>
              <w:spacing w:after="0" w:line="169" w:lineRule="exact"/>
              <w:rPr>
                <w:sz w:val="20"/>
                <w:szCs w:val="20"/>
                <w:color w:val="auto"/>
              </w:rPr>
            </w:pPr>
            <w:r>
              <w:rPr>
                <w:rFonts w:ascii="Arial" w:cs="Arial" w:eastAsia="Arial" w:hAnsi="Arial"/>
                <w:sz w:val="18"/>
                <w:szCs w:val="18"/>
                <w:color w:val="auto"/>
                <w:w w:val="92"/>
              </w:rPr>
              <w:t>(State or other jurisdiction of</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(I.R.S. Employer</w:t>
            </w:r>
          </w:p>
        </w:tc>
      </w:tr>
      <w:tr>
        <w:trPr>
          <w:trHeight w:val="230"/>
        </w:trPr>
        <w:tc>
          <w:tcPr>
            <w:tcW w:w="4000" w:type="dxa"/>
            <w:vAlign w:val="bottom"/>
          </w:tcPr>
          <w:p>
            <w:pPr>
              <w:jc w:val="center"/>
              <w:ind w:left="910"/>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58"/>
        </w:trPr>
        <w:tc>
          <w:tcPr>
            <w:tcW w:w="4000" w:type="dxa"/>
            <w:vAlign w:val="bottom"/>
          </w:tcPr>
          <w:p>
            <w:pPr>
              <w:ind w:left="580"/>
              <w:spacing w:after="0"/>
              <w:rPr>
                <w:sz w:val="20"/>
                <w:szCs w:val="20"/>
                <w:color w:val="auto"/>
              </w:rPr>
            </w:pPr>
            <w:r>
              <w:rPr>
                <w:rFonts w:ascii="Arial" w:cs="Arial" w:eastAsia="Arial" w:hAnsi="Arial"/>
                <w:sz w:val="18"/>
                <w:szCs w:val="18"/>
                <w:b w:val="1"/>
                <w:bCs w:val="1"/>
                <w:color w:val="auto"/>
              </w:rPr>
              <w:t>1701 Village Center Circle,  Las Vegas,</w:t>
            </w:r>
          </w:p>
        </w:tc>
        <w:tc>
          <w:tcPr>
            <w:tcW w:w="780" w:type="dxa"/>
            <w:vAlign w:val="bottom"/>
          </w:tcPr>
          <w:p>
            <w:pPr>
              <w:ind w:left="80"/>
              <w:spacing w:after="0"/>
              <w:rPr>
                <w:sz w:val="20"/>
                <w:szCs w:val="20"/>
                <w:color w:val="auto"/>
              </w:rPr>
            </w:pPr>
            <w:r>
              <w:rPr>
                <w:rFonts w:ascii="Arial" w:cs="Arial" w:eastAsia="Arial" w:hAnsi="Arial"/>
                <w:sz w:val="18"/>
                <w:szCs w:val="18"/>
                <w:b w:val="1"/>
                <w:bCs w:val="1"/>
                <w:color w:val="auto"/>
              </w:rPr>
              <w:t>Nevada</w:t>
            </w:r>
          </w:p>
        </w:tc>
        <w:tc>
          <w:tcPr>
            <w:tcW w:w="6100" w:type="dxa"/>
            <w:vAlign w:val="bottom"/>
            <w:gridSpan w:val="3"/>
          </w:tcPr>
          <w:p>
            <w:pPr>
              <w:jc w:val="right"/>
              <w:ind w:right="2250"/>
              <w:spacing w:after="0"/>
              <w:rPr>
                <w:sz w:val="20"/>
                <w:szCs w:val="20"/>
                <w:color w:val="auto"/>
              </w:rPr>
            </w:pPr>
            <w:r>
              <w:rPr>
                <w:rFonts w:ascii="Arial" w:cs="Arial" w:eastAsia="Arial" w:hAnsi="Arial"/>
                <w:sz w:val="18"/>
                <w:szCs w:val="18"/>
                <w:b w:val="1"/>
                <w:bCs w:val="1"/>
                <w:color w:val="auto"/>
              </w:rPr>
              <w:t>89134</w:t>
            </w:r>
          </w:p>
        </w:tc>
      </w:tr>
      <w:tr>
        <w:trPr>
          <w:trHeight w:val="224"/>
        </w:trPr>
        <w:tc>
          <w:tcPr>
            <w:tcW w:w="4000" w:type="dxa"/>
            <w:vAlign w:val="bottom"/>
            <w:tcBorders>
              <w:top w:val="single" w:sz="8" w:color="auto"/>
            </w:tcBorders>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296"/>
        </w:trPr>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3"/>
          </w:tcPr>
          <w:p>
            <w:pPr>
              <w:jc w:val="right"/>
              <w:ind w:right="4790"/>
              <w:spacing w:after="0"/>
              <w:rPr>
                <w:sz w:val="20"/>
                <w:szCs w:val="20"/>
                <w:color w:val="auto"/>
              </w:rPr>
            </w:pPr>
            <w:r>
              <w:rPr>
                <w:rFonts w:ascii="Arial" w:cs="Arial" w:eastAsia="Arial" w:hAnsi="Arial"/>
                <w:sz w:val="18"/>
                <w:szCs w:val="18"/>
                <w:b w:val="1"/>
                <w:bCs w:val="1"/>
                <w:color w:val="auto"/>
                <w:w w:val="97"/>
              </w:rPr>
              <w:t>(702) 323-7330</w:t>
            </w:r>
          </w:p>
        </w:tc>
      </w:tr>
    </w:tbl>
    <w:p>
      <w:pPr>
        <w:spacing w:after="0" w:line="17" w:lineRule="exact"/>
        <w:rPr>
          <w:sz w:val="24"/>
          <w:szCs w:val="24"/>
          <w:color w:val="auto"/>
        </w:rPr>
      </w:pPr>
    </w:p>
    <w:p>
      <w:pPr>
        <w:ind w:left="382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720" w:type="dxa"/>
            <w:vAlign w:val="bottom"/>
            <w:gridSpan w:val="2"/>
          </w:tcPr>
          <w:p>
            <w:pPr>
              <w:jc w:val="center"/>
              <w:ind w:right="1500"/>
              <w:spacing w:after="0"/>
              <w:rPr>
                <w:sz w:val="20"/>
                <w:szCs w:val="20"/>
                <w:color w:val="auto"/>
              </w:rPr>
            </w:pPr>
            <w:r>
              <w:rPr>
                <w:rFonts w:ascii="Arial" w:cs="Arial" w:eastAsia="Arial" w:hAnsi="Arial"/>
                <w:sz w:val="16"/>
                <w:szCs w:val="16"/>
                <w:color w:val="auto"/>
                <w:w w:val="91"/>
              </w:rPr>
              <w:t>Title of Each Class</w:t>
            </w:r>
          </w:p>
        </w:tc>
        <w:tc>
          <w:tcPr>
            <w:tcW w:w="2220" w:type="dxa"/>
            <w:vAlign w:val="bottom"/>
            <w:gridSpan w:val="3"/>
          </w:tcPr>
          <w:p>
            <w:pPr>
              <w:jc w:val="center"/>
              <w:ind w:right="240"/>
              <w:spacing w:after="0"/>
              <w:rPr>
                <w:sz w:val="20"/>
                <w:szCs w:val="20"/>
                <w:color w:val="auto"/>
              </w:rPr>
            </w:pPr>
            <w:r>
              <w:rPr>
                <w:rFonts w:ascii="Arial" w:cs="Arial" w:eastAsia="Arial" w:hAnsi="Arial"/>
                <w:sz w:val="16"/>
                <w:szCs w:val="16"/>
                <w:color w:val="auto"/>
                <w:w w:val="94"/>
              </w:rPr>
              <w:t>Trading Symbol</w:t>
            </w:r>
          </w:p>
        </w:tc>
        <w:tc>
          <w:tcPr>
            <w:tcW w:w="3700" w:type="dxa"/>
            <w:vAlign w:val="bottom"/>
            <w:gridSpan w:val="2"/>
          </w:tcPr>
          <w:p>
            <w:pPr>
              <w:jc w:val="center"/>
              <w:ind w:left="599"/>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0"/>
        </w:trPr>
        <w:tc>
          <w:tcPr>
            <w:tcW w:w="37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Cannae Common Stock, $0.0001 par value</w:t>
            </w:r>
          </w:p>
        </w:tc>
        <w:tc>
          <w:tcPr>
            <w:tcW w:w="460" w:type="dxa"/>
            <w:vAlign w:val="bottom"/>
          </w:tcPr>
          <w:p>
            <w:pPr>
              <w:spacing w:after="0"/>
              <w:rPr>
                <w:sz w:val="21"/>
                <w:szCs w:val="21"/>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7"/>
              </w:rPr>
              <w:t>CNNE</w:t>
            </w:r>
          </w:p>
        </w:tc>
        <w:tc>
          <w:tcPr>
            <w:tcW w:w="68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0" w:lineRule="exact"/>
        <w:rPr>
          <w:sz w:val="24"/>
          <w:szCs w:val="24"/>
          <w:color w:val="auto"/>
        </w:rPr>
      </w:pPr>
    </w:p>
    <w:p>
      <w:pPr>
        <w:spacing w:after="0" w:line="245"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780" w:type="dxa"/>
        <w:tblCellMar>
          <w:top w:w="0" w:type="dxa"/>
          <w:left w:w="0" w:type="dxa"/>
          <w:bottom w:w="0" w:type="dxa"/>
          <w:right w:w="0" w:type="dxa"/>
        </w:tblCellMar>
      </w:tblPr>
      <w:tr>
        <w:trPr>
          <w:trHeight w:val="207"/>
        </w:trPr>
        <w:tc>
          <w:tcPr>
            <w:tcW w:w="1500" w:type="dxa"/>
            <w:vAlign w:val="bottom"/>
          </w:tcPr>
          <w:p>
            <w:pPr>
              <w:ind w:left="560"/>
              <w:spacing w:after="0"/>
              <w:rPr>
                <w:sz w:val="20"/>
                <w:szCs w:val="20"/>
                <w:color w:val="auto"/>
              </w:rPr>
            </w:pPr>
            <w:r>
              <w:rPr>
                <w:rFonts w:ascii="Arial" w:cs="Arial" w:eastAsia="Arial" w:hAnsi="Arial"/>
                <w:sz w:val="18"/>
                <w:szCs w:val="18"/>
                <w:color w:val="auto"/>
              </w:rPr>
              <w:t>Large</w:t>
            </w:r>
          </w:p>
        </w:tc>
        <w:tc>
          <w:tcPr>
            <w:tcW w:w="6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1240" w:type="dxa"/>
            <w:vAlign w:val="bottom"/>
          </w:tcPr>
          <w:p>
            <w:pPr>
              <w:ind w:left="200"/>
              <w:spacing w:after="0"/>
              <w:rPr>
                <w:sz w:val="20"/>
                <w:szCs w:val="20"/>
                <w:color w:val="auto"/>
              </w:rPr>
            </w:pPr>
            <w:r>
              <w:rPr>
                <w:rFonts w:ascii="Arial" w:cs="Arial" w:eastAsia="Arial" w:hAnsi="Arial"/>
                <w:sz w:val="18"/>
                <w:szCs w:val="18"/>
                <w:color w:val="auto"/>
              </w:rPr>
              <w:t>Accelerated</w:t>
            </w:r>
          </w:p>
        </w:tc>
        <w:tc>
          <w:tcPr>
            <w:tcW w:w="1900" w:type="dxa"/>
            <w:vAlign w:val="bottom"/>
          </w:tcPr>
          <w:p>
            <w:pPr>
              <w:ind w:left="1060"/>
              <w:spacing w:after="0"/>
              <w:rPr>
                <w:sz w:val="20"/>
                <w:szCs w:val="20"/>
                <w:color w:val="auto"/>
              </w:rPr>
            </w:pPr>
            <w:r>
              <w:rPr>
                <w:rFonts w:ascii="Arial" w:cs="Arial" w:eastAsia="Arial" w:hAnsi="Arial"/>
                <w:sz w:val="18"/>
                <w:szCs w:val="18"/>
                <w:color w:val="auto"/>
              </w:rPr>
              <w:t>Non-</w:t>
            </w:r>
          </w:p>
        </w:tc>
        <w:tc>
          <w:tcPr>
            <w:tcW w:w="2080" w:type="dxa"/>
            <w:vAlign w:val="bottom"/>
          </w:tcPr>
          <w:p>
            <w:pPr>
              <w:ind w:left="1080"/>
              <w:spacing w:after="0"/>
              <w:rPr>
                <w:sz w:val="20"/>
                <w:szCs w:val="20"/>
                <w:color w:val="auto"/>
              </w:rPr>
            </w:pPr>
            <w:r>
              <w:rPr>
                <w:rFonts w:ascii="Arial" w:cs="Arial" w:eastAsia="Arial" w:hAnsi="Arial"/>
                <w:sz w:val="18"/>
                <w:szCs w:val="18"/>
                <w:color w:val="auto"/>
              </w:rPr>
              <w:t>Smaller</w:t>
            </w:r>
          </w:p>
        </w:tc>
        <w:tc>
          <w:tcPr>
            <w:tcW w:w="6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780" w:type="dxa"/>
            <w:vAlign w:val="bottom"/>
          </w:tcPr>
          <w:p>
            <w:pPr>
              <w:ind w:left="260"/>
              <w:spacing w:after="0"/>
              <w:rPr>
                <w:sz w:val="20"/>
                <w:szCs w:val="20"/>
                <w:color w:val="auto"/>
              </w:rPr>
            </w:pPr>
            <w:r>
              <w:rPr>
                <w:rFonts w:ascii="Arial" w:cs="Arial" w:eastAsia="Arial" w:hAnsi="Arial"/>
                <w:sz w:val="18"/>
                <w:szCs w:val="18"/>
                <w:color w:val="auto"/>
              </w:rPr>
              <w:t>Emerging growth</w:t>
            </w:r>
          </w:p>
        </w:tc>
        <w:tc>
          <w:tcPr>
            <w:tcW w:w="42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500" w:type="dxa"/>
            <w:vAlign w:val="bottom"/>
          </w:tcPr>
          <w:p>
            <w:pPr>
              <w:spacing w:after="0"/>
              <w:rPr>
                <w:sz w:val="20"/>
                <w:szCs w:val="20"/>
                <w:color w:val="auto"/>
              </w:rPr>
            </w:pPr>
            <w:r>
              <w:rPr>
                <w:rFonts w:ascii="Arial" w:cs="Arial" w:eastAsia="Arial" w:hAnsi="Arial"/>
                <w:sz w:val="18"/>
                <w:szCs w:val="18"/>
                <w:color w:val="auto"/>
              </w:rPr>
              <w:t>Accelerated Filer</w:t>
            </w:r>
          </w:p>
        </w:tc>
        <w:tc>
          <w:tcPr>
            <w:tcW w:w="640" w:type="dxa"/>
            <w:vAlign w:val="bottom"/>
            <w:vMerge w:val="continue"/>
          </w:tcPr>
          <w:p>
            <w:pPr>
              <w:spacing w:after="0"/>
              <w:rPr>
                <w:sz w:val="24"/>
                <w:szCs w:val="24"/>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filer</w:t>
            </w:r>
          </w:p>
        </w:tc>
        <w:tc>
          <w:tcPr>
            <w:tcW w:w="19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208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reporting company</w:t>
            </w:r>
          </w:p>
        </w:tc>
        <w:tc>
          <w:tcPr>
            <w:tcW w:w="640" w:type="dxa"/>
            <w:vAlign w:val="bottom"/>
            <w:vMerge w:val="continue"/>
          </w:tcPr>
          <w:p>
            <w:pPr>
              <w:spacing w:after="0"/>
              <w:rPr>
                <w:sz w:val="24"/>
                <w:szCs w:val="24"/>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company</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340" w:right="16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29, 2022 there were 84,916,034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10040" w:type="dxa"/>
            <w:vAlign w:val="bottom"/>
            <w:gridSpan w:val="17"/>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98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Unaudited Condensed Consolidated Financial Statements</w:t>
              </w:r>
            </w:hyperlink>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A. Condensed Consolidated Balance Sheets as of March 31, 2022 and December 31, 2021</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13"/>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B. Condensed Consolidated Statements of Operations for the three-month periods ended March 31, 2022 and 2021</w:t>
              </w:r>
            </w:hyperlink>
          </w:p>
        </w:tc>
        <w:tc>
          <w:tcPr>
            <w:tcW w:w="1280" w:type="dxa"/>
            <w:vAlign w:val="bottom"/>
            <w:gridSpan w:val="2"/>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80" w:type="dxa"/>
            <w:vAlign w:val="bottom"/>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 Condensed Consolidated Statements of Comprehensive Loss for the three-month periods ended March 31, 2022 and 2021</w:t>
              </w:r>
            </w:hyperlink>
          </w:p>
        </w:tc>
        <w:tc>
          <w:tcPr>
            <w:tcW w:w="560" w:type="dxa"/>
            <w:vAlign w:val="bottom"/>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960" w:type="dxa"/>
            <w:vAlign w:val="bottom"/>
            <w:gridSpan w:val="1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D. Condensed Consolidated Statements of Equity for the three-month periods ended March 31, 2022 and 2021</w:t>
              </w:r>
            </w:hyperlink>
          </w:p>
        </w:tc>
        <w:tc>
          <w:tcPr>
            <w:tcW w:w="10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13"/>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E. Condensed Consolidated Statements of Cash Flows for the three-month periods ended March 31, 2022 and 2021</w:t>
              </w:r>
            </w:hyperlink>
          </w:p>
        </w:tc>
        <w:tc>
          <w:tcPr>
            <w:tcW w:w="1280" w:type="dxa"/>
            <w:vAlign w:val="bottom"/>
            <w:gridSpan w:val="2"/>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 Notes to Condensed Consolidated Financial Statements</w:t>
              </w:r>
            </w:hyperlink>
          </w:p>
        </w:tc>
        <w:tc>
          <w:tcPr>
            <w:tcW w:w="1280" w:type="dxa"/>
            <w:vAlign w:val="bottom"/>
            <w:gridSpan w:val="2"/>
          </w:tcPr>
          <w:p>
            <w:pPr>
              <w:spacing w:after="0"/>
              <w:rPr>
                <w:sz w:val="18"/>
                <w:szCs w:val="18"/>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020" w:type="dxa"/>
            <w:vAlign w:val="bottom"/>
            <w:gridSpan w:val="12"/>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Item 2. Management’s Discussion and Analysis of Financial Condition and Results of Operations</w:t>
              </w:r>
            </w:hyperlink>
          </w:p>
        </w:tc>
        <w:tc>
          <w:tcPr>
            <w:tcW w:w="2820" w:type="dxa"/>
            <w:vAlign w:val="bottom"/>
            <w:gridSpan w:val="4"/>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21</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60" w:type="dxa"/>
            <w:vAlign w:val="bottom"/>
            <w:gridSpan w:val="10"/>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Item 3. Quantitative and Qualitative Disclosure About Market Risk</w:t>
              </w:r>
            </w:hyperlink>
          </w:p>
        </w:tc>
        <w:tc>
          <w:tcPr>
            <w:tcW w:w="2160" w:type="dxa"/>
            <w:vAlign w:val="bottom"/>
            <w:gridSpan w:val="2"/>
          </w:tcPr>
          <w:p>
            <w:pPr>
              <w:spacing w:after="0"/>
              <w:rPr>
                <w:sz w:val="18"/>
                <w:szCs w:val="18"/>
                <w:color w:val="auto"/>
              </w:rPr>
            </w:pPr>
          </w:p>
        </w:tc>
        <w:tc>
          <w:tcPr>
            <w:tcW w:w="2820" w:type="dxa"/>
            <w:vAlign w:val="bottom"/>
            <w:gridSpan w:val="4"/>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20"/>
        </w:trPr>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0">
              <w:r>
                <w:rPr>
                  <w:rFonts w:ascii="Arial" w:cs="Arial" w:eastAsia="Arial" w:hAnsi="Arial"/>
                  <w:sz w:val="18"/>
                  <w:szCs w:val="18"/>
                  <w:color w:val="0000FF"/>
                  <w:w w:val="94"/>
                </w:rPr>
                <w:t>Item 4.</w:t>
              </w:r>
            </w:hyperlink>
          </w:p>
        </w:tc>
        <w:tc>
          <w:tcPr>
            <w:tcW w:w="1800" w:type="dxa"/>
            <w:vAlign w:val="bottom"/>
            <w:gridSpan w:val="4"/>
          </w:tcPr>
          <w:p>
            <w:pPr>
              <w:ind w:left="20"/>
              <w:spacing w:after="0"/>
              <w:rPr>
                <w:rFonts w:ascii="Arial" w:cs="Arial" w:eastAsia="Arial" w:hAnsi="Arial"/>
                <w:sz w:val="18"/>
                <w:szCs w:val="18"/>
                <w:color w:val="0000FF"/>
                <w:w w:val="88"/>
              </w:rPr>
            </w:pPr>
            <w:hyperlink w:anchor="page30">
              <w:r>
                <w:rPr>
                  <w:rFonts w:ascii="Arial" w:cs="Arial" w:eastAsia="Arial" w:hAnsi="Arial"/>
                  <w:sz w:val="18"/>
                  <w:szCs w:val="18"/>
                  <w:color w:val="0000FF"/>
                  <w:w w:val="88"/>
                </w:rPr>
                <w:t>Controls and Procedures</w:t>
              </w:r>
            </w:hyperlink>
          </w:p>
        </w:tc>
        <w:tc>
          <w:tcPr>
            <w:tcW w:w="2520" w:type="dxa"/>
            <w:vAlign w:val="bottom"/>
            <w:gridSpan w:val="4"/>
          </w:tcPr>
          <w:p>
            <w:pPr>
              <w:spacing w:after="0"/>
              <w:rPr>
                <w:sz w:val="18"/>
                <w:szCs w:val="18"/>
                <w:color w:val="auto"/>
              </w:rPr>
            </w:pPr>
          </w:p>
        </w:tc>
        <w:tc>
          <w:tcPr>
            <w:tcW w:w="498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44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1">
              <w:r>
                <w:rPr>
                  <w:rFonts w:ascii="Arial" w:cs="Arial" w:eastAsia="Arial" w:hAnsi="Arial"/>
                  <w:sz w:val="18"/>
                  <w:szCs w:val="18"/>
                  <w:color w:val="0000FF"/>
                  <w:w w:val="95"/>
                </w:rPr>
                <w:t>Part II: OTHER INFORMATION</w:t>
              </w:r>
            </w:hyperlink>
          </w:p>
        </w:tc>
        <w:tc>
          <w:tcPr>
            <w:tcW w:w="7600" w:type="dxa"/>
            <w:vAlign w:val="bottom"/>
            <w:gridSpan w:val="11"/>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1">
              <w:r>
                <w:rPr>
                  <w:rFonts w:ascii="Arial" w:cs="Arial" w:eastAsia="Arial" w:hAnsi="Arial"/>
                  <w:sz w:val="18"/>
                  <w:szCs w:val="18"/>
                  <w:color w:val="0000FF"/>
                  <w:w w:val="94"/>
                </w:rPr>
                <w:t>Item 1.</w:t>
              </w:r>
            </w:hyperlink>
          </w:p>
        </w:tc>
        <w:tc>
          <w:tcPr>
            <w:tcW w:w="1360" w:type="dxa"/>
            <w:vAlign w:val="bottom"/>
            <w:gridSpan w:val="2"/>
          </w:tcPr>
          <w:p>
            <w:pPr>
              <w:ind w:left="20"/>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Legal Proceedings</w:t>
              </w:r>
            </w:hyperlink>
          </w:p>
        </w:tc>
        <w:tc>
          <w:tcPr>
            <w:tcW w:w="7940" w:type="dxa"/>
            <w:vAlign w:val="bottom"/>
            <w:gridSpan w:val="12"/>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1">
              <w:r>
                <w:rPr>
                  <w:rFonts w:ascii="Arial" w:cs="Arial" w:eastAsia="Arial" w:hAnsi="Arial"/>
                  <w:sz w:val="18"/>
                  <w:szCs w:val="18"/>
                  <w:color w:val="0000FF"/>
                  <w:w w:val="94"/>
                </w:rPr>
                <w:t>Item 2.</w:t>
              </w:r>
            </w:hyperlink>
          </w:p>
        </w:tc>
        <w:tc>
          <w:tcPr>
            <w:tcW w:w="4320" w:type="dxa"/>
            <w:vAlign w:val="bottom"/>
            <w:gridSpan w:val="8"/>
          </w:tcPr>
          <w:p>
            <w:pPr>
              <w:ind w:left="20"/>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Unregistered Sales of Equity Securities and Use of Proceeds</w:t>
              </w:r>
            </w:hyperlink>
          </w:p>
        </w:tc>
        <w:tc>
          <w:tcPr>
            <w:tcW w:w="498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1">
              <w:r>
                <w:rPr>
                  <w:rFonts w:ascii="Arial" w:cs="Arial" w:eastAsia="Arial" w:hAnsi="Arial"/>
                  <w:sz w:val="18"/>
                  <w:szCs w:val="18"/>
                  <w:color w:val="0000FF"/>
                  <w:w w:val="94"/>
                </w:rPr>
                <w:t>Item 6.</w:t>
              </w:r>
            </w:hyperlink>
          </w:p>
        </w:tc>
        <w:tc>
          <w:tcPr>
            <w:tcW w:w="4320" w:type="dxa"/>
            <w:vAlign w:val="bottom"/>
            <w:gridSpan w:val="8"/>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498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0"/>
        </w:trPr>
        <w:tc>
          <w:tcPr>
            <w:tcW w:w="8820" w:type="dxa"/>
            <w:vAlign w:val="bottom"/>
            <w:shd w:val="clear" w:color="auto" w:fill="CCEEFF"/>
          </w:tcPr>
          <w:p>
            <w:pPr>
              <w:jc w:val="center"/>
              <w:ind w:left="2359"/>
              <w:spacing w:after="0"/>
              <w:rPr>
                <w:sz w:val="20"/>
                <w:szCs w:val="20"/>
                <w:color w:val="auto"/>
              </w:rPr>
            </w:pPr>
            <w:r>
              <w:rPr>
                <w:rFonts w:ascii="Arial" w:cs="Arial" w:eastAsia="Arial" w:hAnsi="Arial"/>
                <w:sz w:val="14"/>
                <w:szCs w:val="14"/>
                <w:b w:val="1"/>
                <w:bCs w:val="1"/>
                <w:color w:val="auto"/>
                <w:w w:val="96"/>
              </w:rPr>
              <w:t>ASSETS</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Equity securities, at fair value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1,045.1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2,261.3</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Lease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 term investments and non-current assets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38"/>
        </w:trPr>
        <w:tc>
          <w:tcPr>
            <w:tcW w:w="8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3,889.6</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jc w:val="center"/>
              <w:ind w:left="2339"/>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Accounts payable and other accrued liabilities, current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liabilities, current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Notes payable, current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Lease liabilities, long term</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Notes payable, long term</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accrued liabilities, long term</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7"/>
        </w:trPr>
        <w:tc>
          <w:tcPr>
            <w:tcW w:w="882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548.5</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 see Note F</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Cannae common stock, 0.0001 par value; authorized 115,000,000 shares as of March 31, 2022 and December 31, 2021; outstanding</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5"/>
              </w:rPr>
              <w:t>of 84,916,034 and 86,886,034 shares as of March 31, 2022 and December 31, 2021, respectively, and issued of 92,490,514 and</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92,460,514 shares as of March 31, 2022 and December 31, 2021, respectively</w:t>
            </w: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820" w:type="dxa"/>
            <w:vAlign w:val="bottom"/>
          </w:tcPr>
          <w:p>
            <w:pPr>
              <w:ind w:left="140"/>
              <w:spacing w:after="0" w:line="166" w:lineRule="exact"/>
              <w:rPr>
                <w:sz w:val="20"/>
                <w:szCs w:val="20"/>
                <w:color w:val="auto"/>
              </w:rPr>
            </w:pPr>
            <w:r>
              <w:rPr>
                <w:rFonts w:ascii="Arial" w:cs="Arial" w:eastAsia="Arial" w:hAnsi="Arial"/>
                <w:sz w:val="16"/>
                <w:szCs w:val="16"/>
                <w:color w:val="auto"/>
              </w:rPr>
              <w:t>Preferred stock, 0.0001 par value; authorized 10,000,000 shares; issued and outstanding, none as of March 31, 2022 and</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December 31, 2021</w:t>
            </w: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1,642.8</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1,888.3</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Less: Treasury stock, 7,574,480 and 5,574,480 shares as of March 31, 2022 and December 31, 2021, respectively, at cost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Cannae shareholders'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3,335.3</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9"/>
        </w:trPr>
        <w:tc>
          <w:tcPr>
            <w:tcW w:w="8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3,341.1</w:t>
            </w:r>
          </w:p>
        </w:tc>
        <w:tc>
          <w:tcPr>
            <w:tcW w:w="0" w:type="dxa"/>
            <w:vAlign w:val="bottom"/>
          </w:tcPr>
          <w:p>
            <w:pPr>
              <w:spacing w:after="0"/>
              <w:rPr>
                <w:sz w:val="1"/>
                <w:szCs w:val="1"/>
                <w:color w:val="auto"/>
              </w:rPr>
            </w:pPr>
          </w:p>
        </w:tc>
      </w:tr>
      <w:tr>
        <w:trPr>
          <w:trHeight w:val="213"/>
        </w:trPr>
        <w:tc>
          <w:tcPr>
            <w:tcW w:w="8820" w:type="dxa"/>
            <w:vAlign w:val="bottom"/>
          </w:tcPr>
          <w:p>
            <w:pPr>
              <w:ind w:left="56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3,492.7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3,889.6</w:t>
            </w:r>
          </w:p>
        </w:tc>
        <w:tc>
          <w:tcPr>
            <w:tcW w:w="0" w:type="dxa"/>
            <w:vAlign w:val="bottom"/>
          </w:tcPr>
          <w:p>
            <w:pPr>
              <w:spacing w:after="0"/>
              <w:rPr>
                <w:sz w:val="1"/>
                <w:szCs w:val="1"/>
                <w:color w:val="auto"/>
              </w:rPr>
            </w:pPr>
          </w:p>
        </w:tc>
      </w:tr>
      <w:tr>
        <w:trPr>
          <w:trHeight w:val="20"/>
        </w:trPr>
        <w:tc>
          <w:tcPr>
            <w:tcW w:w="8820" w:type="dxa"/>
            <w:vAlign w:val="bottom"/>
            <w:vMerge w:val="restart"/>
          </w:tcPr>
          <w:p>
            <w:pPr>
              <w:jc w:val="center"/>
              <w:ind w:left="2339"/>
              <w:spacing w:after="0"/>
              <w:rPr>
                <w:sz w:val="20"/>
                <w:szCs w:val="20"/>
                <w:color w:val="auto"/>
              </w:rPr>
            </w:pPr>
            <w:r>
              <w:rPr>
                <w:rFonts w:ascii="Arial" w:cs="Arial" w:eastAsia="Arial" w:hAnsi="Arial"/>
                <w:sz w:val="16"/>
                <w:szCs w:val="16"/>
                <w:color w:val="auto"/>
                <w:w w:val="90"/>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8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87"/>
        </w:trPr>
        <w:tc>
          <w:tcPr>
            <w:tcW w:w="8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76"/>
        </w:trPr>
        <w:tc>
          <w:tcPr>
            <w:tcW w:w="8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162.1</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7"/>
        </w:trPr>
        <w:tc>
          <w:tcPr>
            <w:tcW w:w="8900" w:type="dxa"/>
            <w:vAlign w:val="bottom"/>
          </w:tcPr>
          <w:p>
            <w:pPr>
              <w:ind w:left="480"/>
              <w:spacing w:after="0"/>
              <w:rPr>
                <w:sz w:val="20"/>
                <w:szCs w:val="20"/>
                <w:color w:val="auto"/>
              </w:rPr>
            </w:pPr>
            <w:r>
              <w:rPr>
                <w:rFonts w:ascii="Arial" w:cs="Arial" w:eastAsia="Arial" w:hAnsi="Arial"/>
                <w:sz w:val="16"/>
                <w:szCs w:val="16"/>
                <w:color w:val="auto"/>
              </w:rPr>
              <w:t>Total operating revenues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7"/>
        </w:trPr>
        <w:tc>
          <w:tcPr>
            <w:tcW w:w="89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213"/>
        </w:trPr>
        <w:tc>
          <w:tcPr>
            <w:tcW w:w="89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loss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93"/>
        </w:trPr>
        <w:tc>
          <w:tcPr>
            <w:tcW w:w="89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investment and other income</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losses, net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0" w:type="dxa"/>
            <w:vAlign w:val="bottom"/>
          </w:tcPr>
          <w:p>
            <w:pPr>
              <w:spacing w:after="0"/>
              <w:rPr>
                <w:sz w:val="1"/>
                <w:szCs w:val="1"/>
                <w:color w:val="auto"/>
              </w:rPr>
            </w:pPr>
          </w:p>
        </w:tc>
      </w:tr>
      <w:tr>
        <w:trPr>
          <w:trHeight w:val="207"/>
        </w:trPr>
        <w:tc>
          <w:tcPr>
            <w:tcW w:w="89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(313.7)</w:t>
            </w:r>
          </w:p>
        </w:tc>
        <w:tc>
          <w:tcPr>
            <w:tcW w:w="0" w:type="dxa"/>
            <w:vAlign w:val="bottom"/>
          </w:tcPr>
          <w:p>
            <w:pPr>
              <w:spacing w:after="0"/>
              <w:rPr>
                <w:sz w:val="1"/>
                <w:szCs w:val="1"/>
                <w:color w:val="auto"/>
              </w:rPr>
            </w:pPr>
          </w:p>
        </w:tc>
      </w:tr>
      <w:tr>
        <w:trPr>
          <w:trHeight w:val="213"/>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 and equity in earnings of unconsolidated affiliates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w:t>
            </w:r>
          </w:p>
        </w:tc>
        <w:tc>
          <w:tcPr>
            <w:tcW w:w="0" w:type="dxa"/>
            <w:vAlign w:val="bottom"/>
          </w:tcPr>
          <w:p>
            <w:pPr>
              <w:spacing w:after="0"/>
              <w:rPr>
                <w:sz w:val="1"/>
                <w:szCs w:val="1"/>
                <w:color w:val="auto"/>
              </w:rPr>
            </w:pPr>
          </w:p>
        </w:tc>
      </w:tr>
      <w:tr>
        <w:trPr>
          <w:trHeight w:val="213"/>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equity in earnings of unconsolidated affiliates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13"/>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13"/>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0" w:type="dxa"/>
            <w:vAlign w:val="bottom"/>
          </w:tcPr>
          <w:p>
            <w:pPr>
              <w:spacing w:after="0"/>
              <w:rPr>
                <w:sz w:val="1"/>
                <w:szCs w:val="1"/>
                <w:color w:val="auto"/>
              </w:rPr>
            </w:pPr>
          </w:p>
        </w:tc>
      </w:tr>
      <w:tr>
        <w:trPr>
          <w:trHeight w:val="213"/>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1"/>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Cannae Holdings, Inc.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Weighted Average Shares Outstanding</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3680"/>
              <w:spacing w:after="0"/>
              <w:rPr>
                <w:sz w:val="20"/>
                <w:szCs w:val="20"/>
                <w:color w:val="auto"/>
              </w:rPr>
            </w:pPr>
            <w:r>
              <w:rPr>
                <w:rFonts w:ascii="Arial" w:cs="Arial" w:eastAsia="Arial" w:hAnsi="Arial"/>
                <w:sz w:val="16"/>
                <w:szCs w:val="16"/>
                <w:color w:val="auto"/>
              </w:rPr>
              <w:t>See Notes to Condensed Consolidated Financial Statements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96"/>
        </w:trPr>
        <w:tc>
          <w:tcPr>
            <w:tcW w:w="8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Other comprehensive earnings (loss), net of tax:</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Unrealized gain on investments and other financial instruments, net (excluding investments in unconsolidated affiliates) (1)</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8680" w:type="dxa"/>
            <w:vAlign w:val="bottom"/>
          </w:tcPr>
          <w:p>
            <w:pPr>
              <w:ind w:left="220"/>
              <w:spacing w:after="0"/>
              <w:rPr>
                <w:sz w:val="20"/>
                <w:szCs w:val="20"/>
                <w:color w:val="auto"/>
              </w:rPr>
            </w:pPr>
            <w:r>
              <w:rPr>
                <w:rFonts w:ascii="Arial" w:cs="Arial" w:eastAsia="Arial" w:hAnsi="Arial"/>
                <w:sz w:val="16"/>
                <w:szCs w:val="16"/>
                <w:color w:val="auto"/>
              </w:rPr>
              <w:t>Unrealized losses of investments in unconsolidated affiliates (2)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4"/>
              </w:rPr>
              <w:t>Reclassification adjustments for unrealized gains and losses of unconsolidated affiliates, net of tax, included in net earnings (3)</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7"/>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w:t>
            </w: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w:t>
            </w: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Comprehensive loss attributable to noncontrolling interests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3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Cannae Holdings, Inc. common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6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expense of $0.1 million for the three months ended March 31, 2021.</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benefit of $0.3 million and $1.2 million for the three months ended March 31, 2022 and 2021, respectively.</w:t>
      </w:r>
    </w:p>
    <w:p>
      <w:pPr>
        <w:spacing w:after="0" w:line="167" w:lineRule="exact"/>
        <w:rPr>
          <w:rFonts w:ascii="Arial" w:cs="Arial" w:eastAsia="Arial" w:hAnsi="Arial"/>
          <w:sz w:val="16"/>
          <w:szCs w:val="16"/>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expense of $0.1 million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1520" w:type="dxa"/>
            <w:vAlign w:val="bottom"/>
            <w:gridSpan w:val="5"/>
          </w:tcPr>
          <w:p>
            <w:pPr>
              <w:ind w:left="3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Additional</w:t>
            </w:r>
          </w:p>
        </w:tc>
        <w:tc>
          <w:tcPr>
            <w:tcW w:w="12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Non-</w:t>
            </w:r>
          </w:p>
        </w:tc>
        <w:tc>
          <w:tcPr>
            <w:tcW w:w="160" w:type="dxa"/>
            <w:vAlign w:val="bottom"/>
          </w:tcPr>
          <w:p>
            <w:pPr>
              <w:spacing w:after="0"/>
              <w:rPr>
                <w:sz w:val="5"/>
                <w:szCs w:val="5"/>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3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(Loss)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Earnings</w:t>
            </w: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3,785.2</w:t>
            </w: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88"/>
              </w:rPr>
              <w:t>Other comprehensive earnings — unrealized gain on investments and other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9"/>
        </w:trPr>
        <w:tc>
          <w:tcPr>
            <w:tcW w:w="4020" w:type="dxa"/>
            <w:vAlign w:val="bottom"/>
          </w:tcPr>
          <w:p>
            <w:pPr>
              <w:ind w:left="140"/>
              <w:spacing w:after="0"/>
              <w:rPr>
                <w:sz w:val="20"/>
                <w:szCs w:val="20"/>
                <w:color w:val="auto"/>
              </w:rPr>
            </w:pPr>
            <w:r>
              <w:rPr>
                <w:rFonts w:ascii="Arial" w:cs="Arial" w:eastAsia="Arial" w:hAnsi="Arial"/>
                <w:sz w:val="13"/>
                <w:szCs w:val="13"/>
                <w:color w:val="auto"/>
              </w:rPr>
              <w:t>financial instruments,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40"/>
              <w:spacing w:after="0" w:line="128"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9"/>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net of tax, included in net earnings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Subsidiary dividends paid to noncontrolling interests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Net loss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March 31,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3,341.1</w:t>
            </w:r>
          </w:p>
        </w:tc>
        <w:tc>
          <w:tcPr>
            <w:tcW w:w="0" w:type="dxa"/>
            <w:vAlign w:val="bottom"/>
          </w:tcPr>
          <w:p>
            <w:pPr>
              <w:spacing w:after="0"/>
              <w:rPr>
                <w:sz w:val="1"/>
                <w:szCs w:val="1"/>
                <w:color w:val="auto"/>
              </w:rPr>
            </w:pPr>
          </w:p>
        </w:tc>
      </w:tr>
      <w:tr>
        <w:trPr>
          <w:trHeight w:val="121"/>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0"/>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Issuance of restricted stock</w:t>
            </w:r>
          </w:p>
        </w:tc>
        <w:tc>
          <w:tcPr>
            <w:tcW w:w="5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6"/>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3"/>
                <w:szCs w:val="13"/>
                <w:color w:val="auto"/>
              </w:rPr>
              <w:t>Balance, March 31, 2022</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1,894.4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1,395.2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3,042.7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760" w:type="dxa"/>
            <w:vAlign w:val="bottom"/>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5"/>
        </w:trPr>
        <w:tc>
          <w:tcPr>
            <w:tcW w:w="8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(249.4)</w:t>
            </w:r>
          </w:p>
        </w:tc>
        <w:tc>
          <w:tcPr>
            <w:tcW w:w="14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earnings of unconsolidated affiliates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Recognized losses and asset impairments, net</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312.4</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Arial" w:cs="Arial" w:eastAsia="Arial" w:hAnsi="Arial"/>
                <w:sz w:val="14"/>
                <w:szCs w:val="14"/>
                <w:color w:val="auto"/>
              </w:rPr>
              <w:t>Lease asset amortization</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6"/>
        </w:trPr>
        <w:tc>
          <w:tcPr>
            <w:tcW w:w="8480" w:type="dxa"/>
            <w:vAlign w:val="bottom"/>
          </w:tcPr>
          <w:p>
            <w:pPr>
              <w:ind w:left="460"/>
              <w:spacing w:after="0"/>
              <w:rPr>
                <w:sz w:val="20"/>
                <w:szCs w:val="20"/>
                <w:color w:val="auto"/>
              </w:rPr>
            </w:pPr>
            <w:r>
              <w:rPr>
                <w:rFonts w:ascii="Arial" w:cs="Arial" w:eastAsia="Arial" w:hAnsi="Arial"/>
                <w:sz w:val="14"/>
                <w:szCs w:val="14"/>
                <w:color w:val="auto"/>
              </w:rPr>
              <w:t>Non-cash carried interest expense</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31.8</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520"/>
              <w:spacing w:after="0"/>
              <w:rPr>
                <w:sz w:val="20"/>
                <w:szCs w:val="20"/>
                <w:color w:val="auto"/>
              </w:rPr>
            </w:pPr>
            <w:r>
              <w:rPr>
                <w:rFonts w:ascii="Arial" w:cs="Arial" w:eastAsia="Arial" w:hAnsi="Arial"/>
                <w:sz w:val="14"/>
                <w:szCs w:val="14"/>
                <w:color w:val="auto"/>
              </w:rPr>
              <w:t>Net decrease in other assets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10.7</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decrease in lease liabilities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6"/>
        </w:trPr>
        <w:tc>
          <w:tcPr>
            <w:tcW w:w="8480" w:type="dxa"/>
            <w:vAlign w:val="bottom"/>
          </w:tcPr>
          <w:p>
            <w:pPr>
              <w:ind w:left="520"/>
              <w:spacing w:after="0"/>
              <w:rPr>
                <w:sz w:val="20"/>
                <w:szCs w:val="20"/>
                <w:color w:val="auto"/>
              </w:rPr>
            </w:pPr>
            <w:r>
              <w:rPr>
                <w:rFonts w:ascii="Arial" w:cs="Arial" w:eastAsia="Arial" w:hAnsi="Arial"/>
                <w:sz w:val="14"/>
                <w:szCs w:val="14"/>
                <w:color w:val="auto"/>
              </w:rPr>
              <w:t>Net decrease in accounts payable, accrued liabilities, deferred revenue and other liabilities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change in income taxes</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partial sale of Ceridian shares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173.3</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Collections of notes receivable</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notes receivable</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investments in unconsolidated affiliates and other long term investments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Investment in System1</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(246.5)</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in Paysafe, net of subscription fees earned</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(494.4)</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Purchase of AAII Warrants</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Purchases of other long term investments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4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(282.8)</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Borrowings</w:t>
            </w:r>
          </w:p>
        </w:tc>
        <w:tc>
          <w:tcPr>
            <w:tcW w:w="8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151.0</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service payments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(152.3)</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Sale of noncontrolling interest in consolidated subsidiary</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Treasury stock repurchases</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Cash and cash equivalents classified as held for sale</w:t>
            </w:r>
          </w:p>
        </w:tc>
        <w:tc>
          <w:tcPr>
            <w:tcW w:w="8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724.7</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439.7</w:t>
            </w:r>
          </w:p>
        </w:tc>
        <w:tc>
          <w:tcPr>
            <w:tcW w:w="0" w:type="dxa"/>
            <w:vAlign w:val="bottom"/>
          </w:tcPr>
          <w:p>
            <w:pPr>
              <w:spacing w:after="0"/>
              <w:rPr>
                <w:sz w:val="1"/>
                <w:szCs w:val="1"/>
                <w:color w:val="auto"/>
              </w:rPr>
            </w:pPr>
          </w:p>
        </w:tc>
      </w:tr>
      <w:tr>
        <w:trPr>
          <w:trHeight w:val="21"/>
        </w:trPr>
        <w:tc>
          <w:tcPr>
            <w:tcW w:w="8480" w:type="dxa"/>
            <w:vAlign w:val="bottom"/>
            <w:vMerge w:val="restart"/>
          </w:tcPr>
          <w:p>
            <w:pPr>
              <w:ind w:left="3900"/>
              <w:spacing w:after="0"/>
              <w:rPr>
                <w:sz w:val="20"/>
                <w:szCs w:val="20"/>
                <w:color w:val="auto"/>
              </w:rPr>
            </w:pPr>
            <w:r>
              <w:rPr>
                <w:rFonts w:ascii="Arial" w:cs="Arial" w:eastAsia="Arial" w:hAnsi="Arial"/>
                <w:sz w:val="14"/>
                <w:szCs w:val="14"/>
                <w:color w:val="auto"/>
              </w:rPr>
              <w:t>See Notes to Condensed Consolidated Financial Statements</w:t>
            </w: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8480" w:type="dxa"/>
            <w:vAlign w:val="bottom"/>
            <w:vMerge w:val="continue"/>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primarily acquire interests in operating companies and are engaged in actively managing and operating a core group of those companies, which we are committed to supporting for the long-term.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March 31, 2022 include our ownership interests in Dun &amp; Bradstreet Holdings, Inc. ("Dun &amp; Bradstreet" or "D&amp;B"), Ceridian HCM Holding, Inc. ("Ceridian"), Alight, Inc. ("Alight"), Paysafe Limited ("Paysafe"), Sightline Payments Holdings, LLC ("Sightline" or "Sightline Payments"), System1, Inc. ("System1") and AmeriLife Group, LLC ("AmeriLife"); majority equity ownership stakes in O'Charley's Holdings, LLC ("O'Charley's") and 99 Restaurants Holdings, LLC ("99 Restaurants"); various other controlled portfolio companies and certain minority equity ownership interests.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G for further discussion of the businesses comprising our reportable segments.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2021.</w:t>
      </w:r>
    </w:p>
    <w:p>
      <w:pPr>
        <w:spacing w:after="0" w:line="8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are recorded on the Consolidated Statements of Operations relating to majority-owned subsidiaries with the appropriate noncontrolling interest that represents the portion of equity not related to our ownership interest recorded on the Condensed Consolidated Balance Sheets in each period.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(Note C). Actual results may differ from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Ceridian</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January 2022, we completed the sale of 2.0 million shares of common stock of Ceridian pursuant to Rule 144 promulgated under the Securities Act of 1933, as amended ("Rule 144"). In connection with the sale, we received proceeds of $173.3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owned 8.0 million shares of Ceridian common stock as of March 31, 2022, which represented approximately 5.3% of its outstanding stock as of March 31, 2022.</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Notes C and D for further discussion of our accounting for our investment in Ceridian and other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System1</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On January 10, 2022, we entered into an amendment to the backstop facility agreement (the "S1 Backstop Agreement") pursuant to which our commitment to fund redemptions of shareholders of Trebia Acquisition Corp. ("Trebia") in conjunction with its merger with System1 (the "Trebia System1 Business Combination") increased from $200.0 million to $250.0 million. Also on January 10, 2022, we entered into an amended and restated sponsor agreement with the sponsors of Trebia pursuant to which the sponsors will forfeit up to an additional Trebia 1,352,941 Class B ordinary shares to Trebia, and Trebia will issue to Cannae an equal number of shares of Trebia Class A common stock in connection with, and based upon the extent of, Cannae’s obligation with respect to the increase in our backstop commitment. Trebia was co-sponsored by entities affiliated with the chairman and a member of our board of directors ("Board"), William P. Foley II and Frank R. Martire, respectively.</w:t>
      </w:r>
    </w:p>
    <w:p>
      <w:pPr>
        <w:spacing w:after="0" w:line="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27, 2022, the Trebia System1 Business Combination was completed and System1 merged with and into Trebia, with System1 as the surviving corporation. Beginning on January 28, 2022, System1’s common stock began trading on the NYSE under the ticker symbol "SST." Upon the completion of the Trebia System1 Business Combination, Cannae has invested a total of $248.3 million in System1, directly and indirectly owned 28.2 million of System1 common shares and indirectly owned 1.2 million warrants to purchase SST common shares (the "System1 Warrants"). As a result, Cannae has an approximate 26.5% ownership of System1.</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17, 2022, the trading price of System1 Class A common stock exceeded certain thresholds resulting in the conversion of System1's outstanding Class D common stock to Class A common stock. As a result, the 833,750 shares of System1 Class D common stock held by the sponsor of Trebia, Trasimene Trebia LP ("Trebia Sponsor"), in which the Company owns a 26.1% limited partnership interest converted to shares of System1 Class A common stock. Cannae's ratable portion of such shares is 217,500 shares.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account for our direct ownership of the common equity of System1 under the equity method of accounting. See Notes C and D for further discussion of our accounting for our ownership of the common equity of System1.</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18, 2022, Trebia Sponsor exercised its System1 warrants on a cashless basis in exchange for System 1 Class A common stock. As a result, Cannae no longer has an indirect interest in any System1 warrants and has an indirect interest in an additional 0.5 million shares of System1 common stock held by Trebia Sponsor.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to March 31, 2022, Cannae sold 1.4 million shares of System1 common stock for proceeds of $19.5 million.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Quarterly Report, Cannae directly and indirectly owns 27.5 million shares of System1 common stock representing an approximate 24.8% ownership interest.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Optimal Blue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15, 2022, we completed the disposition (the "Optimal Blue Disposition") of our ownership interests in Optimal Blue Holdco, LLC ("Optimal Blue") to Black Knight, Inc. ("Black Knight") pursuant to a purchase agreement dated as of February 15, 2022, by and among Black Knight, Cannae, and Optimal Blue, among others. In conjunction with the Optimal Blue Disposition, Cannae received aggregate consideration of (y) $144.5 million in cash and (z) 21.8 million shares of common stock, par value $0.0001 per share, of Dun &amp; Bradstreet. Following the consummation of the Optimal Blue Disposition, Cannae no longer has any ownership interest in Optimal Blue. We recorded a gain of $313.0 million on the sale which is included in Recognized gains (losses), net on the Consolidated Statement of Operations.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15, 2022, we received 21.8 million shares of D&amp;B as partial consideration for the Optimal Blue Disposition. Subsequently, we transferred to our Manager 1.6 million of the D&amp;B shares we received as part of our carried interest paid related to the Optimal Blue Disposition. Following the receipt of these additional shares of D&amp;B and payment of carried interest, we own 88.3 million shares of D&amp;B which represents approximately 20.3% of its outstanding common stock as of March 31, 2022. See Note D for further discussion of our accounting for our increased ownership interest in D&amp;B.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Alight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2022, the sponsor of Foley Trasimene Acquisition Corp. ("FTAC") distributed all of its interest in Alight to its limited partners. As a result, Cannae now directly holds all of its interest in common equity of Alight. As of March 31, 2022, Cannae directly holds approximately 9.7% of the outstanding common equity of Alight.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Developments</w:t>
      </w:r>
    </w:p>
    <w:p>
      <w:pPr>
        <w:spacing w:after="0" w:line="10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Effective February 26, 2021, our Board authorized a three-year stock repurchase program (the "2021 Repurchase Program")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 During the quarter ended March 31, 2022, we repurchased 2,000,000 shares of CNNE common stock for approximately $54.0 million in the aggregate, or an average of $26.96 per share, pursuant to the 2021 Repurchase Program. Of the total 2,000,000 shares of CNNE common stock we repurchased during the quarter ended March 31, 2022, 1,000,000 shares were purchased from FNF for an aggregate amount of $24.0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March 31, 2022 and 2021, we incurred $10.6 million and $7.6 million, respectively, of management fee expenses payable to our Manager, and in the three months ended March 31, 2022 and 2021, we incurred $45.2 million and $17.1 million, respectively, of carried interest expense related to monetization of the Company's investments, both of which are recorded in Other operating expenses on our Condensed Consolidated Statement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Instruments that provide the ability to purchase shares of our common stock that are antidilutive are excluded from the computation of diluted earnings per share. For the three months ended March 31, 2022 and 2021, there were 0.1 million antidilutive shares of restricted stock outstanding that were excluded from the calculation of diluted earnings per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effective tax rate was 18.0% and 17.7% in the three months ended March 31, 2022 and 2021, respectively. The change in the effective tax rate in the three-month period ended March 31, 2022 compared to the corresponding prior year period was primarily attributable to the varying impact of equity in earnings of unconsolidated affiliates on loss before taxes.</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We have a Deferred tax liability of $2.3 million as of March 31, 2022 and of $143.8 million as of December 31, 2021. The $141.5 million change in deferred taxes in the three months ended March 31, 2022 is primarily attributable to the sales of Ceridian shares during the three months ended March 31, 2022, the mark to market losses recorded on Ceridian and other securities, and the impairment recorded to the value of our ownership in Paysafe.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completed our evaluation of the recently issued accounting pronouncements and we did not identify any that are expected to, if currently adopted,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consists of:</w:t>
      </w:r>
    </w:p>
    <w:p>
      <w:pPr>
        <w:spacing w:after="0" w:line="126" w:lineRule="exact"/>
        <w:rPr>
          <w:sz w:val="20"/>
          <w:szCs w:val="20"/>
          <w:color w:val="auto"/>
        </w:rPr>
      </w:pPr>
    </w:p>
    <w:p>
      <w:pPr>
        <w:jc w:val="center"/>
        <w:ind w:left="9360"/>
        <w:spacing w:after="0"/>
        <w:rPr>
          <w:sz w:val="20"/>
          <w:szCs w:val="20"/>
          <w:color w:val="auto"/>
        </w:rPr>
      </w:pPr>
      <w:r>
        <w:rPr>
          <w:rFonts w:ascii="Arial" w:cs="Arial" w:eastAsia="Arial" w:hAnsi="Arial"/>
          <w:sz w:val="14"/>
          <w:szCs w:val="14"/>
          <w:b w:val="1"/>
          <w:bCs w:val="1"/>
          <w:color w:val="auto"/>
        </w:rPr>
        <w:t>Three Months Ended March</w:t>
      </w:r>
    </w:p>
    <w:p>
      <w:pPr>
        <w:jc w:val="center"/>
        <w:ind w:left="9360"/>
        <w:spacing w:after="0"/>
        <w:rPr>
          <w:sz w:val="20"/>
          <w:szCs w:val="20"/>
          <w:color w:val="auto"/>
        </w:rPr>
      </w:pPr>
      <w:r>
        <w:rPr>
          <w:rFonts w:ascii="Arial" w:cs="Arial" w:eastAsia="Arial" w:hAnsi="Arial"/>
          <w:sz w:val="14"/>
          <w:szCs w:val="14"/>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r>
      <w:tr>
        <w:trPr>
          <w:trHeight w:val="184"/>
        </w:trPr>
        <w:tc>
          <w:tcPr>
            <w:tcW w:w="7400" w:type="dxa"/>
            <w:vAlign w:val="bottom"/>
            <w:tcBorders>
              <w:bottom w:val="single" w:sz="8" w:color="auto"/>
            </w:tcBorders>
          </w:tcPr>
          <w:p>
            <w:pPr>
              <w:ind w:left="320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Total Revenue</w:t>
            </w:r>
          </w:p>
        </w:tc>
      </w:tr>
      <w:tr>
        <w:trPr>
          <w:trHeight w:val="208"/>
        </w:trPr>
        <w:tc>
          <w:tcPr>
            <w:tcW w:w="7520" w:type="dxa"/>
            <w:vAlign w:val="bottom"/>
            <w:gridSpan w:val="2"/>
          </w:tcPr>
          <w:p>
            <w:pPr>
              <w:ind w:left="20"/>
              <w:spacing w:after="0"/>
              <w:rPr>
                <w:sz w:val="20"/>
                <w:szCs w:val="20"/>
                <w:color w:val="auto"/>
              </w:rPr>
            </w:pPr>
            <w:r>
              <w:rPr>
                <w:rFonts w:ascii="Arial" w:cs="Arial" w:eastAsia="Arial" w:hAnsi="Arial"/>
                <w:sz w:val="16"/>
                <w:szCs w:val="16"/>
                <w:color w:val="auto"/>
              </w:rPr>
              <w:t>Restaurant revenue: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4"/>
          </w:tcPr>
          <w:p>
            <w:pPr>
              <w:jc w:val="right"/>
              <w:ind w:right="500"/>
              <w:spacing w:after="0"/>
              <w:rPr>
                <w:sz w:val="20"/>
                <w:szCs w:val="20"/>
                <w:color w:val="auto"/>
              </w:rPr>
            </w:pPr>
            <w:r>
              <w:rPr>
                <w:rFonts w:ascii="Arial" w:cs="Arial" w:eastAsia="Arial" w:hAnsi="Arial"/>
                <w:sz w:val="14"/>
                <w:szCs w:val="14"/>
                <w:color w:val="auto"/>
              </w:rPr>
              <w:t>(in millions)</w:t>
            </w:r>
          </w:p>
        </w:tc>
      </w:tr>
      <w:tr>
        <w:trPr>
          <w:trHeight w:val="21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Restaurant sales</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Restaurant Group</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r>
      <w:tr>
        <w:trPr>
          <w:trHeight w:val="213"/>
        </w:trPr>
        <w:tc>
          <w:tcPr>
            <w:tcW w:w="7520" w:type="dxa"/>
            <w:vAlign w:val="bottom"/>
            <w:gridSpan w:val="2"/>
          </w:tcPr>
          <w:p>
            <w:pPr>
              <w:ind w:left="140"/>
              <w:spacing w:after="0"/>
              <w:rPr>
                <w:sz w:val="20"/>
                <w:szCs w:val="20"/>
                <w:color w:val="auto"/>
              </w:rPr>
            </w:pPr>
            <w:r>
              <w:rPr>
                <w:rFonts w:ascii="Arial" w:cs="Arial" w:eastAsia="Arial" w:hAnsi="Arial"/>
                <w:sz w:val="16"/>
                <w:szCs w:val="16"/>
                <w:color w:val="auto"/>
              </w:rPr>
              <w:t>Bakery sales</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Restaurant Group</w:t>
            </w: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and other</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Restaurant Group</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7520" w:type="dxa"/>
            <w:vAlign w:val="bottom"/>
            <w:gridSpan w:val="2"/>
          </w:tcPr>
          <w:p>
            <w:pPr>
              <w:ind w:left="220"/>
              <w:spacing w:after="0"/>
              <w:rPr>
                <w:sz w:val="20"/>
                <w:szCs w:val="20"/>
                <w:color w:val="auto"/>
              </w:rPr>
            </w:pPr>
            <w:r>
              <w:rPr>
                <w:rFonts w:ascii="Arial" w:cs="Arial" w:eastAsia="Arial" w:hAnsi="Arial"/>
                <w:sz w:val="16"/>
                <w:szCs w:val="16"/>
                <w:color w:val="auto"/>
              </w:rPr>
              <w:t>Total restaurant revenue</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167.3</w:t>
            </w:r>
          </w:p>
        </w:tc>
      </w:tr>
      <w:tr>
        <w:trPr>
          <w:trHeight w:val="21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520" w:type="dxa"/>
            <w:vAlign w:val="bottom"/>
            <w:gridSpan w:val="2"/>
          </w:tcPr>
          <w:p>
            <w:pPr>
              <w:ind w:left="140"/>
              <w:spacing w:after="0"/>
              <w:rPr>
                <w:sz w:val="20"/>
                <w:szCs w:val="20"/>
                <w:color w:val="auto"/>
              </w:rPr>
            </w:pPr>
            <w:r>
              <w:rPr>
                <w:rFonts w:ascii="Arial" w:cs="Arial" w:eastAsia="Arial" w:hAnsi="Arial"/>
                <w:sz w:val="16"/>
                <w:szCs w:val="16"/>
                <w:color w:val="auto"/>
              </w:rPr>
              <w:t>Real estate and resort</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Corporate and other</w:t>
            </w: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7"/>
        </w:trPr>
        <w:tc>
          <w:tcPr>
            <w:tcW w:w="7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other operating revenue</w:t>
            </w:r>
          </w:p>
        </w:tc>
        <w:tc>
          <w:tcPr>
            <w:tcW w:w="1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8"/>
        </w:trPr>
        <w:tc>
          <w:tcPr>
            <w:tcW w:w="7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revenues</w:t>
            </w: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Restaurant revenue consists of restaurant sales, bakery operations,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bakery operations is recognized at a point in time in the period during which the products are shipped and control transfers to the customer.</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Franchise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01"/>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187"/>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3"/>
          </w:tcPr>
          <w:p>
            <w:pPr>
              <w:jc w:val="right"/>
              <w:ind w:right="919"/>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Deferred revenue (contract liabilities)</w:t>
            </w:r>
          </w:p>
        </w:tc>
        <w:tc>
          <w:tcPr>
            <w:tcW w:w="2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w:t>
            </w:r>
          </w:p>
        </w:tc>
      </w:tr>
    </w:tbl>
    <w:p>
      <w:pPr>
        <w:spacing w:after="0" w:line="9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Deferred revenue is recorded primarily for restaurant gift card sales. The unrecognized portion of such revenue is recorded as Deferred revenue in the Condensed Consolidated Balance Sheets. Revenue of $2.4 million and $4.1 million, respectively, was recognized in the three months ended March 31, 2022 and 2021 that was included in Deferred revenue at the beginning of the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impairment related to contract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w:t>
      </w:r>
    </w:p>
    <w:p>
      <w:pPr>
        <w:spacing w:after="0" w:line="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March 31, 2022 and December 31, 2021, respectively: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96"/>
              </w:rPr>
              <w:t>March 31, 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83"/>
        </w:trPr>
        <w:tc>
          <w:tcPr>
            <w:tcW w:w="6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Ceridian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AAII FPA</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Paysafe Warrants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6720" w:type="dxa"/>
            <w:vAlign w:val="bottom"/>
          </w:tcPr>
          <w:p>
            <w:pPr>
              <w:ind w:left="240"/>
              <w:spacing w:after="0"/>
              <w:rPr>
                <w:sz w:val="20"/>
                <w:szCs w:val="20"/>
                <w:color w:val="auto"/>
              </w:rPr>
            </w:pPr>
            <w:r>
              <w:rPr>
                <w:rFonts w:ascii="Arial" w:cs="Arial" w:eastAsia="Arial" w:hAnsi="Arial"/>
                <w:sz w:val="18"/>
                <w:szCs w:val="18"/>
                <w:color w:val="auto"/>
              </w:rPr>
              <w:t>AAII Warrants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6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noncurrent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67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65"/>
        </w:trPr>
        <w:tc>
          <w:tcPr>
            <w:tcW w:w="6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91"/>
              </w:rPr>
              <w:t>December 31, 2021</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87"/>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83"/>
        </w:trPr>
        <w:tc>
          <w:tcPr>
            <w:tcW w:w="6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3"/>
          </w:tcPr>
          <w:p>
            <w:pPr>
              <w:jc w:val="center"/>
              <w:ind w:left="15"/>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720" w:type="dxa"/>
            <w:vAlign w:val="bottom"/>
          </w:tcPr>
          <w:p>
            <w:pPr>
              <w:ind w:left="120"/>
              <w:spacing w:after="0"/>
              <w:rPr>
                <w:sz w:val="20"/>
                <w:szCs w:val="20"/>
                <w:color w:val="auto"/>
              </w:rPr>
            </w:pPr>
            <w:r>
              <w:rPr>
                <w:rFonts w:ascii="Arial" w:cs="Arial" w:eastAsia="Arial" w:hAnsi="Arial"/>
                <w:sz w:val="18"/>
                <w:szCs w:val="18"/>
                <w:color w:val="auto"/>
              </w:rPr>
              <w:t>Ceridian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1,044.6</w:t>
            </w: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AAII FPA</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720" w:type="dxa"/>
            <w:vAlign w:val="bottom"/>
          </w:tcPr>
          <w:p>
            <w:pPr>
              <w:ind w:left="24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0.5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1,045.1</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720" w:type="dxa"/>
            <w:vAlign w:val="bottom"/>
          </w:tcPr>
          <w:p>
            <w:pPr>
              <w:ind w:left="120"/>
              <w:spacing w:after="0"/>
              <w:rPr>
                <w:sz w:val="20"/>
                <w:szCs w:val="20"/>
                <w:color w:val="auto"/>
              </w:rPr>
            </w:pPr>
            <w:r>
              <w:rPr>
                <w:rFonts w:ascii="Arial" w:cs="Arial" w:eastAsia="Arial" w:hAnsi="Arial"/>
                <w:sz w:val="18"/>
                <w:szCs w:val="18"/>
                <w:color w:val="auto"/>
              </w:rPr>
              <w:t>S1 Backstop Agreement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Paysafe Warrants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6720" w:type="dxa"/>
            <w:vAlign w:val="bottom"/>
          </w:tcPr>
          <w:p>
            <w:pPr>
              <w:ind w:left="120"/>
              <w:spacing w:after="0"/>
              <w:rPr>
                <w:sz w:val="20"/>
                <w:szCs w:val="20"/>
                <w:color w:val="auto"/>
              </w:rPr>
            </w:pPr>
            <w:r>
              <w:rPr>
                <w:rFonts w:ascii="Arial" w:cs="Arial" w:eastAsia="Arial" w:hAnsi="Arial"/>
                <w:sz w:val="18"/>
                <w:szCs w:val="18"/>
                <w:color w:val="auto"/>
              </w:rPr>
              <w:t>AAII Warrants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67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noncurrent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AAII FPA</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25, 2021, we entered into a forward purchase agreement (the "AAII FPA") with Austerlitz Acquisition Corp. II ("AAII"), a SPAC whose business purpose is to effect a merger, capital stock exchange, asset acquisition, stock purchase,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reorganization or similar business combination with one or more businesses or entities (the "AAII Initial Business Combination"). AAII is co-sponsored by entities affiliated with William P. Foley II. Under the AAII FPA, we agreed to purchase an aggregate of 12,500,000 shares of AAII’s Class A common stock, plus an aggregate of 3,125,000 redeemable warrants to purchase one share of AAII's Class A common stock at $11.50 per share for an aggregate purchase price of $125.0 million in a private placement to occur concurrently with the closing of the AAII Initial Business Combination. Additionally, Cannae directly invested $29.6 million for a 20% indirect economic interest in the founder shares held by the sponsor and a direct interest in 19,733,333 private placement warrants of AAII (the "AAII Warrants") at the initial public offering. The AAII FPA is contingent upon the closing of the AAII Initial Business Combination.</w:t>
      </w:r>
    </w:p>
    <w:p>
      <w:pPr>
        <w:spacing w:after="0" w:line="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The AAII FPA is accounted for at fair value pursuant to Accounting Standards Codification ("ASC") Topic 321 </w:t>
      </w:r>
      <w:r>
        <w:rPr>
          <w:rFonts w:ascii="Arial" w:cs="Arial" w:eastAsia="Arial" w:hAnsi="Arial"/>
          <w:sz w:val="17"/>
          <w:szCs w:val="17"/>
          <w:i w:val="1"/>
          <w:iCs w:val="1"/>
          <w:color w:val="auto"/>
        </w:rPr>
        <w:t>Investment - Equity Securities</w:t>
      </w:r>
      <w:r>
        <w:rPr>
          <w:rFonts w:ascii="Arial" w:cs="Arial" w:eastAsia="Arial" w:hAnsi="Arial"/>
          <w:sz w:val="17"/>
          <w:szCs w:val="17"/>
          <w:color w:val="auto"/>
        </w:rPr>
        <w:t>. We utilized a Monte Carlo Simulation in determining the fair value of this agreement, which is considered to be a Level 3 fair value measurement. The Monte Carlo Simulation model simulates the current security price to a simulated date for the consummation of the underlying initial business combination based on probabilities of consummation. The value of the agreement is then calculated as the difference between the future simulated price and the fixed purchase price for the underlying security to be purchased. The primary unobservable input utilized in determining the fair value of the AAII FPA is the probability of consummation of the business combinations of each underlying transaction. The probability assigned to the consummation of the AAII Initial Business Combination was 70%. Determination of such probability is based on a hybrid approach which considers observed success rates of business combinations for SPACs, the sponsor of AAII's track record for consummating similar transactions and the current market for SPAC transactions. Based on the total fair value of the Austerlitz II FPA as of March 31, 2022, changes in the probability utilized will not result in a change in fair value that is significant or material to the Company's financial position or results of operations.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AAII Warrants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The AAII Warrants are accounted for at fair value pursuant to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These private placement warrants are valued using the trading price of AAII's publicly traded warrants (NYSE: ASZ-WT) and are considered a Level 2 fair value measurement.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Three Months Ended March 31, 2021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2022</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6"/>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AAII</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Corporate debt</w:t>
            </w:r>
          </w:p>
        </w:tc>
        <w:tc>
          <w:tcPr>
            <w:tcW w:w="1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Forward Purchase</w:t>
            </w: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Subscription</w:t>
            </w: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AAII</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FPA</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Agreements</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6"/>
                <w:szCs w:val="16"/>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176"/>
        </w:trPr>
        <w:tc>
          <w:tcPr>
            <w:tcW w:w="3160" w:type="dxa"/>
            <w:vAlign w:val="bottom"/>
          </w:tcPr>
          <w:p>
            <w:pPr>
              <w:ind w:left="140"/>
              <w:spacing w:after="0" w:line="176" w:lineRule="exact"/>
              <w:rPr>
                <w:sz w:val="20"/>
                <w:szCs w:val="20"/>
                <w:color w:val="auto"/>
              </w:rPr>
            </w:pPr>
            <w:r>
              <w:rPr>
                <w:rFonts w:ascii="Arial" w:cs="Arial" w:eastAsia="Arial" w:hAnsi="Arial"/>
                <w:sz w:val="18"/>
                <w:szCs w:val="18"/>
                <w:color w:val="auto"/>
              </w:rPr>
              <w:t>Net valuation (loss) gain included in</w:t>
            </w:r>
          </w:p>
        </w:tc>
        <w:tc>
          <w:tcPr>
            <w:tcW w:w="14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Arial" w:cs="Arial" w:eastAsia="Arial" w:hAnsi="Arial"/>
                <w:sz w:val="18"/>
                <w:szCs w:val="18"/>
                <w:color w:val="auto"/>
              </w:rPr>
              <w:t>earnings (1)</w:t>
            </w:r>
          </w:p>
        </w:tc>
        <w:tc>
          <w:tcPr>
            <w:tcW w:w="14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to investments in</w:t>
            </w:r>
          </w:p>
        </w:tc>
        <w:tc>
          <w:tcPr>
            <w:tcW w:w="14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unconsolidated affiliates and warrants</w:t>
            </w:r>
          </w:p>
        </w:tc>
        <w:tc>
          <w:tcPr>
            <w:tcW w:w="14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Purchase of AAII Warrants</w:t>
            </w: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Net valuation gain included in other</w:t>
            </w:r>
          </w:p>
        </w:tc>
        <w:tc>
          <w:tcPr>
            <w:tcW w:w="14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earnings (2)</w:t>
            </w:r>
          </w:p>
        </w:tc>
        <w:tc>
          <w:tcPr>
            <w:tcW w:w="14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Fair value,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Recognized gains and (losses), net on the Condensed Consolidated Statements of Operations</w:t>
      </w:r>
    </w:p>
    <w:p>
      <w:pPr>
        <w:spacing w:after="0" w:line="9" w:lineRule="exact"/>
        <w:rPr>
          <w:rFonts w:ascii="Arial" w:cs="Arial" w:eastAsia="Arial" w:hAnsi="Arial"/>
          <w:sz w:val="18"/>
          <w:szCs w:val="18"/>
          <w:color w:val="auto"/>
        </w:rPr>
      </w:pPr>
    </w:p>
    <w:p>
      <w:pPr>
        <w:ind w:firstLine="8"/>
        <w:spacing w:after="0" w:line="260"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Unrealized gain on investments and other financial instruments, net (excluding investments in unconsolidated affiliates) on the Condensed Consolidated Statements of Comprehensive Earnings (Loss)</w:t>
      </w:r>
    </w:p>
    <w:p>
      <w:pPr>
        <w:spacing w:after="0" w:line="7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Transfers into or out of the Level 3 fair value category occur when unobservable inputs become more or less significant to the fair value measurement or upon a change in valuation technique. There were no transfers between Level 2 and Level 3 in the three months ended March 31, 2022 and 2021.</w:t>
      </w:r>
    </w:p>
    <w:p>
      <w:pPr>
        <w:spacing w:after="0" w:line="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Condensed Consolidated Statements of Comprehensive Earnings (Loss) for the three months ended March 31, 2021 relate to fixed maturity securities considered Level 3 fair value measures.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Gains (losses) on equity securities included in Recognized losses, net on the Condensed Consolidated Statements of Operations consisted of the following for the three months ended March 31, 2022 and 2021:</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183"/>
        </w:trPr>
        <w:tc>
          <w:tcPr>
            <w:tcW w:w="8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231"/>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losses recognized during the period on equity securities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r>
      <w:tr>
        <w:trPr>
          <w:trHeight w:val="230"/>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4"/>
              </w:rPr>
              <w:t>Less: net (losses) gains recognized during the period on equity securities sold or transferred during the period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recognized during the reporting period on equity securities held at the reporting date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recorded using the equity method of accounting as of March 31, 2022 and December 31, 2021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Ownership at March 31,</w:t>
            </w:r>
          </w:p>
        </w:tc>
        <w:tc>
          <w:tcPr>
            <w:tcW w:w="220" w:type="dxa"/>
            <w:vAlign w:val="bottom"/>
          </w:tcPr>
          <w:p>
            <w:pPr>
              <w:spacing w:after="0"/>
              <w:rPr>
                <w:sz w:val="14"/>
                <w:szCs w:val="14"/>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4"/>
                <w:szCs w:val="14"/>
                <w:color w:val="auto"/>
              </w:rPr>
            </w:pPr>
          </w:p>
        </w:tc>
        <w:tc>
          <w:tcPr>
            <w:tcW w:w="14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16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gridSpan w:val="4"/>
          </w:tcPr>
          <w:p>
            <w:pPr>
              <w:jc w:val="right"/>
              <w:ind w:right="115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Paysafe</w:t>
            </w:r>
          </w:p>
        </w:tc>
        <w:tc>
          <w:tcPr>
            <w:tcW w:w="168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Alight/FTAC Sponsor (1)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System1/Trebia Sponsor (2)</w:t>
            </w:r>
          </w:p>
        </w:tc>
        <w:tc>
          <w:tcPr>
            <w:tcW w:w="1680" w:type="dxa"/>
            <w:vAlign w:val="bottom"/>
          </w:tcPr>
          <w:p>
            <w:pPr>
              <w:jc w:val="right"/>
              <w:spacing w:after="0"/>
              <w:rPr>
                <w:sz w:val="20"/>
                <w:szCs w:val="20"/>
                <w:color w:val="auto"/>
              </w:rPr>
            </w:pPr>
            <w:r>
              <w:rPr>
                <w:rFonts w:ascii="Arial" w:cs="Arial" w:eastAsia="Arial" w:hAnsi="Arial"/>
                <w:sz w:val="18"/>
                <w:szCs w:val="18"/>
                <w:color w:val="auto"/>
              </w:rPr>
              <w:t>26.5 %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AmeriLife</w:t>
            </w:r>
          </w:p>
        </w:tc>
        <w:tc>
          <w:tcPr>
            <w:tcW w:w="1680" w:type="dxa"/>
            <w:vAlign w:val="bottom"/>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gridSpan w:val="2"/>
          </w:tcPr>
          <w:p>
            <w:pPr>
              <w:ind w:left="1140"/>
              <w:spacing w:after="0"/>
              <w:rPr>
                <w:sz w:val="20"/>
                <w:szCs w:val="20"/>
                <w:color w:val="auto"/>
              </w:rPr>
            </w:pPr>
            <w:r>
              <w:rPr>
                <w:rFonts w:ascii="Arial" w:cs="Arial" w:eastAsia="Arial" w:hAnsi="Arial"/>
                <w:sz w:val="18"/>
                <w:szCs w:val="18"/>
                <w:color w:val="auto"/>
              </w:rPr>
              <w:t>various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right="180" w:firstLine="8"/>
        <w:spacing w:after="0" w:line="25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December 31, 2021, represents both the Company's direct interest in Alight and indirect interest in Alight held through our interest in the FTAC Sponsor.</w:t>
      </w: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both the Company's direct interest in System1 and indirect interest in System1 held through our interest in the Trebia Sponsor.</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fair value of our direct and indirect ownership in the common stock of unconsolidated affiliates that have quoted market prices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consisted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March 31, 2022</w:t>
            </w:r>
          </w:p>
        </w:tc>
      </w:tr>
      <w:tr>
        <w:trPr>
          <w:trHeight w:val="187"/>
        </w:trPr>
        <w:tc>
          <w:tcPr>
            <w:tcW w:w="9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Dun &amp; Bradstreet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1,546.6</w:t>
            </w:r>
          </w:p>
        </w:tc>
      </w:tr>
      <w:tr>
        <w:trPr>
          <w:trHeight w:val="229"/>
        </w:trPr>
        <w:tc>
          <w:tcPr>
            <w:tcW w:w="9360" w:type="dxa"/>
            <w:vAlign w:val="bottom"/>
          </w:tcPr>
          <w:p>
            <w:pPr>
              <w:ind w:left="360"/>
              <w:spacing w:after="0"/>
              <w:rPr>
                <w:sz w:val="20"/>
                <w:szCs w:val="20"/>
                <w:color w:val="auto"/>
              </w:rPr>
            </w:pPr>
            <w:r>
              <w:rPr>
                <w:rFonts w:ascii="Arial" w:cs="Arial" w:eastAsia="Arial" w:hAnsi="Arial"/>
                <w:sz w:val="18"/>
                <w:szCs w:val="18"/>
                <w:color w:val="auto"/>
              </w:rPr>
              <w:t>Paysafe</w:t>
            </w:r>
          </w:p>
        </w:tc>
        <w:tc>
          <w:tcPr>
            <w:tcW w:w="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29"/>
        </w:trPr>
        <w:tc>
          <w:tcPr>
            <w:tcW w:w="9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Alight</w:t>
            </w:r>
          </w:p>
        </w:tc>
        <w:tc>
          <w:tcPr>
            <w:tcW w:w="5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r>
      <w:tr>
        <w:trPr>
          <w:trHeight w:val="230"/>
        </w:trPr>
        <w:tc>
          <w:tcPr>
            <w:tcW w:w="9360" w:type="dxa"/>
            <w:vAlign w:val="bottom"/>
          </w:tcPr>
          <w:p>
            <w:pPr>
              <w:ind w:left="360"/>
              <w:spacing w:after="0"/>
              <w:rPr>
                <w:sz w:val="20"/>
                <w:szCs w:val="20"/>
                <w:color w:val="auto"/>
              </w:rPr>
            </w:pPr>
            <w:r>
              <w:rPr>
                <w:rFonts w:ascii="Arial" w:cs="Arial" w:eastAsia="Arial" w:hAnsi="Arial"/>
                <w:sz w:val="18"/>
                <w:szCs w:val="18"/>
                <w:color w:val="auto"/>
              </w:rPr>
              <w:t>System1</w:t>
            </w:r>
          </w:p>
        </w:tc>
        <w:tc>
          <w:tcPr>
            <w:tcW w:w="5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411.7</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in earnings of unconsolidated affiliates for the three months ended March 31, 2022 and 2021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7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9"/>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8000" w:type="dxa"/>
            <w:vAlign w:val="bottom"/>
          </w:tcPr>
          <w:p>
            <w:pPr>
              <w:spacing w:after="0"/>
              <w:rPr>
                <w:sz w:val="16"/>
                <w:szCs w:val="16"/>
                <w:color w:val="auto"/>
              </w:rPr>
            </w:pP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183"/>
        </w:trPr>
        <w:tc>
          <w:tcPr>
            <w:tcW w:w="8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r>
      <w:tr>
        <w:trPr>
          <w:trHeight w:val="23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Paysafe/Trasimene Capital FT, LP II ("FTAC II Sponsor") (1)</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Alight/FTAC Sponsor</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System1/Trebia Sponsor (2)</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AmeriLife</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_____________________________________</w:t>
      </w:r>
    </w:p>
    <w:p>
      <w:pPr>
        <w:spacing w:after="0" w:line="2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for the quarter ended March 31, 2021 represents the Company's equity in earnings of FTAC II Sponsor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for the quarter ended March 31, 2022 represents the Company's equity in earnings of Trebia Sponsor only.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04"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7"/>
          <w:szCs w:val="17"/>
          <w:color w:val="auto"/>
        </w:rPr>
        <w:t>As of February 15, 2022, there was a $244.2 million difference between the amount of our recorded ownership interest in D&amp;B and the amount of the Company's ratable portion of the underlying equity in the net assets of D&amp;B as a result of our increased ownership resulting from the Optimal Blue Disposition. We have evaluated the accounting treatment of such basis difference and allocated $147.7 million to amortizing intangible assets, $59.7 million to indefinite-lived intangible assets and the remaining basis difference of $36.8 million to equity method goodwill, which represent the excess of our basis difference over our equity in D&amp;B's net assets that are not attributable to their identifiable net assets.</w:t>
      </w:r>
    </w:p>
    <w:p>
      <w:pPr>
        <w:spacing w:after="0" w:line="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Summarized financial information for Dun &amp; Bradstreet for the relevant dates and time periods included in Investments in unconsolidated affiliates and Equity in earnings of unconsolidated affiliates in our Condensed Consolidated Balance Sheets and Statements of Operations, respectively, is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200" w:type="dxa"/>
            <w:vAlign w:val="bottom"/>
          </w:tcPr>
          <w:p>
            <w:pPr>
              <w:jc w:val="right"/>
              <w:ind w:right="253"/>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83"/>
        </w:trPr>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5"/>
                <w:szCs w:val="15"/>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8,165.1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8,317.8</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9,857.2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9,997.2</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973.4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1,004.9</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3,716.7</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1,486.2</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1,530.3</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6,251.9</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3,745.3</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9,997.2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4"/>
                <w:szCs w:val="14"/>
                <w:b w:val="1"/>
                <w:bCs w:val="1"/>
                <w:color w:val="auto"/>
                <w:w w:val="93"/>
              </w:rPr>
              <w:t>Three months ended March 31,</w:t>
            </w:r>
          </w:p>
        </w:tc>
        <w:tc>
          <w:tcPr>
            <w:tcW w:w="580" w:type="dxa"/>
            <w:vAlign w:val="bottom"/>
            <w:tcBorders>
              <w:bottom w:val="single" w:sz="8" w:color="auto"/>
            </w:tcBorders>
          </w:tcPr>
          <w:p>
            <w:pPr>
              <w:spacing w:after="0"/>
              <w:rPr>
                <w:sz w:val="16"/>
                <w:szCs w:val="16"/>
                <w:color w:val="auto"/>
              </w:rPr>
            </w:pPr>
          </w:p>
        </w:tc>
      </w:tr>
      <w:tr>
        <w:trPr>
          <w:trHeight w:val="187"/>
        </w:trPr>
        <w:tc>
          <w:tcPr>
            <w:tcW w:w="7860" w:type="dxa"/>
            <w:vAlign w:val="bottom"/>
          </w:tcPr>
          <w:p>
            <w:pPr>
              <w:spacing w:after="0"/>
              <w:rPr>
                <w:sz w:val="16"/>
                <w:szCs w:val="16"/>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183"/>
        </w:trPr>
        <w:tc>
          <w:tcPr>
            <w:tcW w:w="7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40" w:type="dxa"/>
            <w:vAlign w:val="bottom"/>
            <w:gridSpan w:val="2"/>
          </w:tcPr>
          <w:p>
            <w:pPr>
              <w:jc w:val="center"/>
              <w:ind w:right="419"/>
              <w:spacing w:after="0"/>
              <w:rPr>
                <w:sz w:val="20"/>
                <w:szCs w:val="20"/>
                <w:color w:val="auto"/>
              </w:rPr>
            </w:pPr>
            <w:r>
              <w:rPr>
                <w:rFonts w:ascii="Arial" w:cs="Arial" w:eastAsia="Arial" w:hAnsi="Arial"/>
                <w:sz w:val="14"/>
                <w:szCs w:val="14"/>
                <w:b w:val="1"/>
                <w:bCs w:val="1"/>
                <w:color w:val="auto"/>
                <w:w w:val="96"/>
              </w:rPr>
              <w:t>(In millions)</w:t>
            </w:r>
          </w:p>
        </w:tc>
        <w:tc>
          <w:tcPr>
            <w:tcW w:w="580" w:type="dxa"/>
            <w:vAlign w:val="bottom"/>
          </w:tcPr>
          <w:p>
            <w:pPr>
              <w:spacing w:after="0"/>
              <w:rPr>
                <w:sz w:val="15"/>
                <w:szCs w:val="15"/>
                <w:color w:val="auto"/>
              </w:rPr>
            </w:pPr>
          </w:p>
        </w:tc>
      </w:tr>
      <w:tr>
        <w:trPr>
          <w:trHeight w:val="231"/>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536.0</w:t>
            </w:r>
          </w:p>
        </w:tc>
        <w:tc>
          <w:tcPr>
            <w:tcW w:w="112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(39.8)</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Dun &amp; Bradstreet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System1</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account for our ownership of System1 pursuant to the equity method of accounting. We intend to report our equity in earnings or loss of System1 on a three-month lag and we acquired our ownership interest on January 27, 2022. Accordingly, our net loss for the quarter ended March 31, 2022 does not include any equity in earnings or loss of System1.</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Paysafe</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Based on quoted market prices, the aggregate value of our ownership of Paysafe common stock was $202.6 million as of March 31, 2022 and the book value of our investment in Paysafe was $438.6 million prior to any impairment. Due primarily to the quantum of the decrease in the fair market value of our investment, as well as negative trends in the alternative payments industry and decreasing market multiples of peer companies, management determined the decrease in value of our investment in Paysafe was other-than-temporary. Accordingly, we recorded an impairment of $236.0 million in the three months ended March 31, 2022 which is included in Recognized losses, net, on our Condensed Consolidated Statement of Operations. As a result of the impairment, the basis difference between the carrying value of our investment in Paysafe and the Company’s ratable portion of Paysafe’s net assets which was previously attributable to equity method goodwill was eliminated.</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account for our ownership of preferred equity of QOMPLX and certain other ownership interests at cost less impairment, if any, plus or minus changes resulting from observable price changes in orderly market transactions. As of March 31, 2022 and December 31, 2021, we have $55.7 million recorded for our ownership of QOMPLX and certain other ownership interests, which is included in Other long term investments and noncurrent assets on our Condensed Consolidated Balance Sheets. We have not recorded any upward or downward adjustments to these ownership interests.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Notes Payable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payable, net consists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r>
      <w:tr>
        <w:trPr>
          <w:trHeight w:val="183"/>
        </w:trPr>
        <w:tc>
          <w:tcPr>
            <w:tcW w:w="8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Margin Facility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2021 Restaurants Credit Facility</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Brasada Interstate Loans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FNF Revolver</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Notes payable, 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Notes payable, current</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Notes payable, long term</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
        </w:trPr>
        <w:tc>
          <w:tcPr>
            <w:tcW w:w="8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March 31, 2022, the carrying value of our outstanding notes payable approximates fair value and are considered Level 2 financial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Margin Facility</w:t>
      </w:r>
    </w:p>
    <w:p>
      <w:pPr>
        <w:spacing w:after="0" w:line="11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The Company concurrently entered into a guaranty (the “Guaranty Agreement”) for the benefit of each of the lenders to the 2020 Margin Facility pro rata to their loan commitments, pursuant to which the Company absolutely, unconditionally and irrevocably guaranteed all of the Borrowers’ obligations under the 2020 Margin Facility for a period of up to one year after the later of (i) the conditions precedent to the obligations of the lenders under the Loan Agreement being met (the date when such conditions have been met, the “Closing Date”) or (ii) as relevant, additional collateral or additional loan commitments being provided. Under the 2020 Margin Facility, the Borrowers may initially borrow up to $100.0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the 36-month anniversary of the Closing Date. All outstanding amounts under the 2020 Margin Facility bear interest quarterly at a rate per annum equal to a three-month LIBOR rate plus an applicable margin. Interest will be payable in kind unless the Borrowers elect to pay interest in cash or a cumulative cap is exceeded. The Borrowers’ obligations under the 2020 Margin Facility will be secured by a first priority lien on (i) 6 million shares of Ceridian, which the Company contributed to Borrower 1, and (ii) 19 million shares of D&amp;B, which the Company contributed to Borrower 2. The Borrowers may also, at their discretion, post up to an additional 4 million shares of Ceridian and/or 11 million shares of D&amp;B as collateral for the revolving loans from time to time after the Closing Date, subject to certain notice, guaranty, average daily trading volume and other requirements. The 2020 Margin Facility requires the Borrowers to maintain a certain loan-to-value ratio (based on the value of Ceridian and D&amp;B shares). In the event the Borrowers fail to maintain such loan-to-value ratio, the Borrowers must post additional cash collateral under the Loan Agreement and/or elect to repay a portion of the revolving loans thereunder, or sell the Ceridian and/or D&amp;B shares and use the proceeds from such sale to prepay a portion of the revolving loans thereunder.</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16, 2021, the Borrowers entered into an amendment agreement to the 2020 Margin Facility, which increased the borrowing capacity of the 2020 Margin Facility by an additional $100.0 million and resulted in the transfer of 16 million additional shares of D&amp;B to Borrower 2 as collateral. On December 10, 2021, the Borrowers entered into a second amendment agreement to the 2020 Margin Facility, which increased the borrowing capacity by an additional $100.0 million and released 1 million shares of Ceridian as collateral. As of December 31, 2021, the 2020 Margin Facility was secured by a first priority lien on 5 million shares of Ceridian and 35 million shares of D&amp;B.</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20, 2022, the Borrowers entered into a third amendment agreement to the 2020 Margin Facility, which added 1 million shares of Ceridian as collateral, limited the collateral value of D&amp;B shares to 1.5 times that of the Ceridian shares for purposes of calculating loan-to-value ratios, and decreased the threshold price of Ceridian shares and D&amp;B shares.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2022, there was no outstanding balance under the 2020 Margin Facility, $300.0 million of capacity under the 2020 Margin Facility with an option to increase the capacity to $500.0 million upon amendment, and the 2020 Margin Facility was secured by 6 million shares of Ceridian and 35 million shares of D&amp;B.</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to March 31, 2022, we borrowed $60.0 million under the 2020 Margin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Restaurants Credit Facilities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21, 2018, 99 Restaurants LLC, a direct, wholly-owned subsidiary of 99 Restaurants entered into a credit agreement (the "99 Restaurants Credit Facility"), as amended from time to time, with Fifth Third Bank and other lenders thereto. The 99 Restaurants Credit Facility provides for (i) a maximum revolving loan of $15.0 million (the “99 Revolver”) with a maturity date of December 21, 2023; (ii) a maximum term loan of $37.0 million (the "99 Term Loan") with monthly installment repayments through November 30, 2023 and a maturity date of December 21, 2023 for the outstanding unpaid principal balance. The 99 Restaurants Credit Facility also allowed for 99 Restaurants LLC to request up to $5.0 million of letters of credit commitments and $2.5 million in swingline debt. On December 1, 2020, 99 Restaurants LLC entered into a waiver, consent and amendment to the 99 Restaurants Credit Facility pursuant to which the borrowing capacity under the 99 Revolver was permanently reduced by $7.5 million and certain financial covenants were waived, among other changes. The outstanding balance under the 99 Restaurants Credit Facility was paid off in its entirety on December 31, 2021 in conjunction with the execution of the 2021 Restaurants Credit Facility (defined below).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31, 2021, 99 Restaurants, LLC and 99 West, LLC, both wholly-owned subsidiaries of 99 Restaurants, O'Charley's LLC, a wholly-owned subsidiary of O'Charley's and Restaurant Growth Services, LLC, a 65.4%-owned subsidiary of the Company (collectively, the "Restaurant Borrowers") entered into an amendment to the 99 Restaurants Credit Facility (the "2021 Restaurants Credit Facility"). The 2021 Restaurants Credit Facility principally provides for: (i) a revolving credit commitment of $25.0 million in the aggregate (the "Restaurant Revolver") and (ii) a sub-facility for an aggregate of $15.0 million of letters of credit. The 2021 Restaurants Credit Facility matures on December 31, 2026. The 2021 Restaurants Credit Facility is secured by certain assets of the Restaurant Borrowers and their subsidiaries and contains customary covenants and events of default.</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2022, there were no outstanding borrowings and there is $25.0 million of aggregate borrowing capacity under the Restaurant Revolver.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Brasada Interstate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29, 2016, FNF NV Brasada, LLC, an Oregon limited liability company and majority-owned subsidiary of Cannae ("NV Brasada"), entered into a credit agreement (the “Interstate Credit Agreement”) originally with Bank of the Cascades, and later assigned to First Interstate Bank, as lender. Subsequent to various amendments from 2016 through 2022, the Interstate Credit Agreement currently provides for (i) a $12.5 million acquisition loan (the "Acquisition Loan"), (ii) a $2.1 million construction loan ("C Note") and (iii) a $0.7 million line of credit loan (the "Interstate LOC" and collectively with the Acquisition Loan and C Note, the "Brasada Interstate Loans").</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Brasada Interstate Loans are secured by certain single-family residential lots that can be sold for construction, owned by NV Brasada, and certain other operating assets owned by NV Brasada. The Company does not provide any guaranty or stock pledge under the Interstate Credit Agreement.</w:t>
      </w:r>
    </w:p>
    <w:p>
      <w:pPr>
        <w:spacing w:after="0" w:line="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March 31, 2022, the Acquisition Loan had $9.9 million outstanding and incurred interest at rates ranging from 2.41% to 4.51%; the C Note had $2.0 million outstanding and incurred interest at 2.48%; and the Interstate LOC had $0.7 million outstanding and incurred interest at 4.00%.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Revolver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17, 2017, Fidelity National Financial, Inc. ("FNF") issued to Cannae a revolver note in aggregate principal amount of up to $100.0 million (the "FNF Revolver"). Pursuant to the FNF Revolver, FNF may make one or more loans to us in increments of $1.0 million, with up to $100.0 million outstanding at any time. The FNF Revolver accrues interest at LIBOR plus 450 basis points and matures on the five-year anniversary of the date of the FNF Revolver. The maturity date is automatically extended for additional five-year terms unless notice of non-renewal is otherwise provided by either FNF or Cannae, in their sole discretion.</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2022, there was no outstanding balance under the FNF Revolver and there was $100.0 million remaining borrowing capacity.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00" w:type="dxa"/>
            <w:vAlign w:val="bottom"/>
          </w:tcPr>
          <w:p>
            <w:pPr>
              <w:ind w:left="340"/>
              <w:spacing w:after="0"/>
              <w:rPr>
                <w:sz w:val="20"/>
                <w:szCs w:val="20"/>
                <w:color w:val="auto"/>
              </w:rPr>
            </w:pPr>
            <w:r>
              <w:rPr>
                <w:rFonts w:ascii="Arial" w:cs="Arial" w:eastAsia="Arial" w:hAnsi="Arial"/>
                <w:sz w:val="18"/>
                <w:szCs w:val="18"/>
                <w:color w:val="auto"/>
              </w:rPr>
              <w:t>Gross principal maturities of notes payable at March 31, 2022 are as follows (in millions):</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35"/>
        </w:trPr>
        <w:tc>
          <w:tcPr>
            <w:tcW w:w="10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10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10100" w:type="dxa"/>
            <w:vAlign w:val="bottom"/>
          </w:tcPr>
          <w:p>
            <w:pPr>
              <w:ind w:left="2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10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March 31, 2022 and December 31, 2021,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September 23, 2020, a stockholder derivative lawsuit styled Oklahoma Firefighters Pension &amp; Retirement System, derivatively on behalf of Cannae Holdings, Inc. v. William P. Foley, II, et al.,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its 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 The stay has subsequently been extended through May 10, 2022. The defendants will contest the remaining claims in the action vigorously.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March 31, 2022 to determine the amount of the obligations. Purchase obligations as of March 31, 2022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1010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010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10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48"/>
        </w:trPr>
        <w:tc>
          <w:tcPr>
            <w:tcW w:w="10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Optimal Blue Disposition, Optimal Blue is no longer a reportable segment. As a result, the segment table for the three months ended March 31, 2021 has been retrospectively revised to remove Optimal Blue as a reportable segment.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Dun &amp;</w:t>
            </w:r>
          </w:p>
        </w:tc>
        <w:tc>
          <w:tcPr>
            <w:tcW w:w="18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Paysafe</w:t>
            </w:r>
          </w:p>
        </w:tc>
        <w:tc>
          <w:tcPr>
            <w:tcW w:w="200" w:type="dxa"/>
            <w:vAlign w:val="bottom"/>
          </w:tcPr>
          <w:p>
            <w:pPr>
              <w:spacing w:after="0"/>
              <w:rPr>
                <w:sz w:val="13"/>
                <w:szCs w:val="13"/>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auto"/>
              </w:rPr>
              <w:t>Alight</w:t>
            </w:r>
          </w:p>
        </w:tc>
        <w:tc>
          <w:tcPr>
            <w:tcW w:w="12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color w:val="auto"/>
              </w:rPr>
              <w:t>AmeriLife</w:t>
            </w:r>
          </w:p>
        </w:tc>
        <w:tc>
          <w:tcPr>
            <w:tcW w:w="980" w:type="dxa"/>
            <w:vAlign w:val="bottom"/>
            <w:gridSpan w:val="3"/>
          </w:tcPr>
          <w:p>
            <w:pPr>
              <w:jc w:val="center"/>
              <w:ind w:right="120"/>
              <w:spacing w:after="0"/>
              <w:rPr>
                <w:sz w:val="20"/>
                <w:szCs w:val="20"/>
                <w:color w:val="auto"/>
              </w:rPr>
            </w:pPr>
            <w:r>
              <w:rPr>
                <w:rFonts w:ascii="Arial" w:cs="Arial" w:eastAsia="Arial" w:hAnsi="Arial"/>
                <w:sz w:val="13"/>
                <w:szCs w:val="13"/>
                <w:color w:val="auto"/>
                <w:w w:val="84"/>
              </w:rPr>
              <w:t>Corporate and</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Affiliate</w:t>
            </w:r>
          </w:p>
        </w:tc>
        <w:tc>
          <w:tcPr>
            <w:tcW w:w="200" w:type="dxa"/>
            <w:vAlign w:val="bottom"/>
          </w:tcPr>
          <w:p>
            <w:pPr>
              <w:spacing w:after="0"/>
              <w:rPr>
                <w:sz w:val="13"/>
                <w:szCs w:val="13"/>
                <w:color w:val="auto"/>
              </w:rPr>
            </w:pPr>
          </w:p>
        </w:tc>
        <w:tc>
          <w:tcPr>
            <w:tcW w:w="660" w:type="dxa"/>
            <w:vAlign w:val="bottom"/>
            <w:vMerge w:val="restart"/>
          </w:tcPr>
          <w:p>
            <w:pPr>
              <w:jc w:val="right"/>
              <w:ind w:right="22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3"/>
              </w:rPr>
              <w:t>Bradstreet</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92"/>
              </w:rPr>
              <w:t>Other</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1"/>
              </w:rPr>
              <w:t>Elimination</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3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(1,928.6)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371.6</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35"/>
        </w:trPr>
        <w:tc>
          <w:tcPr>
            <w:tcW w:w="3580" w:type="dxa"/>
            <w:vAlign w:val="bottom"/>
          </w:tcPr>
          <w:p>
            <w:pPr>
              <w:ind w:left="20"/>
              <w:spacing w:after="0" w:line="135" w:lineRule="exact"/>
              <w:rPr>
                <w:sz w:val="20"/>
                <w:szCs w:val="20"/>
                <w:color w:val="auto"/>
              </w:rPr>
            </w:pPr>
            <w:r>
              <w:rPr>
                <w:rFonts w:ascii="Arial" w:cs="Arial" w:eastAsia="Arial" w:hAnsi="Arial"/>
                <w:sz w:val="14"/>
                <w:szCs w:val="14"/>
                <w:color w:val="auto"/>
                <w:w w:val="95"/>
              </w:rPr>
              <w:t>Interest, investment and other income, including recognized</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64.1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(264.6)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(265.2)</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gains (losses), net</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Total revenues, other income and realized gains (losses), net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435.7</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(2,069.7)</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79"/>
        </w:trPr>
        <w:tc>
          <w:tcPr>
            <w:tcW w:w="35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(324.8)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5"/>
        </w:trPr>
        <w:tc>
          <w:tcPr>
            <w:tcW w:w="3580" w:type="dxa"/>
            <w:vAlign w:val="bottom"/>
          </w:tcPr>
          <w:p>
            <w:pPr>
              <w:ind w:left="20"/>
              <w:spacing w:after="0" w:line="135" w:lineRule="exact"/>
              <w:rPr>
                <w:sz w:val="20"/>
                <w:szCs w:val="20"/>
                <w:color w:val="auto"/>
              </w:rPr>
            </w:pPr>
            <w:r>
              <w:rPr>
                <w:rFonts w:ascii="Arial" w:cs="Arial" w:eastAsia="Arial" w:hAnsi="Arial"/>
                <w:sz w:val="14"/>
                <w:szCs w:val="14"/>
                <w:color w:val="auto"/>
                <w:w w:val="96"/>
              </w:rPr>
              <w:t>(Loss) earnings before income taxes and equity in earnings</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71.5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(337.9)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(112.5)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(losses) of unconsolidated affiliates</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15"/>
        </w:trPr>
        <w:tc>
          <w:tcPr>
            <w:tcW w:w="3580" w:type="dxa"/>
            <w:vAlign w:val="bottom"/>
          </w:tcPr>
          <w:p>
            <w:pPr>
              <w:ind w:left="20"/>
              <w:spacing w:after="0" w:line="115" w:lineRule="exact"/>
              <w:rPr>
                <w:sz w:val="20"/>
                <w:szCs w:val="20"/>
                <w:color w:val="auto"/>
              </w:rPr>
            </w:pPr>
            <w:r>
              <w:rPr>
                <w:rFonts w:ascii="Arial" w:cs="Arial" w:eastAsia="Arial" w:hAnsi="Arial"/>
                <w:sz w:val="13"/>
                <w:szCs w:val="13"/>
                <w:color w:val="auto"/>
              </w:rPr>
              <w:t>(Loss) earnings, before equity in (losses) earnings of</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(276.7)</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(115.8)</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86"/>
        </w:trPr>
        <w:tc>
          <w:tcPr>
            <w:tcW w:w="358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83"/>
        </w:trPr>
        <w:tc>
          <w:tcPr>
            <w:tcW w:w="358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7,267.2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(30,024.2)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3,492.7</w:t>
            </w:r>
          </w:p>
        </w:tc>
        <w:tc>
          <w:tcPr>
            <w:tcW w:w="0" w:type="dxa"/>
            <w:vAlign w:val="bottom"/>
          </w:tcPr>
          <w:p>
            <w:pPr>
              <w:spacing w:after="0"/>
              <w:rPr>
                <w:sz w:val="1"/>
                <w:szCs w:val="1"/>
                <w:color w:val="auto"/>
              </w:rPr>
            </w:pPr>
          </w:p>
        </w:tc>
      </w:tr>
      <w:tr>
        <w:trPr>
          <w:trHeight w:val="182"/>
        </w:trPr>
        <w:tc>
          <w:tcPr>
            <w:tcW w:w="3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3,475.4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3,650.0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3,638.0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(11,734.5)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3"/>
                <w:szCs w:val="13"/>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3"/>
                <w:szCs w:val="13"/>
                <w:color w:val="auto"/>
                <w:w w:val="98"/>
              </w:rPr>
              <w:t>Restaurant Group</w:t>
            </w:r>
          </w:p>
        </w:tc>
        <w:tc>
          <w:tcPr>
            <w:tcW w:w="1080" w:type="dxa"/>
            <w:vAlign w:val="bottom"/>
            <w:gridSpan w:val="3"/>
            <w:vMerge w:val="restart"/>
          </w:tcPr>
          <w:p>
            <w:pPr>
              <w:ind w:left="40"/>
              <w:spacing w:after="0"/>
              <w:rPr>
                <w:sz w:val="20"/>
                <w:szCs w:val="20"/>
                <w:color w:val="auto"/>
              </w:rPr>
            </w:pPr>
            <w:r>
              <w:rPr>
                <w:rFonts w:ascii="Arial" w:cs="Arial" w:eastAsia="Arial" w:hAnsi="Arial"/>
                <w:sz w:val="13"/>
                <w:szCs w:val="13"/>
                <w:color w:val="auto"/>
              </w:rPr>
              <w:t>Dun &amp; Bradstreet</w:t>
            </w:r>
          </w:p>
        </w:tc>
        <w:tc>
          <w:tcPr>
            <w:tcW w:w="14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AmeriLife</w:t>
            </w:r>
          </w:p>
        </w:tc>
        <w:tc>
          <w:tcPr>
            <w:tcW w:w="18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color w:val="auto"/>
              </w:rPr>
              <w:t>Corporate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color w:val="auto"/>
              </w:rPr>
              <w:t>Affiliate</w:t>
            </w:r>
          </w:p>
        </w:tc>
        <w:tc>
          <w:tcPr>
            <w:tcW w:w="240" w:type="dxa"/>
            <w:vAlign w:val="bottom"/>
          </w:tcPr>
          <w:p>
            <w:pPr>
              <w:spacing w:after="0"/>
              <w:rPr>
                <w:sz w:val="13"/>
                <w:szCs w:val="13"/>
                <w:color w:val="auto"/>
              </w:rPr>
            </w:pPr>
          </w:p>
        </w:tc>
        <w:tc>
          <w:tcPr>
            <w:tcW w:w="800" w:type="dxa"/>
            <w:vAlign w:val="bottom"/>
            <w:vMerge w:val="restart"/>
          </w:tcPr>
          <w:p>
            <w:pPr>
              <w:jc w:val="right"/>
              <w:ind w:right="32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and Other</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4"/>
              </w:rPr>
              <w:t>Elimination</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131.0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131.0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35"/>
        </w:trPr>
        <w:tc>
          <w:tcPr>
            <w:tcW w:w="4820" w:type="dxa"/>
            <w:vAlign w:val="bottom"/>
          </w:tcPr>
          <w:p>
            <w:pPr>
              <w:ind w:left="20"/>
              <w:spacing w:after="0" w:line="135" w:lineRule="exact"/>
              <w:rPr>
                <w:sz w:val="20"/>
                <w:szCs w:val="20"/>
                <w:color w:val="auto"/>
              </w:rPr>
            </w:pPr>
            <w:r>
              <w:rPr>
                <w:rFonts w:ascii="Arial" w:cs="Arial" w:eastAsia="Arial" w:hAnsi="Arial"/>
                <w:sz w:val="14"/>
                <w:szCs w:val="14"/>
                <w:color w:val="auto"/>
                <w:w w:val="96"/>
              </w:rPr>
              <w:t>Interest investment and other income (expense), including recognized gains and</w:t>
            </w: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(311.8)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(311.6)</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losses, net</w:t>
            </w: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other income and realized gains (losses), net</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131.0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(642.4)</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w:t>
            </w:r>
          </w:p>
        </w:tc>
        <w:tc>
          <w:tcPr>
            <w:tcW w:w="0" w:type="dxa"/>
            <w:vAlign w:val="bottom"/>
          </w:tcPr>
          <w:p>
            <w:pPr>
              <w:spacing w:after="0"/>
              <w:rPr>
                <w:sz w:val="1"/>
                <w:szCs w:val="1"/>
                <w:color w:val="auto"/>
              </w:rPr>
            </w:pPr>
          </w:p>
        </w:tc>
      </w:tr>
      <w:tr>
        <w:trPr>
          <w:trHeight w:val="179"/>
        </w:trPr>
        <w:tc>
          <w:tcPr>
            <w:tcW w:w="48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5"/>
        </w:trPr>
        <w:tc>
          <w:tcPr>
            <w:tcW w:w="4820" w:type="dxa"/>
            <w:vAlign w:val="bottom"/>
          </w:tcPr>
          <w:p>
            <w:pPr>
              <w:ind w:left="20"/>
              <w:spacing w:after="0" w:line="135" w:lineRule="exact"/>
              <w:rPr>
                <w:sz w:val="20"/>
                <w:szCs w:val="20"/>
                <w:color w:val="auto"/>
              </w:rPr>
            </w:pPr>
            <w:r>
              <w:rPr>
                <w:rFonts w:ascii="Arial" w:cs="Arial" w:eastAsia="Arial" w:hAnsi="Arial"/>
                <w:sz w:val="14"/>
                <w:szCs w:val="14"/>
                <w:color w:val="auto"/>
              </w:rPr>
              <w:t>(Loss) earnings before income taxes and equity in earnings (losses) of</w:t>
            </w:r>
          </w:p>
        </w:tc>
        <w:tc>
          <w:tcPr>
            <w:tcW w:w="3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(341.7)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(349.7)</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3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79"/>
        </w:trPr>
        <w:tc>
          <w:tcPr>
            <w:tcW w:w="4820" w:type="dxa"/>
            <w:vAlign w:val="bottom"/>
          </w:tcPr>
          <w:p>
            <w:pPr>
              <w:ind w:left="20"/>
              <w:spacing w:after="0"/>
              <w:rPr>
                <w:sz w:val="20"/>
                <w:szCs w:val="20"/>
                <w:color w:val="auto"/>
              </w:rPr>
            </w:pPr>
            <w:r>
              <w:rPr>
                <w:rFonts w:ascii="Arial" w:cs="Arial" w:eastAsia="Arial" w:hAnsi="Arial"/>
                <w:sz w:val="14"/>
                <w:szCs w:val="14"/>
                <w:color w:val="auto"/>
              </w:rPr>
              <w:t>(Loss) earnings before equity in earnings of unconsolidated affiliates</w:t>
            </w:r>
          </w:p>
        </w:tc>
        <w:tc>
          <w:tcPr>
            <w:tcW w:w="3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3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1,742.3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4,305.4</w:t>
            </w:r>
          </w:p>
        </w:tc>
        <w:tc>
          <w:tcPr>
            <w:tcW w:w="0" w:type="dxa"/>
            <w:vAlign w:val="bottom"/>
          </w:tcPr>
          <w:p>
            <w:pPr>
              <w:spacing w:after="0"/>
              <w:rPr>
                <w:sz w:val="1"/>
                <w:szCs w:val="1"/>
                <w:color w:val="auto"/>
              </w:rPr>
            </w:pPr>
          </w:p>
        </w:tc>
      </w:tr>
      <w:tr>
        <w:trPr>
          <w:trHeight w:val="182"/>
        </w:trPr>
        <w:tc>
          <w:tcPr>
            <w:tcW w:w="4820" w:type="dxa"/>
            <w:vAlign w:val="bottom"/>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3,318.2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850.8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(4,169.0)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117" w:lineRule="exact"/>
        <w:rPr>
          <w:sz w:val="20"/>
          <w:szCs w:val="20"/>
          <w:color w:val="auto"/>
        </w:rPr>
      </w:pPr>
    </w:p>
    <w:p>
      <w:pPr>
        <w:jc w:val="right"/>
        <w:ind w:left="260"/>
        <w:spacing w:after="0" w:line="274" w:lineRule="auto"/>
        <w:rPr>
          <w:sz w:val="20"/>
          <w:szCs w:val="20"/>
          <w:color w:val="auto"/>
        </w:rPr>
      </w:pPr>
      <w:r>
        <w:rPr>
          <w:rFonts w:ascii="Arial" w:cs="Arial" w:eastAsia="Arial" w:hAnsi="Arial"/>
          <w:sz w:val="17"/>
          <w:szCs w:val="17"/>
          <w:i w:val="1"/>
          <w:iCs w:val="1"/>
          <w:color w:val="auto"/>
        </w:rPr>
        <w:t xml:space="preserve">•    Restaurant  Group.  </w:t>
      </w:r>
      <w:r>
        <w:rPr>
          <w:rFonts w:ascii="Arial" w:cs="Arial" w:eastAsia="Arial" w:hAnsi="Arial"/>
          <w:sz w:val="17"/>
          <w:szCs w:val="17"/>
          <w:color w:val="auto"/>
        </w:rPr>
        <w:t>This  segment  consists  primarily  of  the  operations  of  O'Charley's  and  99  Restaurants  in  which  we  have  65.4%</w:t>
      </w:r>
      <w:r>
        <w:rPr>
          <w:rFonts w:ascii="Arial" w:cs="Arial" w:eastAsia="Arial" w:hAnsi="Arial"/>
          <w:sz w:val="17"/>
          <w:szCs w:val="17"/>
          <w:i w:val="1"/>
          <w:iCs w:val="1"/>
          <w:color w:val="auto"/>
        </w:rPr>
        <w:t xml:space="preserve"> </w:t>
      </w:r>
      <w:r>
        <w:rPr>
          <w:rFonts w:ascii="Arial" w:cs="Arial" w:eastAsia="Arial" w:hAnsi="Arial"/>
          <w:sz w:val="17"/>
          <w:szCs w:val="17"/>
          <w:color w:val="auto"/>
        </w:rPr>
        <w:t>and 88.5% ownership interests, respectively. O'Charley's and 99 Restaurants and their affiliates are the owners and operators of the O'Charley's</w:t>
      </w:r>
    </w:p>
    <w:p>
      <w:pPr>
        <w:jc w:val="both"/>
        <w:ind w:left="660"/>
        <w:spacing w:after="0" w:line="253" w:lineRule="auto"/>
        <w:rPr>
          <w:sz w:val="20"/>
          <w:szCs w:val="20"/>
          <w:color w:val="auto"/>
        </w:rPr>
      </w:pPr>
      <w:r>
        <w:rPr>
          <w:rFonts w:ascii="Arial" w:cs="Arial" w:eastAsia="Arial" w:hAnsi="Arial"/>
          <w:sz w:val="18"/>
          <w:szCs w:val="18"/>
          <w:color w:val="auto"/>
        </w:rPr>
        <w:t>and Ninety Nine Restaurants restaurant concepts, respectively. This segment also includes the operations of Legendary Baking and VIBSQ Holdco, LLC ("VIBSQ") prior to their respective sales in 2021. During the three months ended March 31, 2022, other than the winding down of certain immaterial retained assets and liabilities of Legendary Baking and VIBSQ, we have no further material interest in Legendary Baking and VIBSQ.</w:t>
      </w:r>
    </w:p>
    <w:p>
      <w:pPr>
        <w:spacing w:after="0" w:line="85" w:lineRule="exact"/>
        <w:rPr>
          <w:sz w:val="20"/>
          <w:szCs w:val="20"/>
          <w:color w:val="auto"/>
        </w:rPr>
      </w:pPr>
    </w:p>
    <w:p>
      <w:pPr>
        <w:jc w:val="both"/>
        <w:ind w:left="660" w:hanging="409"/>
        <w:spacing w:after="0" w:line="269"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Dun &amp; Bradstreet. </w:t>
      </w:r>
      <w:r>
        <w:rPr>
          <w:rFonts w:ascii="Arial" w:cs="Arial" w:eastAsia="Arial" w:hAnsi="Arial"/>
          <w:sz w:val="17"/>
          <w:szCs w:val="17"/>
          <w:color w:val="auto"/>
        </w:rPr>
        <w:t>This segment consists of our 20.3% ownership interest in Dun &amp; Bradstreet. Dun &amp; Bradstreet is a leading global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decisioning data and analytics.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2021 contained hundreds of millions of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Elimination </w:t>
      </w:r>
      <w:r>
        <w:rPr>
          <w:rFonts w:ascii="Arial" w:cs="Arial" w:eastAsia="Arial" w:hAnsi="Arial"/>
          <w:sz w:val="17"/>
          <w:szCs w:val="17"/>
          <w:color w:val="auto"/>
        </w:rPr>
        <w:t>section of the segment presentation above. See Note D for further discussion of our ownership interest in Dun &amp; Bradstreet and</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accounting.</w:t>
      </w:r>
    </w:p>
    <w:p>
      <w:pPr>
        <w:spacing w:after="0" w:line="73" w:lineRule="exact"/>
        <w:rPr>
          <w:rFonts w:ascii="Arial" w:cs="Arial" w:eastAsia="Arial" w:hAnsi="Arial"/>
          <w:sz w:val="17"/>
          <w:szCs w:val="17"/>
          <w:i w:val="1"/>
          <w:iCs w:val="1"/>
          <w:color w:val="auto"/>
        </w:rPr>
      </w:pPr>
    </w:p>
    <w:p>
      <w:pPr>
        <w:jc w:val="both"/>
        <w:ind w:left="660" w:hanging="409"/>
        <w:spacing w:after="0" w:line="288" w:lineRule="auto"/>
        <w:tabs>
          <w:tab w:leader="none" w:pos="65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Alight</w:t>
      </w:r>
      <w:r>
        <w:rPr>
          <w:rFonts w:ascii="Arial" w:cs="Arial" w:eastAsia="Arial" w:hAnsi="Arial"/>
          <w:sz w:val="16"/>
          <w:szCs w:val="16"/>
          <w:color w:val="auto"/>
        </w:rPr>
        <w:t>. This segment consists of our 9.7% ownership interest in Alight. Alight is a leading cloud-based provider of integrated digital human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business solutions. Alight has an unwavering belief that a company’s success starts with its people, and its solutions connect human insights with technology. Leveraging artificial intelligence and data analytics, Alight provide an integrated, personalized experience for employees using technology-driven solutions that unlock value for employers. Alight's mission-critical solutions enable employees to enrich their health, wealth and wellbeing which helps global organizations achieve a high-performance culture. Our chief operating decision maker reviews the full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We report our equity in earnings or loss of Alight on a three-month lag and we acquired our ownership interest on July 2, 2021. Accordingly, our net earnings and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segment table above, respectively, for the three months ended March 31, 2022, include our equity in Alight’s earnings and complete results of Alight, respectively, for the three months ended December 31, 2021.</w:t>
      </w:r>
    </w:p>
    <w:p>
      <w:pPr>
        <w:spacing w:after="0" w:line="62" w:lineRule="exact"/>
        <w:rPr>
          <w:sz w:val="20"/>
          <w:szCs w:val="20"/>
          <w:color w:val="auto"/>
        </w:rPr>
      </w:pPr>
    </w:p>
    <w:p>
      <w:pPr>
        <w:jc w:val="both"/>
        <w:ind w:left="660" w:hanging="409"/>
        <w:spacing w:after="0" w:line="288" w:lineRule="auto"/>
        <w:tabs>
          <w:tab w:leader="none" w:pos="655"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Paysafe</w:t>
      </w:r>
      <w:r>
        <w:rPr>
          <w:rFonts w:ascii="Arial" w:cs="Arial" w:eastAsia="Arial" w:hAnsi="Arial"/>
          <w:sz w:val="16"/>
          <w:szCs w:val="16"/>
          <w:color w:val="auto"/>
        </w:rPr>
        <w:t>. This segment consists of our 8.3% ownership interest in Paysafe. Paysafe provides payment solutions through several business lines.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These business lines are focused on card not present and card present solutions for small to medium size business merchants, wallet based online payment solutions through Skrill and NETELLER brands and solutions that enable consumers to use cash to facilitate online purchases through its paysafecard prepaid vouchers. Our chief operating decision maker reviews the full financial results of Paysafe for purposes of assessing performance and allocating resources. Thus, we consider Paysafe a reportable segment and have included the full results of Paysafe subsequent to our initial acquisition of an ownership interest in the tables above. We account for Paysafe using the equity method of accounting, and therefore, its results do not consolidate into ours. Accordingly, we have presented the elimination of Paysafe's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We report our equity in earnings or loss of Paysafe on a three-month lag and we acquired our ownership interest on March 30, 2021. Accordingly, our net earnings and the segment tables above, respectively, for the three months ended March 31, 2022, include our equity in Paysafe’s earnings and complete results of Paysafe, respectively, for the three months ended December 31, 2021.</w:t>
      </w:r>
    </w:p>
    <w:p>
      <w:pPr>
        <w:spacing w:after="0" w:line="60" w:lineRule="exact"/>
        <w:rPr>
          <w:rFonts w:ascii="Arial" w:cs="Arial" w:eastAsia="Arial" w:hAnsi="Arial"/>
          <w:sz w:val="16"/>
          <w:szCs w:val="16"/>
          <w:i w:val="1"/>
          <w:iCs w:val="1"/>
          <w:color w:val="auto"/>
        </w:rPr>
      </w:pPr>
    </w:p>
    <w:p>
      <w:pPr>
        <w:jc w:val="both"/>
        <w:ind w:left="660" w:hanging="409"/>
        <w:spacing w:after="0" w:line="269" w:lineRule="auto"/>
        <w:tabs>
          <w:tab w:leader="none" w:pos="65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AmeriLife. </w:t>
      </w:r>
      <w:r>
        <w:rPr>
          <w:rFonts w:ascii="Arial" w:cs="Arial" w:eastAsia="Arial" w:hAnsi="Arial"/>
          <w:sz w:val="17"/>
          <w:szCs w:val="17"/>
          <w:color w:val="auto"/>
        </w:rPr>
        <w:t>This segment consists of our 19.6% ownership interest in AmeriLife, which we acquired on March 18, 2020. AmeriLife is a leader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marketing and distributing life, health, and retirement solutions. AmeriLife has partnered with the nation’s leading insurance carriers to provide value and quality to customers served through a national distribution network of insurance agents and advisors, marketing organizations, and insurance agency locations. AmeriLife exceeds certain of the quantitative thresholds prescribed by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and our chief operating decision maker reviews the financial results of AmeriLife for purposes of assessing performance and allocating resources. Thus, we consider AmeriLife a reportable segment and have included the results of operations of AmeriLife in the tables above. We account for our investment in AmeriLife as an equity method investment, and therefore, its results do not consolidate into ours. Accordingly, we have presented the elimination of AmeriLife's results in the </w:t>
      </w:r>
      <w:r>
        <w:rPr>
          <w:rFonts w:ascii="Arial" w:cs="Arial" w:eastAsia="Arial" w:hAnsi="Arial"/>
          <w:sz w:val="17"/>
          <w:szCs w:val="17"/>
          <w:i w:val="1"/>
          <w:iCs w:val="1"/>
          <w:color w:val="auto"/>
        </w:rPr>
        <w:t>Affiliate Elimination</w:t>
      </w:r>
      <w:r>
        <w:rPr>
          <w:rFonts w:ascii="Arial" w:cs="Arial" w:eastAsia="Arial" w:hAnsi="Arial"/>
          <w:sz w:val="17"/>
          <w:szCs w:val="17"/>
          <w:color w:val="auto"/>
        </w:rPr>
        <w:t xml:space="preserve"> section of the segment presentation above. We report our equity in earnings or loss of AmeriLife on a three-month lag. Our net earnings and the segment tables above, respectively, for the three months ended March 31, 2022 and 2021 includes our equity in AmeriLife’s losses and the complete results of AmeriLife, respectively, for the three months ended December 31, 2021 and 2020, respectively.</w:t>
      </w:r>
    </w:p>
    <w:p>
      <w:pPr>
        <w:spacing w:after="0" w:line="73" w:lineRule="exact"/>
        <w:rPr>
          <w:rFonts w:ascii="Arial" w:cs="Arial" w:eastAsia="Arial" w:hAnsi="Arial"/>
          <w:sz w:val="17"/>
          <w:szCs w:val="17"/>
          <w:i w:val="1"/>
          <w:iCs w:val="1"/>
          <w:color w:val="auto"/>
        </w:rPr>
      </w:pPr>
    </w:p>
    <w:p>
      <w:pPr>
        <w:ind w:left="660" w:right="20" w:hanging="409"/>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nonreportable segment consists of our share in the operations of certain controlled portfolio companies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activity of the corporate holding company and certain intercompany eliminations and taxes.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Supplemental Cash Flow Information</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certain cash payments, as well as certain non-cash investing and financing activities.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52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93"/>
              </w:rPr>
              <w:t>Three months ended March 31,</w:t>
            </w:r>
          </w:p>
        </w:tc>
        <w:tc>
          <w:tcPr>
            <w:tcW w:w="46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tcPr>
          <w:p>
            <w:pPr>
              <w:spacing w:after="0"/>
              <w:rPr>
                <w:sz w:val="15"/>
                <w:szCs w:val="15"/>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920" w:type="dxa"/>
            <w:vAlign w:val="bottom"/>
          </w:tcPr>
          <w:p>
            <w:pPr>
              <w:jc w:val="right"/>
              <w:ind w:right="72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60" w:type="dxa"/>
            <w:vAlign w:val="bottom"/>
          </w:tcPr>
          <w:p>
            <w:pPr>
              <w:jc w:val="right"/>
              <w:ind w:right="77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92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D&amp;B shares received as partial consideration for the Optimal Blue Disposition</w:t>
            </w:r>
          </w:p>
        </w:tc>
        <w:tc>
          <w:tcPr>
            <w:tcW w:w="920" w:type="dxa"/>
            <w:vAlign w:val="bottom"/>
          </w:tcPr>
          <w:p>
            <w:pPr>
              <w:spacing w:after="0"/>
              <w:rPr>
                <w:sz w:val="20"/>
                <w:szCs w:val="20"/>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435.0</w:t>
            </w:r>
          </w:p>
        </w:tc>
        <w:tc>
          <w:tcPr>
            <w:tcW w:w="10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conditions resulting from the outbreak of a pandemic such as the novel coronavirus COVID-19 ("COVID-19");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and other risks detailed in the “Statement Regarding Forward-Looking Information,” “Risk Factors” and other sections of our Annual Report on Form 10-K for the year ended December 31, 2021 (our "Annual Report") and other filings with the SEC.</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Part I, Item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Dun &amp; Bradstreet. </w:t>
      </w:r>
      <w:r>
        <w:rPr>
          <w:rFonts w:ascii="Arial" w:cs="Arial" w:eastAsia="Arial" w:hAnsi="Arial"/>
          <w:sz w:val="18"/>
          <w:szCs w:val="18"/>
          <w:color w:val="auto"/>
        </w:rPr>
        <w:t>D&amp;B believes there are several key trends in the global macroeconomic environment generating additional growth in D&amp;B's TAM</w:t>
      </w:r>
      <w:r>
        <w:rPr>
          <w:rFonts w:ascii="Arial" w:cs="Arial" w:eastAsia="Arial" w:hAnsi="Arial"/>
          <w:sz w:val="18"/>
          <w:szCs w:val="18"/>
          <w:i w:val="1"/>
          <w:iCs w:val="1"/>
          <w:color w:val="auto"/>
        </w:rPr>
        <w:t xml:space="preserve"> </w:t>
      </w:r>
      <w:r>
        <w:rPr>
          <w:rFonts w:ascii="Arial" w:cs="Arial" w:eastAsia="Arial" w:hAnsi="Arial"/>
          <w:sz w:val="18"/>
          <w:szCs w:val="18"/>
          <w:color w:val="auto"/>
        </w:rPr>
        <w:t>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Restaurant Group</w:t>
      </w:r>
      <w:r>
        <w:rPr>
          <w:rFonts w:ascii="Arial" w:cs="Arial" w:eastAsia="Arial" w:hAnsi="Arial"/>
          <w:sz w:val="17"/>
          <w:szCs w:val="17"/>
          <w:color w:val="auto"/>
        </w:rPr>
        <w:t>. The restaurant industry is characterized by high capital investments for new restaurants and relatively high fixed or semi-variable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revenues in future periods will continue to be subject to these and other factors that are beyond our control and, as a result, are likely to fluctuate.</w:t>
      </w:r>
    </w:p>
    <w:p>
      <w:pPr>
        <w:spacing w:after="0" w:line="14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COVID-19. </w:t>
      </w:r>
      <w:r>
        <w:rPr>
          <w:rFonts w:ascii="Arial" w:cs="Arial" w:eastAsia="Arial" w:hAnsi="Arial"/>
          <w:sz w:val="16"/>
          <w:szCs w:val="16"/>
          <w:color w:val="auto"/>
        </w:rPr>
        <w:t>As described in our Annual Report, pandemics and other health emergencies such as the outbreak of COVID-19 may impact the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results of our various businesses. The outbreak of COVID-19 in early 2020 and the associated government and social response adversely affected our Restaurant Group brands' guest traffic, sales and operating costs in fiscal years 2020 and into 2021. While we believe the operations of our businesses are no longer being materially, adversely impacted by COVID-19, if another variant of COVID-19 results in government and social responses similar to those experienced with the initial outbreak of COVID-19 in 2020, our results of operations may be adversely impacted again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Investments in unconsolidated affiliates</w:t>
      </w:r>
      <w:r>
        <w:rPr>
          <w:rFonts w:ascii="Arial" w:cs="Arial" w:eastAsia="Arial" w:hAnsi="Arial"/>
          <w:sz w:val="18"/>
          <w:szCs w:val="18"/>
          <w:color w:val="auto"/>
        </w:rPr>
        <w:t>. On an ongoing basis, management monitors the Company's investments in unconsolidated affiliates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there are indications that the fair value of an investment may be other-than-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March 31, 2022, the fair value of our investment in Paysafe based on quoted market prices was $202.6 million and the book value of our investment in Paysafe was $438.6 million prior to any impairment. Due primarily to the quantum of the decrease in the fair market value of our investment, as well as negative trends in the alternative payments industry and decreasing market multiples of peer companies, management determined the decrease in value of our investment in Paysafe was other-than-temporary. Accordingly, we recorded an impairment of $236.0 million in the three months ended March 31, 2022 which is included in Recognized losses, net, on our Condensed Consolidated Statement of Operations.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83"/>
        </w:trPr>
        <w:tc>
          <w:tcPr>
            <w:tcW w:w="8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r>
      <w:tr>
        <w:trPr>
          <w:trHeight w:val="183"/>
        </w:trPr>
        <w:tc>
          <w:tcPr>
            <w:tcW w:w="8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4"/>
          </w:tcPr>
          <w:p>
            <w:pPr>
              <w:jc w:val="right"/>
              <w:ind w:right="559"/>
              <w:spacing w:after="0"/>
              <w:rPr>
                <w:sz w:val="20"/>
                <w:szCs w:val="20"/>
                <w:color w:val="auto"/>
              </w:rPr>
            </w:pPr>
            <w:r>
              <w:rPr>
                <w:rFonts w:ascii="Arial" w:cs="Arial" w:eastAsia="Arial" w:hAnsi="Arial"/>
                <w:sz w:val="14"/>
                <w:szCs w:val="14"/>
                <w:b w:val="1"/>
                <w:bCs w:val="1"/>
                <w:color w:val="auto"/>
              </w:rPr>
              <w:t>(Dollars in millions)</w:t>
            </w:r>
          </w:p>
        </w:tc>
      </w:tr>
      <w:tr>
        <w:trPr>
          <w:trHeight w:val="231"/>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167.3</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7"/>
        </w:trPr>
        <w:tc>
          <w:tcPr>
            <w:tcW w:w="870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171.9</w:t>
            </w: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147.7</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06"/>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w:t>
            </w:r>
          </w:p>
        </w:tc>
      </w:tr>
      <w:tr>
        <w:trPr>
          <w:trHeight w:val="213"/>
        </w:trPr>
        <w:tc>
          <w:tcPr>
            <w:tcW w:w="87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193"/>
        </w:trPr>
        <w:tc>
          <w:tcPr>
            <w:tcW w:w="87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investment and other income</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losses, net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w:t>
            </w:r>
          </w:p>
        </w:tc>
      </w:tr>
      <w:tr>
        <w:trPr>
          <w:trHeight w:val="206"/>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expense</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(313.7)</w:t>
            </w:r>
          </w:p>
        </w:tc>
      </w:tr>
      <w:tr>
        <w:trPr>
          <w:trHeight w:val="213"/>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 and equity in earnings of unconsolidated affiliates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r>
      <w:tr>
        <w:trPr>
          <w:trHeight w:val="213"/>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equity in earnings of unconsolidated affiliates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r>
      <w:tr>
        <w:trPr>
          <w:trHeight w:val="213"/>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Cannae Holdings, Inc. common shareholders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revenues decreased $4.5 million, or 2.6%, in the three months ended March 31, 2022 compared to the corresponding period in 2021.</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revenues and net loss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operating expenses include management fees, carried interest fees, professional fees, advertising costs, travel expenses and impairments of operating assets.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Pre-Tax Loss.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Loss before income taxes and equity in earnings of unconsolidated affiliates increased $6.5 million, or 1.9%, in the three months ended March 31, 2022 compared to the corresponding period in 2021.</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revenues, expenses and pre-tax loss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Income tax benefit was $61.9 million and $62.0 million in the three-month periods ended March 31, 2022 and 2021, respectively. Our effective tax rate was 18.0% and 17.7% in the three months ended March 31, 2022 and 2021,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all periods presented is primarily attributable to the varying impact of equity in earnings of unconsolidated affiliates on loss before taxes.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Affiliates.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in earnings of unconsolidated affiliates for the three months ended March 31, 2022 and 2021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7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9"/>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8000" w:type="dxa"/>
            <w:vAlign w:val="bottom"/>
          </w:tcPr>
          <w:p>
            <w:pPr>
              <w:spacing w:after="0"/>
              <w:rPr>
                <w:sz w:val="16"/>
                <w:szCs w:val="16"/>
                <w:color w:val="auto"/>
              </w:rPr>
            </w:pP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183"/>
        </w:trPr>
        <w:tc>
          <w:tcPr>
            <w:tcW w:w="8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r>
      <w:tr>
        <w:trPr>
          <w:trHeight w:val="23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Paysafe/FTAC II Sponsor (1)</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Alight/FTAC Sponsor</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System1/Trebia Sponsor (2)</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AmeriLife</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_____________________________________</w:t>
      </w:r>
    </w:p>
    <w:p>
      <w:pPr>
        <w:spacing w:after="0" w:line="2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for the quarter ended March 31, 2021 represents the Company's equity in earnings of FTAC II Sponsor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for the quarter ended March 31, 2022 represents the Company's equity in earnings of Trebia Sponsor only.</w:t>
      </w:r>
    </w:p>
    <w:p>
      <w:pPr>
        <w:spacing w:after="0" w:line="1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Other equity in earnings of unconsolidated affiliates in the three months ended March 31, 2022 from the table above includes $23.9 million for our investment in Triple Tree Holdings which was primarily driven by its sale of its investment banking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5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7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r>
      <w:tr>
        <w:trPr>
          <w:trHeight w:val="183"/>
        </w:trPr>
        <w:tc>
          <w:tcPr>
            <w:tcW w:w="8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r>
      <w:tr>
        <w:trPr>
          <w:trHeight w:val="217"/>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Restaurant revenue</w:t>
            </w:r>
          </w:p>
        </w:tc>
        <w:tc>
          <w:tcPr>
            <w:tcW w:w="760" w:type="dxa"/>
            <w:vAlign w:val="bottom"/>
            <w:tcBorders>
              <w:bottom w:val="single" w:sz="8" w:color="auto"/>
            </w:tcBorders>
          </w:tcPr>
          <w:p>
            <w:pPr>
              <w:jc w:val="right"/>
              <w:ind w:right="58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162.1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w:t>
            </w:r>
          </w:p>
        </w:tc>
      </w:tr>
      <w:tr>
        <w:trPr>
          <w:trHeight w:val="213"/>
        </w:trPr>
        <w:tc>
          <w:tcPr>
            <w:tcW w:w="8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revenues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r>
      <w:tr>
        <w:trPr>
          <w:trHeight w:val="213"/>
        </w:trPr>
        <w:tc>
          <w:tcPr>
            <w:tcW w:w="8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restaurant revenue</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8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8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165.7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w:t>
            </w:r>
          </w:p>
        </w:tc>
      </w:tr>
      <w:tr>
        <w:trPr>
          <w:trHeight w:val="206"/>
        </w:trPr>
        <w:tc>
          <w:tcPr>
            <w:tcW w:w="87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19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87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(losses) gains, net</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6"/>
        </w:trPr>
        <w:tc>
          <w:tcPr>
            <w:tcW w:w="8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expense</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 and equity in earnings of unconsolidated affiliates</w:t>
            </w:r>
          </w:p>
        </w:tc>
        <w:tc>
          <w:tcPr>
            <w:tcW w:w="760" w:type="dxa"/>
            <w:vAlign w:val="bottom"/>
            <w:tcBorders>
              <w:bottom w:val="single" w:sz="8" w:color="auto"/>
            </w:tcBorders>
            <w:shd w:val="clear" w:color="auto" w:fill="CCEEFF"/>
          </w:tcPr>
          <w:p>
            <w:pPr>
              <w:jc w:val="right"/>
              <w:ind w:right="58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Total revenues for the Restaurant Group segment decreased $5.2 million, or 3.1%, in the three months ended March 31, 2022 compared to the corresponding period in 2021. The decrease was primarily driven by decreased revenue related to our sale of Village Inn, Baker's Square, and Legendary Baking concepts subsequent to the prior year period. The decrease was partially offset by an overall increase in comparable store sales.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associated with our Legendary Baking, Village Inn, and Baker's Square brands was $8.8 million, $7.1, and $3.6 million, respectively, in the three months ended March 31, 2021.</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Comparable Store Sales. </w:t>
      </w:r>
      <w:r>
        <w:rPr>
          <w:rFonts w:ascii="Arial" w:cs="Arial" w:eastAsia="Arial" w:hAnsi="Arial"/>
          <w:sz w:val="17"/>
          <w:szCs w:val="17"/>
          <w:color w:val="auto"/>
        </w:rPr>
        <w:t>One method we use in evaluating the performance of our restaurants is to compare sales results for restaurants period over</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increased by (0.1)% and 25.3%, respectively, in the three months ended March 31, 2022 compared to the comparable period in 2021. The decrease in 2022 for our O'Charley's brand is primarily attributable to a decrease in guest counts, mostly offset by an increase in the average amount spent by customers each visit. The increase in 2022 for our 99 Restaurants brand is primarily attributable to increased guest counts and an increase in the average amount spent by customers each visit.</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restaurant revenue decreased directionally consistent with Restaurant revenues. Cost of restaurant revenue as a percentage of restaurant revenue was 89.7% and 88.3% in the three months ended March 31, 2022 and 2021, respectively. The increase in cost of restaurant revenue as a percentage of restaurant revenue in the three months ended March 31, 2022 compared to the comparable period in 2021 is primarily attributable to increased costs of labor, food and supplies.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Depreciation and amortization, and Other operating expense decreased $2.0 million, $1.9 million, and $1.2 million, respectively, in the three months ended March 31, 2022 from the corresponding period in 2021. The decrease in these expenses is primarily attributable to the sale of Legendary Baking, Village Inn, and Baker's Square brands subsequent to March 31, 2021.</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Loss before income taxes decreased by $2.7 million, or 33.8%, in the three months ended March 31, 2022 from the corresponding period in 2021. The change in income was primarily attributable to the factors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March 31, 2022, we own approximately 20.3% of the outstanding common stock of Dun &amp; Bradstreet. We account for our ownership interest in Dun &amp; Bradstreet under the equity method of accounting; therefore, its results of operations do not consolidate into ours.</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Dun &amp; Bradstreet for the relevant dates and time periods included in Equity in earnings of unconsolidated affiliates in our Condensed Consolidated Balance Sheets and Statements of Operations, respectively, is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center"/>
              <w:ind w:right="113"/>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87"/>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183"/>
        </w:trPr>
        <w:tc>
          <w:tcPr>
            <w:tcW w:w="8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center"/>
              <w:ind w:left="537"/>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15"/>
                <w:szCs w:val="15"/>
                <w:color w:val="auto"/>
              </w:rPr>
            </w:pPr>
          </w:p>
        </w:tc>
      </w:tr>
      <w:tr>
        <w:trPr>
          <w:trHeight w:val="231"/>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536.0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Dun &amp; Bradstreet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bl>
    <w:p>
      <w:pPr>
        <w:spacing w:after="0" w:line="94" w:lineRule="exact"/>
        <w:rPr>
          <w:sz w:val="20"/>
          <w:szCs w:val="20"/>
          <w:color w:val="auto"/>
        </w:rPr>
      </w:pPr>
    </w:p>
    <w:p>
      <w:pPr>
        <w:ind w:right="1100" w:firstLine="324"/>
        <w:spacing w:after="0" w:line="375" w:lineRule="auto"/>
        <w:rPr>
          <w:sz w:val="20"/>
          <w:szCs w:val="20"/>
          <w:color w:val="auto"/>
        </w:rPr>
      </w:pPr>
      <w:r>
        <w:rPr>
          <w:rFonts w:ascii="Arial" w:cs="Arial" w:eastAsia="Arial" w:hAnsi="Arial"/>
          <w:sz w:val="18"/>
          <w:szCs w:val="18"/>
          <w:color w:val="auto"/>
        </w:rPr>
        <w:t xml:space="preserve">Details relating to the results of operations of Dun &amp; Bradstreet (NYSE: "DNB") can be found in its periodic reports filed with the SEC. </w:t>
      </w:r>
      <w:r>
        <w:rPr>
          <w:rFonts w:ascii="Arial" w:cs="Arial" w:eastAsia="Arial" w:hAnsi="Arial"/>
          <w:sz w:val="18"/>
          <w:szCs w:val="18"/>
          <w:b w:val="1"/>
          <w:bCs w:val="1"/>
          <w:i w:val="1"/>
          <w:iCs w:val="1"/>
          <w:color w:val="auto"/>
        </w:rPr>
        <w:t>Alight</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 2021, we closed on the acquisition of our 10% ownership interest in Alight. We account for our ownership of Alight under the equity method of accounting and report our equity in earnings or loss of Alight on a three-month lag; therefore, its results do not consolidate into ours. Accordingly, our net loss for the quarter ended March 31, 2022 includes our equity in Alight’s earnings for the quarter ended December 31, 2021.</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Alight for the relevant dates and time periods included in Equity in earnings of unconsolidated affiliates in our Condensed Consolidated Statements of Operations is presented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r>
      <w:tr>
        <w:trPr>
          <w:trHeight w:val="188"/>
        </w:trPr>
        <w:tc>
          <w:tcPr>
            <w:tcW w:w="9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83"/>
        </w:trPr>
        <w:tc>
          <w:tcPr>
            <w:tcW w:w="9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2021</w:t>
            </w:r>
          </w:p>
        </w:tc>
      </w:tr>
      <w:tr>
        <w:trPr>
          <w:trHeight w:val="183"/>
        </w:trPr>
        <w:tc>
          <w:tcPr>
            <w:tcW w:w="9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r>
      <w:tr>
        <w:trPr>
          <w:trHeight w:val="231"/>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Alight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bl>
    <w:p>
      <w:pPr>
        <w:spacing w:after="0" w:line="188" w:lineRule="exact"/>
        <w:rPr>
          <w:sz w:val="20"/>
          <w:szCs w:val="20"/>
          <w:color w:val="auto"/>
        </w:rPr>
      </w:pPr>
    </w:p>
    <w:p>
      <w:pPr>
        <w:ind w:right="1880" w:firstLine="324"/>
        <w:spacing w:after="0" w:line="367" w:lineRule="auto"/>
        <w:rPr>
          <w:sz w:val="20"/>
          <w:szCs w:val="20"/>
          <w:color w:val="auto"/>
        </w:rPr>
      </w:pPr>
      <w:r>
        <w:rPr>
          <w:rFonts w:ascii="Arial" w:cs="Arial" w:eastAsia="Arial" w:hAnsi="Arial"/>
          <w:sz w:val="18"/>
          <w:szCs w:val="18"/>
          <w:color w:val="auto"/>
        </w:rPr>
        <w:t xml:space="preserve">Details relating to the results of operations of Alight (NYSE: "ALIT") can be found in its periodic reports filed with the SEC. </w:t>
      </w:r>
      <w:r>
        <w:rPr>
          <w:rFonts w:ascii="Arial" w:cs="Arial" w:eastAsia="Arial" w:hAnsi="Arial"/>
          <w:sz w:val="18"/>
          <w:szCs w:val="18"/>
          <w:b w:val="1"/>
          <w:bCs w:val="1"/>
          <w:i w:val="1"/>
          <w:iCs w:val="1"/>
          <w:color w:val="auto"/>
        </w:rPr>
        <w:t>Paysafe</w:t>
      </w:r>
    </w:p>
    <w:p>
      <w:pPr>
        <w:spacing w:after="0" w:line="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March 30, 2021, we closed on the acquisition of our 8.3% ownership interest in Paysafe. We account for our ownership of Paysafe under the equity method of accounting and report our equity in the earnings or loss of Paysafe on a three-month lag; therefore, its results do not consolidate into ours. Accordingly, our net loss for the quarter ended March 31, 2022 includes our equity in Paysafe’s earnings for the for the quarter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Paysafe for the relevant dates and time periods included in Equity in earnings of unconsolidated affiliates in our Condensed Consolidated Statements of Operations is presented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Three months ended</w:t>
            </w:r>
          </w:p>
        </w:tc>
      </w:tr>
      <w:tr>
        <w:trPr>
          <w:trHeight w:val="188"/>
        </w:trPr>
        <w:tc>
          <w:tcPr>
            <w:tcW w:w="9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December 31,</w:t>
            </w:r>
          </w:p>
        </w:tc>
      </w:tr>
      <w:tr>
        <w:trPr>
          <w:trHeight w:val="183"/>
        </w:trPr>
        <w:tc>
          <w:tcPr>
            <w:tcW w:w="9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2021</w:t>
            </w:r>
          </w:p>
        </w:tc>
      </w:tr>
      <w:tr>
        <w:trPr>
          <w:trHeight w:val="183"/>
        </w:trPr>
        <w:tc>
          <w:tcPr>
            <w:tcW w:w="9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(In millions)</w:t>
            </w:r>
          </w:p>
        </w:tc>
      </w:tr>
      <w:tr>
        <w:trPr>
          <w:trHeight w:val="231"/>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Paysafe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bl>
    <w:p>
      <w:pPr>
        <w:spacing w:after="0" w:line="188" w:lineRule="exact"/>
        <w:rPr>
          <w:sz w:val="20"/>
          <w:szCs w:val="20"/>
          <w:color w:val="auto"/>
        </w:rPr>
      </w:pPr>
    </w:p>
    <w:p>
      <w:pPr>
        <w:ind w:right="1780" w:firstLine="324"/>
        <w:spacing w:after="0" w:line="375" w:lineRule="auto"/>
        <w:rPr>
          <w:sz w:val="20"/>
          <w:szCs w:val="20"/>
          <w:color w:val="auto"/>
        </w:rPr>
      </w:pPr>
      <w:r>
        <w:rPr>
          <w:rFonts w:ascii="Arial" w:cs="Arial" w:eastAsia="Arial" w:hAnsi="Arial"/>
          <w:sz w:val="18"/>
          <w:szCs w:val="18"/>
          <w:color w:val="auto"/>
        </w:rPr>
        <w:t xml:space="preserve">Details relating to the results of operations of Paysafe (NYSE: "PSFE") can be found in its periodic reports filed with the SEC. </w:t>
      </w:r>
      <w:r>
        <w:rPr>
          <w:rFonts w:ascii="Arial" w:cs="Arial" w:eastAsia="Arial" w:hAnsi="Arial"/>
          <w:sz w:val="18"/>
          <w:szCs w:val="18"/>
          <w:b w:val="1"/>
          <w:bCs w:val="1"/>
          <w:i w:val="1"/>
          <w:iCs w:val="1"/>
          <w:color w:val="auto"/>
        </w:rPr>
        <w:t>Corporate and Other</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Corporate and Other segment consists of our share in the operations of certain controlled businesses and other equity ownership interests, activity of the corporate holding company and certain intercompany eliminations and taxes.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non-reportable Corporate and other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87"/>
        </w:trPr>
        <w:tc>
          <w:tcPr>
            <w:tcW w:w="9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6"/>
              </w:rPr>
              <w:t>2021</w:t>
            </w:r>
          </w:p>
        </w:tc>
      </w:tr>
      <w:tr>
        <w:trPr>
          <w:trHeight w:val="183"/>
        </w:trPr>
        <w:tc>
          <w:tcPr>
            <w:tcW w:w="9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9020" w:type="dxa"/>
            <w:vAlign w:val="bottom"/>
          </w:tcPr>
          <w:p>
            <w:pPr>
              <w:ind w:left="220"/>
              <w:spacing w:after="0"/>
              <w:rPr>
                <w:sz w:val="20"/>
                <w:szCs w:val="20"/>
                <w:color w:val="auto"/>
              </w:rPr>
            </w:pPr>
            <w:r>
              <w:rPr>
                <w:rFonts w:ascii="Arial" w:cs="Arial" w:eastAsia="Arial" w:hAnsi="Arial"/>
                <w:sz w:val="16"/>
                <w:szCs w:val="16"/>
                <w:color w:val="auto"/>
              </w:rPr>
              <w:t>Other operating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902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9"/>
        </w:trPr>
        <w:tc>
          <w:tcPr>
            <w:tcW w:w="9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r>
      <w:tr>
        <w:trPr>
          <w:trHeight w:val="212"/>
        </w:trPr>
        <w:tc>
          <w:tcPr>
            <w:tcW w:w="9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207"/>
        </w:trPr>
        <w:tc>
          <w:tcPr>
            <w:tcW w:w="90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Operating loss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r>
      <w:tr>
        <w:trPr>
          <w:trHeight w:val="19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3"/>
        </w:trPr>
        <w:tc>
          <w:tcPr>
            <w:tcW w:w="902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9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9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losses, net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(312.7)</w:t>
            </w:r>
          </w:p>
        </w:tc>
      </w:tr>
      <w:tr>
        <w:trPr>
          <w:trHeight w:val="213"/>
        </w:trPr>
        <w:tc>
          <w:tcPr>
            <w:tcW w:w="9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w:t>
            </w:r>
          </w:p>
        </w:tc>
      </w:tr>
      <w:tr>
        <w:trPr>
          <w:trHeight w:val="203"/>
        </w:trPr>
        <w:tc>
          <w:tcPr>
            <w:tcW w:w="9020" w:type="dxa"/>
            <w:vAlign w:val="bottom"/>
          </w:tcPr>
          <w:p>
            <w:pPr>
              <w:ind w:left="20"/>
              <w:spacing w:after="0"/>
              <w:rPr>
                <w:sz w:val="20"/>
                <w:szCs w:val="20"/>
                <w:color w:val="auto"/>
              </w:rPr>
            </w:pPr>
            <w:r>
              <w:rPr>
                <w:rFonts w:ascii="Arial" w:cs="Arial" w:eastAsia="Arial" w:hAnsi="Arial"/>
                <w:sz w:val="16"/>
                <w:szCs w:val="16"/>
                <w:color w:val="auto"/>
              </w:rPr>
              <w:t>Loss before income taxes and equity in earnings of unconsolidated affiliates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(337.9)</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(341.7)</w:t>
            </w:r>
          </w:p>
        </w:tc>
      </w:tr>
    </w:tbl>
    <w:p>
      <w:pPr>
        <w:spacing w:after="0" w:line="20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increased $11.1 million in the three months ended March 31, 2022 compared to the corresponding period in 2021. The increase in the three month period was primarily driven by $10.9 million in investment success bonuses paid in the 2022 period related to our sales of shares of Ceridian compared to no such expense in the 2021 period.</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Other operating expenses increased by $31.6 million in the three months ended March 31, 2022 compared to the corresponding period in 2021. The increase was primarily driven by management fees and carried interest incurred with our Manager of $10.6 million and $45.2 million, respectively, for the three months ended March 31, 2022 compared with $7.6 million and $17.1 million, respectively, for the same period in 2021. The carried interest for the three months ended March 31, 2022 was attributable to the Optimal Blue Disposition and the amount for the three months ended March 31, 2021 was for our distributions from the Senator JV. Of the total carried interest expense related to the Optimal Blue Disposition, $31.8 million was paid in D&amp;B stock.</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Recognized losses, net, decreased $48.1 million in the three months ended March 31, 2022 compared to the corresponding period in 2021. The decrease in the three months ended March 31, 2022 is primarily attributable to the $313.0 million gain on the sale of Optimal Blue recorded in the three months ended March 31, 2022. This was partially offset by the $236.0 million impairment recorded on our investment in Paysafe in the three months ended March 31, 2022 and increased losses on equity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in the three months ended March 31, 2022 compared to the corresponding period in 2021. See Note D for further information on recognized gains and losses on equity securities.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Loss before income taxes decreased $3.8 million in the three months ended March 31, 2022 compared to the corresponding period in 2021. The decrease earnings was primarily attributable to the factors noted above.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taxes, payments of interest and principal on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the AAII FPA, and business acquisitions.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acquisitions, and debt repayments.</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March 31, 2022, we had cash and cash equivalents of $50.7 million, of which $21.3 million was cash held by the corporate holding company, and $300.0 million of capacity under our existing holding company credit facilities with the ability to add an additional $200.0 million of borrowing capacity by amending our 2020 Margin Facility. Subsequent to March 31, 2022, we borrowed $60.0 million under the 2020 Margin Facility.</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focused on evaluating our assets and ownership interests as potential vehicles for creating liquidity. Our intent is to use that liquidity for general corporate purposes, including future acquisitions, potentially reducing debt, repurchasing shares of our stock, other strategic initiatives and/or conserving cash.</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(used in) provided by operations for the three months ended March 31, 2022 and 2021 totaled $(38.5)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$6.0 million, respectively. The increase in cash used in (decrease in cash provided by) operations of $(44.5) million is primarily attributable to the timing of payment and receipt of working capital assets and liabilities.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provided by (used in) investing activities for the three months ended March 31, 2022 and 2021 were $65.8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$(282.8) million, respectively. The increase in cash provided (decrease in cash used in) by investing activities of $348.6 million in the 2022 period from the 2021 period is primarily attributable to proceeds from sales of investments, net of new and additional investments in unconsolidated affiliates in the 2022 period compared to the 2021 period.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other intangible assets were $4.0 million and $1.9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three-month periods ended March 31, 2022 and 2021, respectively. The capital expenditures in 2022 and 2021 primarily consisted of purchases of equipment in our Restaurant Group segment.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used in financing activities for the three months ended March 31, 2022 and 2021 were $62.4 million and $4.1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increase in cash used in financing activities of $58.3 million is primarily attributable to increased treasury repurchases of $61.1 million in the three months ended March 31, 2022, partially offset by an increase in debt, net of paydowns, of $3.1 million in the three months ended March 31, 2022.</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 included in Item 1 of Part I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There have been no material changes to the seasonality experienced in our businesses from those described for the period as of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2021 included in our Annual Report.</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other debt facilities, lease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obligations on certain of our premises and equipment, purchase obligations of the Restaurant Group and payments to our Manager.</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lease payments include the expected future rent payments of the Company and its operating subsidiaries, primarily for the Restaurant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operating leases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March 31, 2022 to determine the amount of these obligations.</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$2,932.0 million as of March 31, 2022.</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which are accounted for as failed sale and leaseback transactions.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2022, our required annual payments relating to these contractual obligations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87"/>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1"/>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Management fees payable to Manager</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 Group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A and Note C to our Condensed Consolidated Financial Statements included in Item 1 of Part I of this Quarterly Report for further discussion of our commitment to fund the Austerlitz II FPA.</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Effective February 26, 2021, our Board authorized a three-year stock repurchase program, (the "2021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repurchased 2,000,000 shares of CNNE common stock during the three months ended March 31, 2022 for approximately $54.0 million in the aggregate, or an average of $26.98 per share. Since the original commencement of the 2021 Repurchase Program through market close on March 31, 2022, we repurchased a total of 2,516,584 common shares for approximately $72.5 million in the aggregate, or an average of $28.81 per share.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have been no significant changes to our off-balance sheet arrangements since our Annual Report.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2021.</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60"/>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65" w:lineRule="exact"/>
        <w:rPr>
          <w:sz w:val="20"/>
          <w:szCs w:val="20"/>
          <w:color w:val="auto"/>
        </w:rPr>
      </w:pPr>
    </w:p>
    <w:p>
      <w:pPr>
        <w:jc w:val="both"/>
        <w:ind w:left="6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2022 that have materially affected, or are reasonably likely to materially affect, our internal control over financial reporting.</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left="60"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repurchases of equity securities by the Company during the three months ended March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Total Number of Shares PurchasedMaximumasNumber of Shares that May</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420" w:type="dxa"/>
            <w:vAlign w:val="bottom"/>
            <w:gridSpan w:val="6"/>
            <w:vMerge w:val="restart"/>
          </w:tcPr>
          <w:p>
            <w:pPr>
              <w:ind w:left="1220"/>
              <w:spacing w:after="0"/>
              <w:rPr>
                <w:sz w:val="20"/>
                <w:szCs w:val="20"/>
                <w:color w:val="auto"/>
              </w:rPr>
            </w:pPr>
            <w:r>
              <w:rPr>
                <w:rFonts w:ascii="Arial" w:cs="Arial" w:eastAsia="Arial" w:hAnsi="Arial"/>
                <w:sz w:val="14"/>
                <w:szCs w:val="14"/>
                <w:b w:val="1"/>
                <w:bCs w:val="1"/>
                <w:color w:val="auto"/>
                <w:w w:val="97"/>
              </w:rPr>
              <w:t>Total Number of Shares PurchasedAverage Price Paid per Share</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420" w:type="dxa"/>
            <w:vAlign w:val="bottom"/>
            <w:gridSpan w:val="6"/>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(3)</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78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/31/2022</w:t>
            </w:r>
          </w:p>
        </w:tc>
        <w:tc>
          <w:tcPr>
            <w:tcW w:w="1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9,083,416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780" w:type="dxa"/>
            <w:vAlign w:val="bottom"/>
          </w:tcPr>
          <w:p>
            <w:pPr>
              <w:jc w:val="right"/>
              <w:ind w:right="1110"/>
              <w:spacing w:after="0"/>
              <w:rPr>
                <w:sz w:val="20"/>
                <w:szCs w:val="20"/>
                <w:color w:val="auto"/>
              </w:rPr>
            </w:pPr>
            <w:r>
              <w:rPr>
                <w:rFonts w:ascii="Arial" w:cs="Arial" w:eastAsia="Arial" w:hAnsi="Arial"/>
                <w:sz w:val="18"/>
                <w:szCs w:val="18"/>
                <w:color w:val="auto"/>
                <w:w w:val="79"/>
              </w:rPr>
              <w:t>/28/2022</w:t>
            </w:r>
          </w:p>
        </w:tc>
        <w:tc>
          <w:tcPr>
            <w:tcW w:w="3520" w:type="dxa"/>
            <w:vAlign w:val="bottom"/>
            <w:gridSpan w:val="3"/>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8,783,416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78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/31/2022</w:t>
            </w:r>
          </w:p>
        </w:tc>
        <w:tc>
          <w:tcPr>
            <w:tcW w:w="3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7,483,416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5"/>
                <w:szCs w:val="25"/>
                <w:b w:val="1"/>
                <w:bCs w:val="1"/>
                <w:color w:val="auto"/>
                <w:vertAlign w:val="superscript"/>
              </w:rPr>
              <w:t>(1)</w:t>
            </w:r>
            <w:r>
              <w:rPr>
                <w:rFonts w:ascii="Arial" w:cs="Arial" w:eastAsia="Arial" w:hAnsi="Arial"/>
                <w:sz w:val="16"/>
                <w:szCs w:val="16"/>
                <w:color w:val="auto"/>
              </w:rPr>
              <w:t>2,000,000$</w:t>
            </w:r>
          </w:p>
        </w:tc>
        <w:tc>
          <w:tcPr>
            <w:tcW w:w="3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60" w:hanging="39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1,000,000 shares were purchased from FNF in a privately negotiated transaction for an aggregate amount of $24.0 million.</w:t>
      </w:r>
    </w:p>
    <w:p>
      <w:pPr>
        <w:spacing w:after="0" w:line="103" w:lineRule="exact"/>
        <w:rPr>
          <w:rFonts w:ascii="Arial" w:cs="Arial" w:eastAsia="Arial" w:hAnsi="Arial"/>
          <w:sz w:val="18"/>
          <w:szCs w:val="18"/>
          <w:color w:val="auto"/>
        </w:rPr>
      </w:pPr>
    </w:p>
    <w:p>
      <w:pPr>
        <w:ind w:left="400" w:hanging="332"/>
        <w:spacing w:after="0" w:line="277" w:lineRule="auto"/>
        <w:tabs>
          <w:tab w:leader="none" w:pos="5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1, 2021, our Board of Directors approved the 2021 Repurchase Program, under which we may purchase up to 10 million shares of our CNNE common stock through February 26, 2024.</w:t>
      </w:r>
    </w:p>
    <w:p>
      <w:pPr>
        <w:spacing w:after="0" w:line="35" w:lineRule="exact"/>
        <w:rPr>
          <w:rFonts w:ascii="Arial" w:cs="Arial" w:eastAsia="Arial" w:hAnsi="Arial"/>
          <w:sz w:val="18"/>
          <w:szCs w:val="18"/>
          <w:color w:val="auto"/>
        </w:rPr>
      </w:pPr>
    </w:p>
    <w:p>
      <w:pPr>
        <w:ind w:left="440" w:hanging="37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jc w:val="center"/>
              <w:ind w:right="320"/>
              <w:spacing w:after="0"/>
              <w:rPr>
                <w:rFonts w:ascii="Arial" w:cs="Arial" w:eastAsia="Arial" w:hAnsi="Arial"/>
                <w:sz w:val="18"/>
                <w:szCs w:val="18"/>
                <w:b w:val="1"/>
                <w:bCs w:val="1"/>
                <w:color w:val="0000FF"/>
                <w:w w:val="89"/>
              </w:rPr>
            </w:pPr>
            <w:hyperlink w:anchor="page1">
              <w:r>
                <w:rPr>
                  <w:rFonts w:ascii="Arial" w:cs="Arial" w:eastAsia="Arial" w:hAnsi="Arial"/>
                  <w:sz w:val="18"/>
                  <w:szCs w:val="18"/>
                  <w:b w:val="1"/>
                  <w:bCs w:val="1"/>
                  <w:color w:val="0000FF"/>
                  <w:w w:val="89"/>
                </w:rPr>
                <w:t>Table of Contents</w:t>
              </w:r>
            </w:hyperlink>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360" w:type="dxa"/>
            <w:vAlign w:val="bottom"/>
            <w:tcBorders>
              <w:top w:val="single" w:sz="8" w:color="0000FF"/>
            </w:tcBorders>
          </w:tcPr>
          <w:p>
            <w:pPr>
              <w:jc w:val="center"/>
              <w:ind w:right="30"/>
              <w:spacing w:after="0"/>
              <w:rPr>
                <w:sz w:val="20"/>
                <w:szCs w:val="20"/>
                <w:color w:val="auto"/>
              </w:rPr>
            </w:pPr>
            <w:r>
              <w:rPr>
                <w:rFonts w:ascii="Arial" w:cs="Arial" w:eastAsia="Arial" w:hAnsi="Arial"/>
                <w:sz w:val="18"/>
                <w:szCs w:val="18"/>
                <w:b w:val="1"/>
                <w:bCs w:val="1"/>
                <w:color w:val="auto"/>
                <w:w w:val="93"/>
              </w:rPr>
              <w:t>Item 6. Exhibits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 Exhibits:</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80" w:type="dxa"/>
            <w:vAlign w:val="bottom"/>
            <w:gridSpan w:val="8"/>
            <w:vMerge w:val="restart"/>
          </w:tcPr>
          <w:p>
            <w:pPr>
              <w:ind w:left="10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8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360" w:type="dxa"/>
            <w:vAlign w:val="bottom"/>
          </w:tcPr>
          <w:p>
            <w:pPr>
              <w:jc w:val="center"/>
              <w:ind w:right="10"/>
              <w:spacing w:after="0"/>
              <w:rPr>
                <w:sz w:val="20"/>
                <w:szCs w:val="20"/>
                <w:color w:val="auto"/>
              </w:rPr>
            </w:pPr>
            <w:r>
              <w:rPr>
                <w:rFonts w:ascii="Arial" w:cs="Arial" w:eastAsia="Arial" w:hAnsi="Arial"/>
                <w:sz w:val="18"/>
                <w:szCs w:val="18"/>
                <w:color w:val="auto"/>
                <w:w w:val="87"/>
              </w:rPr>
              <w:t>2.1</w:t>
            </w:r>
          </w:p>
        </w:tc>
        <w:tc>
          <w:tcPr>
            <w:tcW w:w="320" w:type="dxa"/>
            <w:vAlign w:val="bottom"/>
          </w:tcPr>
          <w:p>
            <w:pPr>
              <w:spacing w:after="0"/>
              <w:rPr>
                <w:sz w:val="24"/>
                <w:szCs w:val="24"/>
                <w:color w:val="auto"/>
              </w:rPr>
            </w:pPr>
          </w:p>
        </w:tc>
        <w:tc>
          <w:tcPr>
            <w:tcW w:w="9580" w:type="dxa"/>
            <w:vAlign w:val="bottom"/>
            <w:gridSpan w:val="12"/>
          </w:tcPr>
          <w:p>
            <w:pPr>
              <w:spacing w:after="0"/>
              <w:rPr>
                <w:rFonts w:ascii="Arial" w:cs="Arial" w:eastAsia="Arial" w:hAnsi="Arial"/>
                <w:sz w:val="18"/>
                <w:szCs w:val="18"/>
                <w:color w:val="0000FF"/>
                <w:w w:val="95"/>
              </w:rPr>
            </w:pPr>
            <w:hyperlink r:id="rId43">
              <w:r>
                <w:rPr>
                  <w:rFonts w:ascii="Arial" w:cs="Arial" w:eastAsia="Arial" w:hAnsi="Arial"/>
                  <w:sz w:val="18"/>
                  <w:szCs w:val="18"/>
                  <w:color w:val="0000FF"/>
                  <w:w w:val="95"/>
                </w:rPr>
                <w:t>Purchase Agreement, dated as of February 15, 2022, by and among Black Knight, Optimal Blue I, Cannae, THL, Optimal Blue</w:t>
              </w:r>
            </w:hyperlink>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500" w:type="dxa"/>
            <w:vAlign w:val="bottom"/>
            <w:tcBorders>
              <w:top w:val="single" w:sz="8" w:color="0000FF"/>
            </w:tcBorders>
            <w:gridSpan w:val="7"/>
          </w:tcPr>
          <w:p>
            <w:pPr>
              <w:spacing w:after="0" w:line="136" w:lineRule="exact"/>
              <w:rPr>
                <w:rFonts w:ascii="Arial" w:cs="Arial" w:eastAsia="Arial" w:hAnsi="Arial"/>
                <w:sz w:val="15"/>
                <w:szCs w:val="15"/>
                <w:color w:val="0000FF"/>
              </w:rPr>
            </w:pPr>
            <w:hyperlink r:id="rId43">
              <w:r>
                <w:rPr>
                  <w:rFonts w:ascii="Arial" w:cs="Arial" w:eastAsia="Arial" w:hAnsi="Arial"/>
                  <w:sz w:val="15"/>
                  <w:szCs w:val="15"/>
                  <w:color w:val="0000FF"/>
                </w:rPr>
                <w:t>Holdco and Black Knight Tech (incorporated by reference to Exhibit 2.1 to the Registrant's Current Report on Form</w:t>
              </w:r>
            </w:hyperlink>
          </w:p>
        </w:tc>
        <w:tc>
          <w:tcPr>
            <w:tcW w:w="1060" w:type="dxa"/>
            <w:vAlign w:val="bottom"/>
            <w:tcBorders>
              <w:top w:val="single" w:sz="8" w:color="0000FF"/>
            </w:tcBorders>
            <w:gridSpan w:val="4"/>
          </w:tcPr>
          <w:p>
            <w:pPr>
              <w:ind w:left="100"/>
              <w:spacing w:after="0" w:line="136" w:lineRule="exact"/>
              <w:rPr>
                <w:rFonts w:ascii="Arial" w:cs="Arial" w:eastAsia="Arial" w:hAnsi="Arial"/>
                <w:sz w:val="15"/>
                <w:szCs w:val="15"/>
                <w:color w:val="0000FF"/>
              </w:rPr>
            </w:pPr>
            <w:hyperlink r:id="rId43">
              <w:r>
                <w:rPr>
                  <w:rFonts w:ascii="Arial" w:cs="Arial" w:eastAsia="Arial" w:hAnsi="Arial"/>
                  <w:sz w:val="15"/>
                  <w:szCs w:val="15"/>
                  <w:color w:val="0000FF"/>
                </w:rPr>
                <w:t>8-K filed on</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February 18, 2022).</w:t>
              </w:r>
            </w:hyperlink>
          </w:p>
        </w:tc>
        <w:tc>
          <w:tcPr>
            <w:tcW w:w="80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2"/>
                <w:szCs w:val="22"/>
                <w:color w:val="auto"/>
              </w:rPr>
            </w:pPr>
          </w:p>
        </w:tc>
        <w:tc>
          <w:tcPr>
            <w:tcW w:w="9580" w:type="dxa"/>
            <w:vAlign w:val="bottom"/>
            <w:gridSpan w:val="12"/>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Certification of Principal Executive Officer pursuant to Section 302 of the Sarbanes-Oxley Act of 2002.</w:t>
              </w:r>
            </w:hyperlink>
          </w:p>
        </w:tc>
        <w:tc>
          <w:tcPr>
            <w:tcW w:w="0" w:type="dxa"/>
            <w:vAlign w:val="bottom"/>
          </w:tcPr>
          <w:p>
            <w:pPr>
              <w:spacing w:after="0"/>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24"/>
                <w:szCs w:val="24"/>
                <w:color w:val="auto"/>
              </w:rPr>
            </w:pPr>
          </w:p>
        </w:tc>
        <w:tc>
          <w:tcPr>
            <w:tcW w:w="7480" w:type="dxa"/>
            <w:vAlign w:val="bottom"/>
            <w:tcBorders>
              <w:top w:val="single" w:sz="8" w:color="0000FF"/>
            </w:tcBorders>
            <w:gridSpan w:val="6"/>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Certification of Chief Financial Officer pursuant to Section 302 of the Sarbanes-Oxley Act of 2002.</w:t>
              </w:r>
            </w:hyperlink>
          </w:p>
        </w:tc>
        <w:tc>
          <w:tcPr>
            <w:tcW w:w="21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24"/>
                <w:szCs w:val="24"/>
                <w:color w:val="auto"/>
              </w:rPr>
            </w:pPr>
          </w:p>
        </w:tc>
        <w:tc>
          <w:tcPr>
            <w:tcW w:w="9580" w:type="dxa"/>
            <w:vAlign w:val="bottom"/>
            <w:gridSpan w:val="12"/>
          </w:tcPr>
          <w:p>
            <w:pPr>
              <w:spacing w:after="0"/>
              <w:rPr>
                <w:rFonts w:ascii="Arial" w:cs="Arial" w:eastAsia="Arial" w:hAnsi="Arial"/>
                <w:sz w:val="18"/>
                <w:szCs w:val="18"/>
                <w:color w:val="0000FF"/>
                <w:w w:val="95"/>
              </w:rPr>
            </w:pPr>
            <w:hyperlink w:anchor="page36">
              <w:r>
                <w:rPr>
                  <w:rFonts w:ascii="Arial" w:cs="Arial" w:eastAsia="Arial" w:hAnsi="Arial"/>
                  <w:sz w:val="18"/>
                  <w:szCs w:val="18"/>
                  <w:color w:val="0000FF"/>
                  <w:w w:val="95"/>
                </w:rPr>
                <w:t>Certification by Principal Executive Officer of Periodic Financial Reports pursuant to Section 906 of the Sarbanes-Oxley Act of</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2002, 18 U.S.C. Section 1350.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3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20" w:type="dxa"/>
            <w:vAlign w:val="bottom"/>
          </w:tcPr>
          <w:p>
            <w:pPr>
              <w:spacing w:after="0"/>
              <w:rPr>
                <w:sz w:val="24"/>
                <w:szCs w:val="24"/>
                <w:color w:val="auto"/>
              </w:rPr>
            </w:pPr>
          </w:p>
        </w:tc>
        <w:tc>
          <w:tcPr>
            <w:tcW w:w="9580" w:type="dxa"/>
            <w:vAlign w:val="bottom"/>
            <w:gridSpan w:val="12"/>
          </w:tcPr>
          <w:p>
            <w:pPr>
              <w:spacing w:after="0"/>
              <w:rPr>
                <w:rFonts w:ascii="Arial" w:cs="Arial" w:eastAsia="Arial" w:hAnsi="Arial"/>
                <w:sz w:val="18"/>
                <w:szCs w:val="18"/>
                <w:color w:val="0000FF"/>
                <w:w w:val="94"/>
              </w:rPr>
            </w:pPr>
            <w:hyperlink w:anchor="page37">
              <w:r>
                <w:rPr>
                  <w:rFonts w:ascii="Arial" w:cs="Arial" w:eastAsia="Arial" w:hAnsi="Arial"/>
                  <w:sz w:val="18"/>
                  <w:szCs w:val="18"/>
                  <w:color w:val="0000FF"/>
                  <w:w w:val="94"/>
                </w:rPr>
                <w:t>Certification by Chief Financial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37">
              <w:r>
                <w:rPr>
                  <w:rFonts w:ascii="Arial" w:cs="Arial" w:eastAsia="Arial" w:hAnsi="Arial"/>
                  <w:sz w:val="18"/>
                  <w:szCs w:val="18"/>
                  <w:color w:val="0000FF"/>
                  <w:w w:val="90"/>
                </w:rPr>
                <w:t>18 U.S.C. Section 1350.</w:t>
              </w:r>
            </w:hyperlink>
          </w:p>
        </w:tc>
        <w:tc>
          <w:tcPr>
            <w:tcW w:w="778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101.INS</w:t>
            </w:r>
          </w:p>
        </w:tc>
        <w:tc>
          <w:tcPr>
            <w:tcW w:w="9580" w:type="dxa"/>
            <w:vAlign w:val="bottom"/>
            <w:gridSpan w:val="12"/>
          </w:tcPr>
          <w:p>
            <w:pPr>
              <w:spacing w:after="0"/>
              <w:rPr>
                <w:sz w:val="20"/>
                <w:szCs w:val="20"/>
                <w:color w:val="auto"/>
              </w:rPr>
            </w:pPr>
            <w:r>
              <w:rPr>
                <w:rFonts w:ascii="Arial" w:cs="Arial" w:eastAsia="Arial" w:hAnsi="Arial"/>
                <w:sz w:val="18"/>
                <w:szCs w:val="18"/>
                <w:color w:val="auto"/>
              </w:rPr>
              <w:t>Inline XBRL Instance Document *</w:t>
            </w:r>
          </w:p>
        </w:tc>
        <w:tc>
          <w:tcPr>
            <w:tcW w:w="0" w:type="dxa"/>
            <w:vAlign w:val="bottom"/>
          </w:tcPr>
          <w:p>
            <w:pPr>
              <w:spacing w:after="0"/>
              <w:rPr>
                <w:sz w:val="1"/>
                <w:szCs w:val="1"/>
                <w:color w:val="auto"/>
              </w:rPr>
            </w:pPr>
          </w:p>
        </w:tc>
      </w:tr>
      <w:tr>
        <w:trPr>
          <w:trHeight w:val="324"/>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101.SCH</w:t>
            </w:r>
          </w:p>
        </w:tc>
        <w:tc>
          <w:tcPr>
            <w:tcW w:w="95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101.CAL</w:t>
            </w:r>
          </w:p>
        </w:tc>
        <w:tc>
          <w:tcPr>
            <w:tcW w:w="958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101.DEF</w:t>
            </w:r>
          </w:p>
        </w:tc>
        <w:tc>
          <w:tcPr>
            <w:tcW w:w="958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101.PRE</w:t>
            </w:r>
          </w:p>
        </w:tc>
        <w:tc>
          <w:tcPr>
            <w:tcW w:w="958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101.LAB</w:t>
            </w:r>
          </w:p>
        </w:tc>
        <w:tc>
          <w:tcPr>
            <w:tcW w:w="958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80" w:hanging="1179"/>
        <w:spacing w:after="0"/>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Arial" w:cs="Arial" w:eastAsia="Arial" w:hAnsi="Arial"/>
                <w:sz w:val="18"/>
                <w:szCs w:val="18"/>
                <w:color w:val="auto"/>
              </w:rPr>
              <w:t>Date: May 9, 2022</w:t>
            </w:r>
          </w:p>
        </w:tc>
        <w:tc>
          <w:tcPr>
            <w:tcW w:w="6980" w:type="dxa"/>
            <w:vAlign w:val="bottom"/>
            <w:gridSpan w:val="2"/>
          </w:tcPr>
          <w:p>
            <w:pPr>
              <w:ind w:left="1620"/>
              <w:spacing w:after="0"/>
              <w:rPr>
                <w:sz w:val="20"/>
                <w:szCs w:val="20"/>
                <w:color w:val="auto"/>
              </w:rPr>
            </w:pPr>
            <w:r>
              <w:rPr>
                <w:rFonts w:ascii="Arial" w:cs="Arial" w:eastAsia="Arial" w:hAnsi="Arial"/>
                <w:sz w:val="18"/>
                <w:szCs w:val="18"/>
                <w:color w:val="auto"/>
              </w:rPr>
              <w:t>CANNAE HOLDINGS, INC.</w:t>
            </w:r>
          </w:p>
        </w:tc>
      </w:tr>
      <w:tr>
        <w:trPr>
          <w:trHeight w:val="230"/>
        </w:trPr>
        <w:tc>
          <w:tcPr>
            <w:tcW w:w="2940" w:type="dxa"/>
            <w:vAlign w:val="bottom"/>
          </w:tcPr>
          <w:p>
            <w:pPr>
              <w:spacing w:after="0"/>
              <w:rPr>
                <w:sz w:val="20"/>
                <w:szCs w:val="20"/>
                <w:color w:val="auto"/>
              </w:rPr>
            </w:pPr>
          </w:p>
        </w:tc>
        <w:tc>
          <w:tcPr>
            <w:tcW w:w="6980" w:type="dxa"/>
            <w:vAlign w:val="bottom"/>
            <w:gridSpan w:val="2"/>
          </w:tcPr>
          <w:p>
            <w:pPr>
              <w:ind w:left="1620"/>
              <w:spacing w:after="0"/>
              <w:rPr>
                <w:sz w:val="20"/>
                <w:szCs w:val="20"/>
                <w:color w:val="auto"/>
              </w:rPr>
            </w:pPr>
            <w:r>
              <w:rPr>
                <w:rFonts w:ascii="Arial" w:cs="Arial" w:eastAsia="Arial" w:hAnsi="Arial"/>
                <w:sz w:val="18"/>
                <w:szCs w:val="18"/>
                <w:color w:val="auto"/>
              </w:rPr>
              <w:t>(registrant)</w:t>
            </w:r>
          </w:p>
        </w:tc>
      </w:tr>
      <w:tr>
        <w:trPr>
          <w:trHeight w:val="404"/>
        </w:trPr>
        <w:tc>
          <w:tcPr>
            <w:tcW w:w="2940" w:type="dxa"/>
            <w:vAlign w:val="bottom"/>
          </w:tcPr>
          <w:p>
            <w:pPr>
              <w:spacing w:after="0"/>
              <w:rPr>
                <w:sz w:val="24"/>
                <w:szCs w:val="24"/>
                <w:color w:val="auto"/>
              </w:rPr>
            </w:pPr>
          </w:p>
        </w:tc>
        <w:tc>
          <w:tcPr>
            <w:tcW w:w="6980" w:type="dxa"/>
            <w:vAlign w:val="bottom"/>
            <w:gridSpan w:val="2"/>
          </w:tcPr>
          <w:p>
            <w:pPr>
              <w:ind w:left="1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D. Coy</w:t>
            </w:r>
          </w:p>
        </w:tc>
      </w:tr>
      <w:tr>
        <w:trPr>
          <w:trHeight w:val="222"/>
        </w:trPr>
        <w:tc>
          <w:tcPr>
            <w:tcW w:w="29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D. Coy</w:t>
            </w:r>
          </w:p>
        </w:tc>
      </w:tr>
      <w:tr>
        <w:trPr>
          <w:trHeight w:val="176"/>
        </w:trPr>
        <w:tc>
          <w:tcPr>
            <w:tcW w:w="29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9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2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77"/>
        </w:trPr>
        <w:tc>
          <w:tcPr>
            <w:tcW w:w="2940" w:type="dxa"/>
            <w:vAlign w:val="bottom"/>
          </w:tcPr>
          <w:p>
            <w:pPr>
              <w:spacing w:after="0"/>
              <w:rPr>
                <w:sz w:val="24"/>
                <w:szCs w:val="24"/>
                <w:color w:val="auto"/>
              </w:rPr>
            </w:pPr>
          </w:p>
        </w:tc>
        <w:tc>
          <w:tcPr>
            <w:tcW w:w="6980" w:type="dxa"/>
            <w:vAlign w:val="bottom"/>
            <w:gridSpan w:val="2"/>
          </w:tcPr>
          <w:p>
            <w:pPr>
              <w:jc w:val="right"/>
              <w:ind w:right="457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120"/>
          </w:cols>
          <w:pgMar w:left="320" w:top="121" w:right="4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David W. Ducommun, certify that:</w:t>
      </w:r>
    </w:p>
    <w:p>
      <w:pPr>
        <w:spacing w:after="0" w:line="15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5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David W. Ducommun</w:t>
      </w:r>
    </w:p>
    <w:p>
      <w:pPr>
        <w:ind w:left="114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15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12"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33089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Bryan D. Coy</w:t>
      </w:r>
    </w:p>
    <w:p>
      <w:pPr>
        <w:ind w:left="1140"/>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right="20" w:firstLine="245"/>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6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33343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David W. Ducommun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113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right="20" w:firstLine="239"/>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66"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326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Bryan D. Coy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lvl w:ilvl="1">
      <w:lvlJc w:val="left"/>
      <w:lvlText w:val="%2"/>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3" Type="http://schemas.openxmlformats.org/officeDocument/2006/relationships/hyperlink" Target="http://www.sec.gov/Archives/edgar/data/1704720/000119312522045685/d23742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2022-05-09T17:00:35Z</dcterms:created>
  <dcterms:modified xsi:type="dcterms:W3CDTF">2022-05-09T17:00:35Z</dcterms:modified>
</cp:coreProperties>
</file>