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213995</wp:posOffset>
            </wp:positionH>
            <wp:positionV relativeFrom="page">
              <wp:posOffset>331470</wp:posOffset>
            </wp:positionV>
            <wp:extent cx="71278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297815</wp:posOffset>
            </wp:positionV>
            <wp:extent cx="712787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1333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49" w:lineRule="exact"/>
        <w:rPr>
          <w:sz w:val="24"/>
          <w:szCs w:val="24"/>
          <w:color w:val="auto"/>
        </w:rPr>
      </w:pPr>
    </w:p>
    <w:p>
      <w:pPr>
        <w:ind w:left="460" w:hanging="29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4800" w:right="3660" w:hanging="4657"/>
        <w:spacing w:after="0" w:line="323" w:lineRule="auto"/>
        <w:tabs>
          <w:tab w:leader="none" w:pos="42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Commission File No. 1-38300</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4"/>
          <w:szCs w:val="34"/>
          <w:b w:val="1"/>
          <w:bCs w:val="1"/>
          <w:color w:val="auto"/>
        </w:rPr>
        <w:t>CANNAE HOLDINGS, INC.</w:t>
      </w:r>
    </w:p>
    <w:p>
      <w:pPr>
        <w:spacing w:after="0" w:line="46"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gridSpan w:val="5"/>
          </w:tcPr>
          <w:p>
            <w:pPr>
              <w:jc w:val="center"/>
              <w:ind w:right="196"/>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10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5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82-1273460</w:t>
            </w:r>
          </w:p>
        </w:tc>
        <w:tc>
          <w:tcPr>
            <w:tcW w:w="160" w:type="dxa"/>
            <w:vAlign w:val="bottom"/>
            <w:tcBorders>
              <w:bottom w:val="single" w:sz="8" w:color="auto"/>
            </w:tcBorders>
          </w:tcPr>
          <w:p>
            <w:pPr>
              <w:spacing w:after="0"/>
              <w:rPr>
                <w:sz w:val="17"/>
                <w:szCs w:val="17"/>
                <w:color w:val="auto"/>
              </w:rPr>
            </w:pPr>
          </w:p>
        </w:tc>
      </w:tr>
      <w:tr>
        <w:trPr>
          <w:trHeight w:val="140"/>
        </w:trPr>
        <w:tc>
          <w:tcPr>
            <w:tcW w:w="1020" w:type="dxa"/>
            <w:vAlign w:val="bottom"/>
          </w:tcPr>
          <w:p>
            <w:pPr>
              <w:spacing w:after="0"/>
              <w:rPr>
                <w:sz w:val="12"/>
                <w:szCs w:val="12"/>
                <w:color w:val="auto"/>
              </w:rPr>
            </w:pPr>
          </w:p>
        </w:tc>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1"/>
                <w:szCs w:val="11"/>
                <w:i w:val="1"/>
                <w:iCs w:val="1"/>
                <w:color w:val="auto"/>
              </w:rPr>
              <w:t>(State or other jurisdiction of incorporation or organization)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i w:val="1"/>
                <w:iCs w:val="1"/>
                <w:color w:val="auto"/>
              </w:rPr>
              <w:t>(I.R.S. Employer Identification No.)</w:t>
            </w:r>
          </w:p>
        </w:tc>
      </w:tr>
      <w:tr>
        <w:trPr>
          <w:trHeight w:val="233"/>
        </w:trPr>
        <w:tc>
          <w:tcPr>
            <w:tcW w:w="10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1701 Village Center Circle,</w:t>
            </w:r>
          </w:p>
        </w:tc>
        <w:tc>
          <w:tcPr>
            <w:tcW w:w="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6"/>
              </w:rPr>
              <w:t>Las Vegas,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Nevada</w:t>
            </w: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89134</w:t>
            </w: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40"/>
        </w:trPr>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40" w:type="dxa"/>
            <w:vAlign w:val="bottom"/>
            <w:gridSpan w:val="4"/>
          </w:tcPr>
          <w:p>
            <w:pPr>
              <w:ind w:left="102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(zip code)</w:t>
            </w: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34"/>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(702) 323-7330</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08"/>
        </w:trPr>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500" w:type="dxa"/>
            <w:vAlign w:val="bottom"/>
            <w:gridSpan w:val="4"/>
          </w:tcPr>
          <w:p>
            <w:pPr>
              <w:jc w:val="right"/>
              <w:ind w:right="856"/>
              <w:spacing w:after="0"/>
              <w:rPr>
                <w:sz w:val="20"/>
                <w:szCs w:val="20"/>
                <w:color w:val="auto"/>
              </w:rPr>
            </w:pPr>
            <w:r>
              <w:rPr>
                <w:rFonts w:ascii="Times New Roman" w:cs="Times New Roman" w:eastAsia="Times New Roman" w:hAnsi="Times New Roman"/>
                <w:sz w:val="8"/>
                <w:szCs w:val="8"/>
                <w:color w:val="auto"/>
              </w:rPr>
              <w:t>_____________________________________</w:t>
            </w:r>
          </w:p>
        </w:tc>
        <w:tc>
          <w:tcPr>
            <w:tcW w:w="1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88"/>
        </w:trPr>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00" w:type="dxa"/>
            <w:vAlign w:val="bottom"/>
            <w:gridSpan w:val="6"/>
          </w:tcPr>
          <w:p>
            <w:pPr>
              <w:jc w:val="center"/>
              <w:ind w:left="2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1"/>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00" w:type="dxa"/>
            <w:vAlign w:val="bottom"/>
            <w:gridSpan w:val="9"/>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60"/>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080" w:type="dxa"/>
            <w:vAlign w:val="bottom"/>
          </w:tcPr>
          <w:p>
            <w:pPr>
              <w:spacing w:after="0"/>
              <w:rPr>
                <w:sz w:val="13"/>
                <w:szCs w:val="13"/>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3500" w:type="dxa"/>
            <w:vAlign w:val="bottom"/>
            <w:gridSpan w:val="4"/>
          </w:tcPr>
          <w:p>
            <w:pPr>
              <w:jc w:val="center"/>
              <w:ind w:left="789"/>
              <w:spacing w:after="0"/>
              <w:rPr>
                <w:sz w:val="20"/>
                <w:szCs w:val="20"/>
                <w:color w:val="auto"/>
              </w:rPr>
            </w:pPr>
            <w:r>
              <w:rPr>
                <w:rFonts w:ascii="Times New Roman" w:cs="Times New Roman" w:eastAsia="Times New Roman" w:hAnsi="Times New Roman"/>
                <w:sz w:val="14"/>
                <w:szCs w:val="14"/>
                <w:color w:val="auto"/>
              </w:rPr>
              <w:t>Cannae Common Stock, $0.0001 par value</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CNNE</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244"/>
        </w:trPr>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500" w:type="dxa"/>
            <w:vAlign w:val="bottom"/>
            <w:gridSpan w:val="9"/>
          </w:tcPr>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340"/>
        </w:trPr>
        <w:tc>
          <w:tcPr>
            <w:tcW w:w="7200" w:type="dxa"/>
            <w:vAlign w:val="bottom"/>
            <w:gridSpan w:val="10"/>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80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65"/>
        </w:trPr>
        <w:tc>
          <w:tcPr>
            <w:tcW w:w="7200" w:type="dxa"/>
            <w:vAlign w:val="bottom"/>
            <w:gridSpan w:val="10"/>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40" w:type="dxa"/>
            <w:vAlign w:val="bottom"/>
          </w:tcPr>
          <w:p>
            <w:pPr>
              <w:spacing w:after="0"/>
              <w:rPr>
                <w:sz w:val="23"/>
                <w:szCs w:val="23"/>
                <w:color w:val="auto"/>
              </w:rPr>
            </w:pPr>
          </w:p>
        </w:tc>
        <w:tc>
          <w:tcPr>
            <w:tcW w:w="2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70"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firstLine="127"/>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ind w:left="280"/>
        <w:spacing w:after="0" w:line="161" w:lineRule="exact"/>
        <w:tabs>
          <w:tab w:leader="none" w:pos="1760" w:val="left"/>
          <w:tab w:leader="none" w:pos="2560" w:val="left"/>
          <w:tab w:leader="none" w:pos="3900" w:val="left"/>
          <w:tab w:leader="none" w:pos="4640" w:val="left"/>
          <w:tab w:leader="none" w:pos="6260" w:val="left"/>
          <w:tab w:leader="none" w:pos="6800" w:val="left"/>
          <w:tab w:leader="none" w:pos="8480" w:val="left"/>
          <w:tab w:leader="none" w:pos="896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9" w:lineRule="exact"/>
        <w:rPr>
          <w:sz w:val="24"/>
          <w:szCs w:val="24"/>
          <w:color w:val="auto"/>
        </w:rPr>
      </w:pPr>
    </w:p>
    <w:p>
      <w:pPr>
        <w:ind w:right="340" w:firstLine="127"/>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ind w:right="400" w:firstLine="127"/>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firstLine="12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148590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84" w:right="319" w:bottom="1440" w:gutter="0" w:footer="0" w:header="0"/>
        </w:sectPr>
      </w:pPr>
    </w:p>
    <w:bookmarkStart w:id="1" w:name="page2"/>
    <w:bookmarkEnd w:id="1"/>
    <w:p>
      <w:pPr>
        <w:ind w:left="140"/>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2" w:lineRule="exact"/>
        <w:rPr>
          <w:sz w:val="20"/>
          <w:szCs w:val="20"/>
          <w:color w:val="auto"/>
        </w:rPr>
      </w:pPr>
    </w:p>
    <w:p>
      <w:pPr>
        <w:ind w:firstLine="127"/>
        <w:spacing w:after="0" w:line="284" w:lineRule="auto"/>
        <w:rPr>
          <w:sz w:val="20"/>
          <w:szCs w:val="20"/>
          <w:color w:val="auto"/>
        </w:rPr>
      </w:pPr>
      <w:r>
        <w:rPr>
          <w:rFonts w:ascii="Times New Roman" w:cs="Times New Roman" w:eastAsia="Times New Roman" w:hAnsi="Times New Roman"/>
          <w:sz w:val="14"/>
          <w:szCs w:val="14"/>
          <w:color w:val="auto"/>
        </w:rPr>
        <w:t>The aggregate market value of the shares of Cannae common stock held by non-affiliates of the registrant as of June 30, 2024, was $1,014,218,592 based on the closing price of $18.14 as reported by the New York Stock Exchange.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 of February 21, 2025 there were 62,794,359 shares of Cannae common stock outstanding.</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information in Part III hereof for the fiscal year ended December 31, 2024,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325755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109220</wp:posOffset>
            </wp:positionV>
            <wp:extent cx="71278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698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75565</wp:posOffset>
            </wp:positionV>
            <wp:extent cx="712787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13335"/>
                    </a:xfrm>
                    <a:prstGeom prst="rect">
                      <a:avLst/>
                    </a:prstGeom>
                    <a:noFill/>
                  </pic:spPr>
                </pic:pic>
              </a:graphicData>
            </a:graphic>
          </wp:anchor>
        </w:drawing>
      </w:r>
    </w:p>
    <w:p>
      <w:pPr>
        <w:sectPr>
          <w:pgSz w:w="11900" w:h="16838" w:orient="portrait"/>
          <w:cols w:equalWidth="0" w:num="1">
            <w:col w:w="11280"/>
          </w:cols>
          <w:pgMar w:left="300" w:top="32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00" w:type="dxa"/>
            <w:vAlign w:val="bottom"/>
            <w:gridSpan w:val="14"/>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CANNAE HOLDINGS, INC.</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980" w:type="dxa"/>
            <w:vAlign w:val="bottom"/>
            <w:gridSpan w:val="13"/>
          </w:tcPr>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gridSpan w:val="14"/>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167"/>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3"/>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4240" w:type="dxa"/>
            <w:vAlign w:val="bottom"/>
            <w:gridSpan w:val="8"/>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640" w:type="dxa"/>
            <w:vAlign w:val="bottom"/>
            <w:gridSpan w:val="2"/>
          </w:tcPr>
          <w:p>
            <w:pPr>
              <w:jc w:val="center"/>
              <w:ind w:left="430"/>
              <w:spacing w:after="0"/>
              <w:rPr>
                <w:sz w:val="20"/>
                <w:szCs w:val="20"/>
                <w:color w:val="auto"/>
              </w:rPr>
            </w:pPr>
            <w:r>
              <w:rPr>
                <w:rFonts w:ascii="Times New Roman" w:cs="Times New Roman" w:eastAsia="Times New Roman" w:hAnsi="Times New Roman"/>
                <w:sz w:val="14"/>
                <w:szCs w:val="14"/>
                <w:color w:val="0000FF"/>
                <w:w w:val="85"/>
              </w:rPr>
              <w:t>1</w:t>
            </w:r>
          </w:p>
        </w:tc>
        <w:tc>
          <w:tcPr>
            <w:tcW w:w="50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1A.</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10</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1B.</w:t>
            </w:r>
          </w:p>
        </w:tc>
        <w:tc>
          <w:tcPr>
            <w:tcW w:w="74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260" w:type="dxa"/>
            <w:vAlign w:val="bottom"/>
            <w:gridSpan w:val="19"/>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24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1C.</w:t>
            </w:r>
          </w:p>
        </w:tc>
        <w:tc>
          <w:tcPr>
            <w:tcW w:w="74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7260" w:type="dxa"/>
            <w:vAlign w:val="bottom"/>
            <w:gridSpan w:val="19"/>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24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74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080" w:type="dxa"/>
            <w:vAlign w:val="bottom"/>
            <w:gridSpan w:val="2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25</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3.</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25</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25</w:t>
            </w:r>
          </w:p>
        </w:tc>
      </w:tr>
      <w:tr>
        <w:trPr>
          <w:trHeight w:val="160"/>
        </w:trPr>
        <w:tc>
          <w:tcPr>
            <w:tcW w:w="4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11"/>
          </w:tcPr>
          <w:p>
            <w:pPr>
              <w:jc w:val="center"/>
              <w:ind w:right="422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5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r>
      <w:tr>
        <w:trPr>
          <w:trHeight w:val="20"/>
        </w:trPr>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26</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6.</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Reserved</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7.</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7A.</w:t>
            </w:r>
          </w:p>
        </w:tc>
        <w:tc>
          <w:tcPr>
            <w:tcW w:w="740" w:type="dxa"/>
            <w:vAlign w:val="bottom"/>
          </w:tcPr>
          <w:p>
            <w:pPr>
              <w:spacing w:after="0"/>
              <w:rPr>
                <w:sz w:val="13"/>
                <w:szCs w:val="13"/>
                <w:color w:val="auto"/>
              </w:rPr>
            </w:pPr>
          </w:p>
        </w:tc>
        <w:tc>
          <w:tcPr>
            <w:tcW w:w="33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550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39</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740" w:type="dxa"/>
            <w:vAlign w:val="bottom"/>
          </w:tcPr>
          <w:p>
            <w:pPr>
              <w:spacing w:after="0"/>
              <w:rPr>
                <w:sz w:val="13"/>
                <w:szCs w:val="13"/>
                <w:color w:val="auto"/>
              </w:rPr>
            </w:pPr>
          </w:p>
        </w:tc>
        <w:tc>
          <w:tcPr>
            <w:tcW w:w="33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50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40</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9.</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4"/>
              </w:rPr>
              <w:t>Item 9A.</w:t>
            </w:r>
          </w:p>
        </w:tc>
        <w:tc>
          <w:tcPr>
            <w:tcW w:w="74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80" w:type="dxa"/>
            <w:vAlign w:val="bottom"/>
            <w:gridSpan w:val="21"/>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9B.</w:t>
            </w:r>
          </w:p>
        </w:tc>
        <w:tc>
          <w:tcPr>
            <w:tcW w:w="74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480" w:type="dxa"/>
            <w:vAlign w:val="bottom"/>
            <w:gridSpan w:val="21"/>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5"/>
              </w:rPr>
              <w:t>Item 9C.</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18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10.</w:t>
            </w:r>
          </w:p>
        </w:tc>
        <w:tc>
          <w:tcPr>
            <w:tcW w:w="740" w:type="dxa"/>
            <w:vAlign w:val="bottom"/>
          </w:tcPr>
          <w:p>
            <w:pPr>
              <w:spacing w:after="0"/>
              <w:rPr>
                <w:sz w:val="13"/>
                <w:szCs w:val="13"/>
                <w:color w:val="auto"/>
              </w:rPr>
            </w:pP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11.</w:t>
            </w:r>
          </w:p>
        </w:tc>
        <w:tc>
          <w:tcPr>
            <w:tcW w:w="740" w:type="dxa"/>
            <w:vAlign w:val="bottom"/>
          </w:tcPr>
          <w:p>
            <w:pPr>
              <w:spacing w:after="0"/>
              <w:rPr>
                <w:sz w:val="13"/>
                <w:szCs w:val="13"/>
                <w:color w:val="auto"/>
              </w:rPr>
            </w:pPr>
          </w:p>
        </w:tc>
        <w:tc>
          <w:tcPr>
            <w:tcW w:w="28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040" w:type="dxa"/>
            <w:vAlign w:val="bottom"/>
            <w:gridSpan w:val="15"/>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12.</w:t>
            </w:r>
          </w:p>
        </w:tc>
        <w:tc>
          <w:tcPr>
            <w:tcW w:w="740" w:type="dxa"/>
            <w:vAlign w:val="bottom"/>
          </w:tcPr>
          <w:p>
            <w:pPr>
              <w:spacing w:after="0"/>
              <w:rPr>
                <w:sz w:val="13"/>
                <w:szCs w:val="13"/>
                <w:color w:val="auto"/>
              </w:rPr>
            </w:pPr>
          </w:p>
        </w:tc>
        <w:tc>
          <w:tcPr>
            <w:tcW w:w="57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1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Item 13.</w:t>
            </w:r>
          </w:p>
        </w:tc>
        <w:tc>
          <w:tcPr>
            <w:tcW w:w="740" w:type="dxa"/>
            <w:vAlign w:val="bottom"/>
            <w:tcBorders>
              <w:bottom w:val="single" w:sz="8" w:color="0000FF"/>
            </w:tcBorders>
          </w:tcPr>
          <w:p>
            <w:pPr>
              <w:spacing w:after="0"/>
              <w:rPr>
                <w:sz w:val="13"/>
                <w:szCs w:val="13"/>
                <w:color w:val="auto"/>
              </w:rPr>
            </w:pP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7"/>
          </w:tcPr>
          <w:p>
            <w:pPr>
              <w:spacing w:after="0"/>
              <w:rPr>
                <w:sz w:val="13"/>
                <w:szCs w:val="13"/>
                <w:color w:val="auto"/>
              </w:rPr>
            </w:pPr>
          </w:p>
        </w:tc>
        <w:tc>
          <w:tcPr>
            <w:tcW w:w="31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75</w:t>
            </w:r>
          </w:p>
        </w:tc>
      </w:tr>
      <w:tr>
        <w:trPr>
          <w:trHeight w:val="160"/>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14.</w:t>
            </w:r>
          </w:p>
        </w:tc>
        <w:tc>
          <w:tcPr>
            <w:tcW w:w="888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1"/>
          </w:tcPr>
          <w:p>
            <w:pPr>
              <w:jc w:val="center"/>
              <w:ind w:right="420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15.</w:t>
            </w:r>
          </w:p>
        </w:tc>
        <w:tc>
          <w:tcPr>
            <w:tcW w:w="740" w:type="dxa"/>
            <w:vAlign w:val="bottom"/>
          </w:tcPr>
          <w:p>
            <w:pPr>
              <w:spacing w:after="0"/>
              <w:rPr>
                <w:sz w:val="13"/>
                <w:szCs w:val="13"/>
                <w:color w:val="auto"/>
              </w:rPr>
            </w:pPr>
          </w:p>
        </w:tc>
        <w:tc>
          <w:tcPr>
            <w:tcW w:w="25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640" w:type="dxa"/>
            <w:vAlign w:val="bottom"/>
            <w:gridSpan w:val="6"/>
          </w:tcPr>
          <w:p>
            <w:pPr>
              <w:spacing w:after="0"/>
              <w:rPr>
                <w:sz w:val="13"/>
                <w:szCs w:val="13"/>
                <w:color w:val="auto"/>
              </w:rPr>
            </w:pPr>
          </w:p>
        </w:tc>
        <w:tc>
          <w:tcPr>
            <w:tcW w:w="540" w:type="dxa"/>
            <w:vAlign w:val="bottom"/>
            <w:tcBorders>
              <w:top w:val="single" w:sz="8" w:color="0000FF"/>
            </w:tcBorders>
            <w:gridSpan w:val="5"/>
          </w:tcPr>
          <w:p>
            <w:pPr>
              <w:spacing w:after="0"/>
              <w:rPr>
                <w:sz w:val="13"/>
                <w:szCs w:val="13"/>
                <w:color w:val="auto"/>
              </w:rPr>
            </w:pPr>
          </w:p>
        </w:tc>
        <w:tc>
          <w:tcPr>
            <w:tcW w:w="420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77</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Item 16.</w:t>
            </w:r>
          </w:p>
        </w:tc>
        <w:tc>
          <w:tcPr>
            <w:tcW w:w="740" w:type="dxa"/>
            <w:vAlign w:val="bottom"/>
          </w:tcPr>
          <w:p>
            <w:pPr>
              <w:spacing w:after="0"/>
              <w:rPr>
                <w:sz w:val="13"/>
                <w:szCs w:val="13"/>
                <w:color w:val="auto"/>
              </w:rPr>
            </w:pPr>
          </w:p>
        </w:tc>
        <w:tc>
          <w:tcPr>
            <w:tcW w:w="25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380" w:type="dxa"/>
            <w:vAlign w:val="bottom"/>
            <w:gridSpan w:val="17"/>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71"/>
              </w:rPr>
              <w:t>79</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Introductory Note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Background</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17, 2017, Fidelity National Financial, Inc. ("FNF", NYSE: FNF) redeemed each outstanding share of its FNF Ventures ("FNFV") Group common stock, par value $0.0001, for one share of common stock, par value $0.0001, of a newly formed entity, Cannae (the "Split-Off"). In conjunction with the Split-Off, FNF contributed to us its portfolio of companies unrelated to its primary insurance and real estate operations, which included majority and minority equity interests in a number of entities and certain fixed income investments. On November 20, 2017, Cannae common stock began "regular-way" trading on The New York Stock Exchange under the "CNNE" stock symbol.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primarily acquire interests in operating companies and are engaged in actively managing and operating a core group of those companies, which we are committed to supporting for the long-term.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2024 include our ownership interests in Dun &amp; Bradstreet Holdings, Inc. ("Dun &amp; Bradstreet" or "D&amp;B"); Alight, Inc. ("Alight"); Paysafe Limited ("Paysafe"); Sightline Payments Holdings, LLC ("Sightline"); System1, Inc. ("System1"); Black Knight Football Club US, LP ("Black Knight Football" or "BKFC"); Computer Services, Inc. ("CSI"); Watkins Holdings, LLC ("Watkins"); JANA Partners Capital, LLC and JANA Partners Management, LP (together, "JANA"); High Sierra Distillery, LP ("Minden Mill"); AmeriLife Group, LLC ("AmeriLife"); O'Charley's Holdings, LLC ("O'Charley's"); 99 Restaurants Holdings, LLC ("99 Restaurants"); and various other controlled subsidiary companies and minority equity ownership interests.</w:t>
      </w:r>
    </w:p>
    <w:p>
      <w:pPr>
        <w:spacing w:after="0" w:line="6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Company conducts its business through its wholly-owned subsidiary Cannae Holdings, LLC ("Cannae LLC"), a Nevada limited liability company. The Company’s board of directors ("Board") oversees the management of the Company, Cannae LLC and its businesses, and the performance of Trasimene Capital Management, LLC ("Trasimene" or our "Manager"), through which the Company manages its business operations and those of its subsidiaries. The Company, Cannae LLC, and our Manager are party to a Management Services Agreement dated as of August 27, 2019, as amended and restated from time to time (as amended and restated, the "Management Services Agreement"). Subject at all times to the supervision and direction of the Board, the Manager is responsible for, among other things, (i) managing the day-to-day business and operations of the Company and its subsidiaries, (ii) evaluating the financial and operational performance of the Company's businesses, (iii) providing a management team to serve as executive officers of the Company and (iv) performing (or causing to be performed) any other services for and on behalf of the Company and the Subsidiaries customarily performed by executive officers and employees of a public company. On February 26, 2024, the Company, Cannae LLC and Trasimene entered into a Third Amended and Restated Management Services Agreement (the "Third Amended MSA"). The Third Amended MSA amended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w:t>
      </w:r>
    </w:p>
    <w:p>
      <w:pPr>
        <w:spacing w:after="0" w:line="6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believe Cannae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Led by William P. Foley II ("Bill Foley") and facilitated through our Manager and the Company's internal management team, we leverage our management team's operational expertise, long-term relationships and industry connections and capital sourcing capabilities to identify, structure and execute on ownership interests in companies with these characteristics.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management team has a proven track record of growing industry-leading companies, including the Company's subsidiaries, and we actively and continuously work with and support management teams of the companies we own in managing, operating, and growing their businesses in order to provide value for our shareholders. Bill Foley-led management teams are responsible for the growth of publicly traded companies such as FNF, Black Knight, Inc. ("Black Knight", formerly NYSE: BKI), Dayforce, Inc. ("Dayforce", NYSE: DAY), D&amp;B (NYSE: DNB), Fidelity National Information Services (NYSE: FIS) and F&amp;G Annuities &amp; Life, Inc. ("FG", NYSE: FG).</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had the following reportable segments:</w:t>
      </w:r>
    </w:p>
    <w:p>
      <w:pPr>
        <w:spacing w:after="0" w:line="9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Dun &amp; Bradstreet</w:t>
      </w:r>
      <w:r>
        <w:rPr>
          <w:rFonts w:ascii="Times New Roman" w:cs="Times New Roman" w:eastAsia="Times New Roman" w:hAnsi="Times New Roman"/>
          <w:sz w:val="14"/>
          <w:szCs w:val="14"/>
          <w:color w:val="auto"/>
        </w:rPr>
        <w:t>. This segment consists of our 15.6% ownership interest in D&amp;B. Cannae's Chief Executive Officer, Chief Investment Officer and Chairman of our Board, Bill Foley,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Douglas Ammerman serve on the board of directors of D&amp;B, with Mr. Foley serving as chairman of D&amp;B's board of directors. Dun &amp; Bradstreet is a leading global provider of 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inform commercial credit decisions, evaluate whether suppliers and other third parties are financially viable, reputable, compliant and resilient, enhance salesforce productivity and gain visibility into key markets. D&amp;B's solutions support its clients’ mission critical business operations by providing proprietary and curated data and analytics to help drive informed decisions and improved outcomes.</w:t>
      </w:r>
    </w:p>
    <w:p>
      <w:pPr>
        <w:spacing w:after="0" w:line="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D&amp;B is differentiated by the scale, depth, diversity and accuracy of their constantly expanding business database, known as their "Data Cloud," that contains comprehensive information on nearly 600 million total organizations as of December 31, 2024. Access to longitudinal curated data is critical for global commerce, and with only a small percentage of the world’s businesses filing public financial statements, D&amp;B's data is a trusted source for reliable information about both public and private businesses. By building such a set of data over time, D&amp;B is able to establish a unique identifier that creates a single thread connecting related corporate entities allowing our clients to form a holistic view of an enterprise. This unique identifier, which D&amp;B refers to as the D-U-N-S Number, is an organization's "fingerprint" or "Social Security Number." D&amp;B believes that they are the only scale provider to possess both worldwide commercial credit data and comprehensive public records data that are linked together by a unique identifier allowing for an accurate assessment of public and private businesses globally.</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Leveraging its commercial credit data and analytics, as well as compliance intelligence, D&amp;B's Finance &amp; Risk solutions are used in the critical decisioning processes of finance, risk, compliance and procurement departments worldwide. D&amp;B is a market leader in commercial credit decisioning, with many of the top businesses in the world utilizing its solutions to make informed decisions when considering extending business loans and trade credit. D&amp;B is also a leading provider of data and analytics to businesses looking to analyze supplier relationships and more effectively collect outstanding receivables, detect and mitigate business fraud, and assess and track their business partners' Environmental, Social and Governance ("ESG") performance and activities. We believe D&amp;B's proprietary Paydex score, a numerical indicator based on promptness of a business's payments to its suppliers and vendors, is widely relied upon as an important measure of credit health for businesses. D&amp;B is well positioned to provide accessible and actionable insights and analytics that mitigate risk and uncertainty, and ultimately protect and drive increased profitability for its clients.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D&amp;B's Sales &amp; Marketing solutions combine firmographic, personal contact, intent and non-traditional, or alternative data, such as foot traffic, website usage, social media posts, online browsing activity and shipping trackers, to assist clients in optimizing their sales and marketing strategy by cleansing customer relationship management ("CRM") data and narrowing their focus and efforts on the highest probability prospects. As global competition continues to intensify, businesses need assistance with focusing their sales pipelines into a condensed list so that they can have their best sellers target the highest probability return accounts. D&amp;B provides invaluable insights into businesses that can help its clients grow their businesses in a more efficient and effective manner.</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Dun &amp; Bradstreet using the equity method of accounting; therefore, its results of operations do not consolidate into ours.</w:t>
      </w:r>
    </w:p>
    <w:p>
      <w:pPr>
        <w:spacing w:after="0" w:line="9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This segment consists of our 7.6% ownership interest in Alight. Cannae's Chief Executive Officer, Chief Investment Officer and Chairman of our Board, Bill Foley, and director Erika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Meinhardt serve on the board of directors of Alight, with Mr. Foley serving as chairman of Alight's board of directors. Alight is a technology-enabled services company delivering human capital management solutions to many of the 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Alight using the equity method of accounting; therefore, its results of operations do not consolidate into ours.</w:t>
      </w:r>
    </w:p>
    <w:p>
      <w:pPr>
        <w:spacing w:after="0" w:line="9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This segment consists of our 47.2% ownership interest in BKFC. BKFC is a partnership led by Bill Foley that owns and operates AFC Bournemouth ("AFCB"),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English Premier League ("EPL" or the "Premier League") football club founded in 1899, and minority interests in FC Lorient ("FCL"), a French football club founded in 1926, and Hibernian FC ("Hibs"), a Scottish Premiership football club founded in 1875.</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Black Knight Football is a leading, multi-club operator of football assets across the world. It aims to drive on-field and financial success of each of its clubs by leveraging its multi-club model to increase pathways to player development, acquiring and developing best-in-class players and managers at each club, building best-in-class infrastructure and facilities to drive player development and supporter engagement, and increase commercial opportunities for its clubs by focusing on on-field success and leveraging the extensive networks of owners and executive management. Black Knight Football aims to continue to expand its network of clubs through strategic acquisitions to further enhance the benefits of its multi-club model.</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BKFC using the equity method of accounting; therefore, its results of operations do not consolidate into ours.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This segment consists of the operations of O'Charley's and 99 Restaurants in which we have 65.4% and 88.5% equity ownership interests, respectively. O'Charley's and 99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Restaurants and their affiliates are the owners and operators of the O'Charley's restaurant and Ninety Nine Restaurants restaurant concepts, respectively.</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account for our ownership of the Restaurant Group as a consolidated subsidiary.</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aggregation of nonreportable operating segments consists of our share in the operations of certain controlled companies and other equity interests including Paysafe,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Minden Mill, CSI, Sightline, System1, JANA, Watkins and various other minority equity ownership interests.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Paysafe is a leading payments platform with an extensive track record of serving merchants and consumers in the global entertainment sectors. Its core purpose is to enable businesses and consumers to connect and transact seamlessly through industry-leading capabilities in payment processing, digital wallet, and online cash solutions.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Minden Mill, through its wholly-owned subsidiaries, owns and operates an estate distillery and related hospitality venues. Minden is a historic agricultural and manufacturing town, located in the heart of Carson Valley close to the Nevada-California border at the eastern base of the Sierra Nevada Mountain range. Visitors enjoy easy access to South Lake Tahoe Mountain resorts, hiking trails, casinos, hot springs, legendary bars, and restaurants. Minden Mill's facilities include an American Whiskey and white spirits distillery, housed in a 100-year-old creamery, and an American Single Malt Whiskey distillery housed in a 100-year-old flour mill. Both buildings sit on the National Register of Historic Places. The flour mill includes multiple tasting areas and serves as a guest experience center.</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CSI is a leading fintech, regtech and cybersecurity partner that delivers core processing, digital banking, managed cybersecurity, cybersecurity compliance, payments processing, print and electronic document distribution, and regulatory compliance solutions to financial institutions and corporate customers, both foreign and domestic.</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Sightline Payments is a digital payments provider to the United States' ("U.S.") sports betting, casino gaming and digital gaming markets. Sightline aims to leverage its technology to apply modern solutions to a traditionally cash-based industry projected to grow significantly over the next few years.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System1 operates an omnichannel customer acquisition platform, delivering high-intent customers to advertisers and sells antivirus software packages to end user customers. System1 provides its services through its proprietary responsive acquisition marketing platform ("RAMP"). RAMP allows System1 to monetize users through its relationships with third-party advertisers and advertising networks. RAMP also allows third-party advertising platforms and publishers, to send user traffic to, and monetize user traffic on, System1’s owned and operated websites. RAMP operates across System1's network of owned and operated websites and related products, allowing it to monetize user traffic that it sources from various acquisition marketing channels.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AmeriLife is a leader in marketing and distributing life, health, and retirement solutions.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JANA Partners is an investment manager founded in 2001.</w:t>
      </w:r>
    </w:p>
    <w:p>
      <w:pPr>
        <w:spacing w:after="0" w:line="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Watkins is a leading producer of high-quality flavoring products including spices, seasonings and extracts. For over 150 years, Watkins and its predecessors have been heralded as purveyors of flavor, with an unwavering commitment to crafting award-winning gourmet flavoring products from high-quality, natural ingredients, without the use of artificial flavors and colors, genetically modified organisms, corn syrup or gluten.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right="1720" w:firstLine="255"/>
        <w:spacing w:after="0" w:line="379" w:lineRule="auto"/>
        <w:rPr>
          <w:sz w:val="20"/>
          <w:szCs w:val="20"/>
          <w:color w:val="auto"/>
        </w:rPr>
      </w:pPr>
      <w:r>
        <w:rPr>
          <w:rFonts w:ascii="Times New Roman" w:cs="Times New Roman" w:eastAsia="Times New Roman" w:hAnsi="Times New Roman"/>
          <w:sz w:val="14"/>
          <w:szCs w:val="14"/>
          <w:color w:val="auto"/>
        </w:rPr>
        <w:t xml:space="preserve">Refer to Item 7 of Part II of this Annual Report for further information on recent results of operations and transactions and other activity of our reportable segments. </w:t>
      </w:r>
      <w:r>
        <w:rPr>
          <w:rFonts w:ascii="Times New Roman" w:cs="Times New Roman" w:eastAsia="Times New Roman" w:hAnsi="Times New Roman"/>
          <w:sz w:val="14"/>
          <w:szCs w:val="14"/>
          <w:b w:val="1"/>
          <w:bCs w:val="1"/>
          <w:color w:val="auto"/>
        </w:rPr>
        <w:t>Strategy and Business Trends</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by taking significant, active ownership stakes in new businesses.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Dun &amp; Bradstreet. </w:t>
      </w:r>
      <w:r>
        <w:rPr>
          <w:rFonts w:ascii="Times New Roman" w:cs="Times New Roman" w:eastAsia="Times New Roman" w:hAnsi="Times New Roman"/>
          <w:sz w:val="14"/>
          <w:szCs w:val="14"/>
          <w:color w:val="auto"/>
        </w:rPr>
        <w:t>We believe D&amp;B has an attractive business model that is underpinned by highly recurring, diversified revenue, significant operating leverage, low capital requirements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strong free cash flow. The proprietary and embedded nature of D&amp;B's data and analytics solutions and the integral role that D&amp;B plays in its clients’ decision-making processes have historically translated into high client retention and revenue visibility. D&amp;B also benefits from strong operating leverage given its centralized Data Cloud and solutions, which allow D&amp;B to generate strong contribution margins and free cash flow.</w:t>
      </w:r>
    </w:p>
    <w:p>
      <w:pPr>
        <w:spacing w:after="0" w:line="5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Subsequent to our acquisition of an ownership stake in D&amp;B we worked closely with D&amp;B to implement changes to address operational and execution issues at D&amp;B that led to stagnant revenue growth and declining profitability prior to our involvement. We brought in a new senior leadership team, which commenced a comprehensive transformation to improve and revitalize D&amp;B's business for long-term success. The new senior leadership team saw significant opportunity to create value by transforming the organization and improving the platform with new business unit leaders, enhanced technology and data, solution innovation and a client-centric go-to-market strategy. D&amp;B's transformation strategy was based on Bill Foley's proven playbook of enhancing stockholder value through organizational re-alignment and re-investment. Initiatives implemented at D&amp;B upon our acquisition resulted in significant synergies and cost savings. We continue to work closely with D&amp;B to drive operational results through our participation on its board of directors.</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Businesses rely on D&amp;B's depth and breadth of global data and analytics to produce data-driven insights and make more informed decisions. For example, in commercial lending and trade credit, the scarcity of readily available credit history makes the extension of credit a time-consuming and imprecise process. In procurement, and business development, businesses face increasingly complex and global supply chains, making the assessment of compliance and viability of all suppliers prohibitively difficult and expensive if not conducted effectively. In sales and marketing, businesses have benefited from the advancements of CRM,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D&amp;B helps its clients solve these mission critical business problems. D&amp;B believes the total addressable market ("TAM") in which it operates is large, growing and significantly under penetrated. D&amp;B participates in the big data and analytics software market, as defined by Interactive Data Corporation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 support, valuable business insights and automation. As D&amp;B continues to drive innovation in its solutions, it expects to address a greater portion of this TAM as new use cases for its data assets and analytical capabilities are introduced.</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3"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Alight aims to be the pre-eminent employee experience partner by providing personalized experiences that help employees make the best decisions for themselves and their families about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health, wealth and wellbeing. At the same time, Alight helps employers tackle their biggest people and business challenges by helping them understand prevalence, trends and risks to generate better outcomes for the future, such as improved employee productivity and retention, while also realizing a return on their people investment. Alight’s data, analytics and Artificial Intelligence ("AI") allow them to deliver actionable insights that drive measurable outcomes, such as healthcare claims savings, for companies and their people.</w:t>
      </w:r>
    </w:p>
    <w:p>
      <w:pPr>
        <w:spacing w:after="0" w:line="6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Our restaurant operations are focused in the casual dining segment of the restaurant industry. The Restaurant Group's strategy is to achieve long-term profit growth and drive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increases in same store sales and guest counts. We have a highly-experienced management team that is focused on enhancing the guest experience at our restaurants and building team member engagement. We also utilize a shared service platform that takes advantage of the combined back-office synergies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our restaurant operating companies. Our goal is to maintain a strong balance sheet for our Restaurant Group to provide stability in all operating environments.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dining restaurants in which the company operates.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Average weekly sales per restaurant are typically higher in the first and fourth quarters than in other quarters, and we typically generate a disproportionate share of our earnings from operations in the first half of the year. Holidays, severe weather and other disruptive conditions may impact sales volumes seasonally in some operating regions.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revenues in future periods will continue to be subject to these and other factors that are beyond our control and, as a result, are likely to fluctuate.</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Restaurant Group has undertaken a project to renegotiate or terminate leases and close stores with unfavorable store-level cash flow profiles. Through this process it closed 77 O'Charley's stores in the year ended December 31, 2023. We expect the process to generally reduce the future revenue and improve the future operating profitability of our Restaurant Group, however we cannot be certain of the precise financial impact as of the date of this Annual Report.</w:t>
      </w:r>
    </w:p>
    <w:p>
      <w:pPr>
        <w:spacing w:after="0" w:line="4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Football, or soccer, is the most popular sport in the world with billions of fans globally. BKFC’s football clubs compete in some of the most competitive and highly visible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football leagues in the world. The Premier League estimates that over 3 billion people watch its matches globally. Sports is one of the last remaining forms of content in the media ecosystem that is consumed live, making it must-have content for advertisers. As a result, major sports properties, and in particular top global soccer leagues which have the highest global viewership, are experiencing continued increases in the value of their media rights as networks rely on live sports content to attract and retain audiences and advertisers. BKFC's football clubs share in these global media trends through central distributions from their domestic leagues.</w:t>
      </w:r>
    </w:p>
    <w:p>
      <w:pPr>
        <w:spacing w:after="0" w:line="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BKFC is focused on acquiring and partnering with clubs led by executives with local expertise, proven track records for financial and on-field success, and clear operational fit within BKFC's network of clubs to help further develop and implement BKFC’s strategy. In addition to the significant involvement of the Company’s chairman, Mr. Foley, who is the general partner of BKFC, the Company’s management team is extensively engaged in oversight of and working with BKFC management in helping BKFC implement its strategy. BKFC's strategy is to acquire, or partner with, clubs in top-tier leagues with valuable media rights and in countries with a history of deep player talent pools. Operating under this multiple-club model will allow BKFC to drive efficient player migration across its network of clubs, accelerate player development, and create operational, cost saving and commercial revenue synergies which we expect to give BKFC a competitive advantage over the long-term.</w:t>
      </w:r>
    </w:p>
    <w:p>
      <w:pPr>
        <w:spacing w:after="0" w:line="50"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Top tier clubs in European football leagues earn significant revenues from revenue streams such as advertising and sponsorships, merchandise, and hospitality offerings. Most clubs competing in the top European football leagues, including BKFC's clubs, earn the majority of their revenues from media rights distributions from their domestic leagues. European leagues generally distribute their earnings from domestic and international media rights agreements with distribution partners to each of their respective clubs. In many leagues, the broadcast distributions are at least partially performance based so clubs that perform better on the pitch will earn more broadcasting income. The domestic media rights for the Premier League remain significant, totaling approximately $6.2 billion, at recent exchange rates, for the three-year period beginning with the 2022/2023 season and running through the 2024/2025 season. The international media rights for the Premier League have grown significantly in recent years, bringing in an additional approximately $6.2 billion, at recent exchange rates, for the three-year period beginning with the 2022/2023 season and running through the 2024/2025 season. We expect the proliferation of streaming and other new media distribution platforms to continue to drive demand for international football rights as streaming services seek unique content to help differentiate themselves from their competitors.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BKFC aims to take a measured approach to investing in world-class infrastructure and top players, coaches and executive management for each of its clubs in order to improve on field performance, execute on opportunities around fan engagement and brand expansion, and create new commercial revenue streams for advertising and sponsorships.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Acquisitions, Dispositions, Minority Owned Operating Affiliates and Financings. </w:t>
      </w:r>
      <w:r>
        <w:rPr>
          <w:rFonts w:ascii="Times New Roman" w:cs="Times New Roman" w:eastAsia="Times New Roman" w:hAnsi="Times New Roman"/>
          <w:sz w:val="14"/>
          <w:szCs w:val="14"/>
          <w:color w:val="auto"/>
        </w:rPr>
        <w:t>Acquisitions are an important part of our growth strategy. We may dispose of assets when we identify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opportunities to re-allocate our capital to owning, managing, and operating new companies that provide our shareholders with prudent risk-based returns on their own investment in Cannae on a long-term basis. On an ongoing basis, we actively evaluate possible transactions to enhance the value of the companies we own, such as acquisitions of business units and operating assets and business combination transactions.</w:t>
      </w:r>
    </w:p>
    <w:p>
      <w:pPr>
        <w:spacing w:after="0" w:line="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Dun &amp; Bradstreet. </w:t>
      </w:r>
      <w:r>
        <w:rPr>
          <w:rFonts w:ascii="Times New Roman" w:cs="Times New Roman" w:eastAsia="Times New Roman" w:hAnsi="Times New Roman"/>
          <w:sz w:val="14"/>
          <w:szCs w:val="14"/>
          <w:color w:val="auto"/>
        </w:rPr>
        <w:t>Dun &amp; Bradstreet primarily competes on the basis of differentiated data sets, analytical capabilities, solutions, client relationships, innovation and price. D&amp;B believes that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competes favorably in each of these categories across its business segments. D&amp;B's competitors vary based on the client size and geographical markets that its solutions cover.</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Dun &amp; Bradstreet's finance and risk solutions segment, its competition generally varies by client size. D&amp;B has a leading presence in the enterprise market as clients place a high degree of value on D&amp;B's best-in-class commercial credit database to inform their critical decisions around the extension of credit. D&amp;B’s main competitors in the enterprise and mid-market include Bureau van Dijk (owned by Moody’s Corporation), Experian and Creditsafe in Europe and Equifax and Experian in North America. In the small and mid-size company market D&amp;B's competition generally includes Equifax, Experian and other consumer credit providers that offer commercial data. Additionally, there is a fragmented tail of low cost, vertical and regionally focused point solutions in this market that may be attractive to certain clients, but lack the scale and coverage breadth to compete holistically.</w:t>
      </w:r>
    </w:p>
    <w:p>
      <w:pPr>
        <w:spacing w:after="0" w:line="58"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For Dun &amp; Bradstreet's Sales &amp; Marketing solutions segment, its competition has historically been very fragmented with many players offering varying levels of data quantity and quality, and with data being collected in ways that may cross ethical and privacy boundaries. D&amp;B's direct competitors vary depending on use cases, such as market segmentation, digital marketing lead generation, lead enrichment, sales effectiveness and data management. In the market for professional contact data, D&amp;B's competition generally includes ZoomInfo and a few consultancies building bespoke solutions. For other Sales &amp; Marketing solutions such as customer data platform, visitor intelligence, audience targeting and intent data, D&amp;B faces several competitors including 6Sense and Demandbase.</w:t>
      </w:r>
    </w:p>
    <w:p>
      <w:pPr>
        <w:spacing w:after="0" w:line="22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Overall, outside North America, D&amp;B's competitive environment varies by region and country, and can be significantly impacted by the legislative actions of local governments, availability of data and local business preferences. In the United Kingdom, D&amp;B's direct competition for its Finance &amp; Risk solutions segment is primarily from Moody's Analytics and Creditsafe. Additionally, the Sales &amp; Marketing solutions landscape in these markets is both localized and fragmented, where numerous local players of varying sizes compete for business. In Northern Europe, D&amp;B faces competition from Enento and Experian and in Central and Eastern European markets they compete with several regional and local players. In Asia Pacific, D&amp;B faces competition in its Finance &amp; Risk solutions segment from a mix of local and global providers. In China, D&amp;B primarily competes with global providers such as Experian and Moody's Corporation, as well as technology driven local players focusing on domestic data. In India, D&amp;B competes with local competitors. In addition, D&amp;B's Sales &amp; Marketing solutions landscape in the United Kingdom and throughout Asia is localized and fragmented.</w:t>
      </w:r>
    </w:p>
    <w:p>
      <w:pPr>
        <w:spacing w:after="0" w:line="49"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The markets for Alight’s solutions are competitive, rapidly evolving and fragmented. Alight’s business faces competition from other global and national companies. The market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Alight’s solutions is subject to change as a result of economic, regulatory and legislative changes, technological developments, shifting client needs, and increased competition from established and new competitors. Alight does not believe there is any single competitor with the breadth of its solutions, and thus Alight’s competitors vary for each of its solutions. Alight’s primary competitors include Accolade, ADP, bswift, Businessolver, Conduent, Empower, Fidelity, Included Health, HealthEquity, Mercer, Personify, Sedgwick, Quantum Health, Voya, and WTW. Alight competes primarily on the basis of product and service quality, technology, breadth of offerings, ease of use and accessibility of technology, data protection, innovation, trust and reliability, price and reputation.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The restaurant industry is highly competitive and is often affected by changes in consumer tastes. Competition for our restaurant brands varies by location. In general,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 brands compete within each market with national and regional chains and locally-owned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in recent years. We expect to continue to compete in these areas.</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BKFC’s football clubs compete against other football clubs in their respective domestic leagues for match attendance, matchday revenue and in domestic competitions.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BKFC’s football clubs also compete against football clubs around Europe and the rest of the world to attract the best players and coaches in the global transfer and football staff markets. Additionally, BKFC’s clubs and their respective leagues compete against other types of television programming for attention and advertiser income both domestically and globally in markets around the world. BKFC’s clubs also compete against alternative forms of live entertainment for the sale of matchday tickets, including other live sports, concerts, festivals, and similar events.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4"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Proven management team. </w:t>
      </w:r>
      <w:r>
        <w:rPr>
          <w:rFonts w:ascii="Times New Roman" w:cs="Times New Roman" w:eastAsia="Times New Roman" w:hAnsi="Times New Roman"/>
          <w:sz w:val="14"/>
          <w:szCs w:val="14"/>
          <w:color w:val="auto"/>
        </w:rPr>
        <w:t>Our Board and executive management team, led by Bill Foley, has a proven track record of identifying, acquiring, managing and operating businesses. In particular,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 Foley has led the growth of several multi-billion dollar companies with hundreds of acquisitions across diverse platforms, including, FNF, FIS, Black Knight, Dayforce, D&amp;B and FG. Our Board and executive 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Dun &amp; Bradstreet</w:t>
      </w:r>
      <w:r>
        <w:rPr>
          <w:rFonts w:ascii="Times New Roman" w:cs="Times New Roman" w:eastAsia="Times New Roman" w:hAnsi="Times New Roman"/>
          <w:sz w:val="14"/>
          <w:szCs w:val="14"/>
          <w:color w:val="auto"/>
        </w:rPr>
        <w:t>. D&amp;B owns and controls various intellectual property rights, such as trade secrets, confidential information, trademarks, service marks, tradenames, copyrights, patents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applications to the foregoing. These rights, in the aggregate, are of material importance to D&amp;B's business. D&amp;B believes that the Dun &amp; Bradstreet name and related tradenames, marks and logos are also of material importance to its business. D&amp;B is licensed to use certain technology and other intellectual property rights owned and controlled by others, and other companies are licensed to use certain technology and other intellectual property rights owned and controlled by it. D&amp;B's trademarks, service marks, databases, software, copyrights, patents, patent applications and other intellectual property are proprietary and accordingly it relies on a combination of statutory (e.g., copyright, trademark, trade secret, patent, etc.) and contractual safeguards for protecting them throughout the world.</w:t>
      </w:r>
    </w:p>
    <w:p>
      <w:pPr>
        <w:spacing w:after="0" w:line="2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D&amp;B owns patents and patent applications both in the U.S. and in other selected countries of importance to them. The patents and patent applications include claims, which pertain to certain technologies and inventions that D&amp;B has determined are proprietary and warrant patent protection. The protection of its innovative technology and inventions, such as its proprietary methods for data curation and identity resolution, through the filing of patent applications, is part of D&amp;B's business strategy. Filing of patent applications may or may not provide D&amp;B with a dominant position in the fields of technology. However, these patents and/or patent applications may provide D&amp;B with legal defenses should subsequent patents in these fields be issued to third parties and later asserted against it. Where appropriate, D&amp;B may also consider asserting or cross-licensing its patents.</w:t>
      </w:r>
    </w:p>
    <w:p>
      <w:pPr>
        <w:spacing w:after="0" w:line="5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Alight's intellectual property portfolio is comprised of various copyrights (including copyrights in software) and trademarks, as well as certain trade secrets or proprietary know-how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Alight's success has resulted in part from its proprietary methodologies, processes and other intellectual property, such as certain of its platforms. However, any of Alight's proprietary rights could be challenged, invalidated or circumvented, or may not provide significant competitive advantages.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U.S.,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Restaurant Group</w:t>
      </w:r>
      <w:r>
        <w:rPr>
          <w:rFonts w:ascii="Times New Roman" w:cs="Times New Roman" w:eastAsia="Times New Roman" w:hAnsi="Times New Roman"/>
          <w:sz w:val="14"/>
          <w:szCs w:val="14"/>
          <w:color w:val="auto"/>
        </w:rPr>
        <w:t>. We regard our Restaurant Group's service marks, including "O'Charley's", "Ninety Nine" and other service marks and trademarks as important factors in the marketing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restaurants. We have also obtained trademarks for several of our brands' menu items and for various advertising slogans. Our policy is to pursue registration of our marks whenever possible and to oppose vigorously any infringement of our marks.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Black Knight Football</w:t>
      </w:r>
      <w:r>
        <w:rPr>
          <w:rFonts w:ascii="Times New Roman" w:cs="Times New Roman" w:eastAsia="Times New Roman" w:hAnsi="Times New Roman"/>
          <w:sz w:val="14"/>
          <w:szCs w:val="14"/>
          <w:color w:val="auto"/>
        </w:rPr>
        <w:t>. BKFC's football clubs have service marks and trademarks which we believe are critical to the clubs' brand values and commercial revenues. BKFC's policy is to pursue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of its marks whenever possible and to oppose vigorously any infringement of its marks.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Our corporate business activities are subject to regulation under the laws of the U.S. at the federal and state level. The activities of our various businesses are also subject to regulation and in the U.S. and other jurisdictions in which they operate, including foreign jurisdictions. 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this Annual Report for further information on risks related to regulations impacting Cannae, D&amp;B, Alight and BKFC that may have an adverse effect on our businesses.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Security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1C </w:t>
      </w:r>
      <w:r>
        <w:rPr>
          <w:rFonts w:ascii="Times New Roman" w:cs="Times New Roman" w:eastAsia="Times New Roman" w:hAnsi="Times New Roman"/>
          <w:sz w:val="14"/>
          <w:szCs w:val="14"/>
          <w:i w:val="1"/>
          <w:iCs w:val="1"/>
          <w:color w:val="auto"/>
        </w:rPr>
        <w:t>Cybersecurity</w:t>
      </w:r>
      <w:r>
        <w:rPr>
          <w:rFonts w:ascii="Times New Roman" w:cs="Times New Roman" w:eastAsia="Times New Roman" w:hAnsi="Times New Roman"/>
          <w:sz w:val="14"/>
          <w:szCs w:val="14"/>
          <w:color w:val="auto"/>
        </w:rPr>
        <w:t xml:space="preserve"> of this Annual Report for further discussion of the Company's information security and related risk management processes.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Cannae and our consolidated subsidiaries had 7,317 employees, which includes 7,101 in our Restaurant Group and 216 in the various consolidated businesses comprising our Corporate and Other segment. None of our employees are unionized or represented by any collective agency. We believe that our relations with employees are generally good.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Manager and Cannae LLC rely on the experience and expertise of a small number of highly qualified employees which make up our corporate management team. We continually assess our management team's capabilities and capacity with a view toward the long-term sustainability of the Company's operations.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Diversity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Diversity is a part of our success, both at Cannae and within our subsidiary companies. We stand committed to our philosophy that all employees deserve an inclusive workplace, one where each employee feels heard and empowered. We believe that the diversity of our employees and directors provides a variety of ideas and perspectives that allow us to achieve superior business results. Cannae and Cannae’s subsidiary companies are committed to being equal opportunity employers and enhancing diversity and inclusion across our businesses. Cannae’s Code of Conduct &amp; Ethics prohibits discrimination and harassment. Our nondiscrimination policy is distributed to all employees as part of our employee handbook, which employees must acknowledge annually. Our employees participate in annual programs including Code of Business Conduct and Ethics Training, and Reporting Harassment: Everyone’s Responsibility Training.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recognize that in our rapidly changing global economy, the management of risks and opportunities is important for our long-term business success. Our Company and our board are committed to addressing sustainability issues to better serve our employees, business partners, and the communities where we live and work. We aim to achieve superior financial performance for shareholders and maximize the value of our assets while mitigating risk, and we are committed to managing our business in an environmentally responsible, socially responsible, and ethical manner.</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sustainability efforts are focused on:</w:t>
      </w:r>
    </w:p>
    <w:p>
      <w:pPr>
        <w:spacing w:after="0" w:line="9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Responsible Capital Deployment</w:t>
      </w:r>
      <w:r>
        <w:rPr>
          <w:rFonts w:ascii="Times New Roman" w:cs="Times New Roman" w:eastAsia="Times New Roman" w:hAnsi="Times New Roman"/>
          <w:sz w:val="14"/>
          <w:szCs w:val="14"/>
          <w:color w:val="auto"/>
        </w:rPr>
        <w:t>. We monitor sustainability issues with our companies which we believe helps us generate stronger returns for our shareholders while improving our impact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society. Dun &amp; Bradstreet is committed to enhancing responsible business practices through automated solutions. Alight is committed to helping companies care for their biggest asset, their people, by empowering workers and their families to make confident decisions around their health, wealth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wellbeing. The Restaurant Group is building inclusive workplaces while driving community outcomes in the areas where we operate. Our companies each have unique impacts, and we are working to further formalize and enhance the management of sustainability across our companies.</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Preserving the Environment. </w:t>
      </w:r>
      <w:r>
        <w:rPr>
          <w:rFonts w:ascii="Times New Roman" w:cs="Times New Roman" w:eastAsia="Times New Roman" w:hAnsi="Times New Roman"/>
          <w:sz w:val="14"/>
          <w:szCs w:val="14"/>
          <w:color w:val="auto"/>
        </w:rPr>
        <w:t>We recognize the importance of conducting business in an environmentally responsible manner and integrating responsibly designed environmental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practices into our operations. We are continually seeking to improve our environmental management practices at our Las Vegas headquarters. From efforts to reduce water consumption to participating in recycling programs, we are working to reduce our environmental impact.</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Supporting Our Employees and Communities</w:t>
      </w:r>
      <w:r>
        <w:rPr>
          <w:rFonts w:ascii="Times New Roman" w:cs="Times New Roman" w:eastAsia="Times New Roman" w:hAnsi="Times New Roman"/>
          <w:sz w:val="14"/>
          <w:szCs w:val="14"/>
          <w:color w:val="auto"/>
        </w:rPr>
        <w:t>. We are dedicated to serving our employees and their families, and supporting our local communities. We value our talented workforce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contributions our employees make each day. We are dedicated to attracting, developing, and retaining talented teams through competitive compensation and benefits. We believe in the importance of volunteerism and philanthropy to strengthen and engage local communities across our companies. Through local community involvement, corporate initiatives, and philanthropic giving, we work hard each day to support the communities we all live in.</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Operating Ethically</w:t>
      </w:r>
      <w:r>
        <w:rPr>
          <w:rFonts w:ascii="Times New Roman" w:cs="Times New Roman" w:eastAsia="Times New Roman" w:hAnsi="Times New Roman"/>
          <w:sz w:val="14"/>
          <w:szCs w:val="14"/>
          <w:color w:val="auto"/>
        </w:rPr>
        <w:t>. We are committed to strong governance systems and policies that are designed to ensure fair, transparent, and efficient business practices. Our reputation for integrity is one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most important assets and each of our employees and directors is expected to contribute to the care and preservation of that asset. We operate in ways that we believe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Regarding Forward-Looking Information</w:t>
      </w:r>
    </w:p>
    <w:p>
      <w:pPr>
        <w:spacing w:after="0" w:line="96"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4"/>
          <w:szCs w:val="14"/>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our external management structure and the Management Services Agreement;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in "Risk Factors" below and elsewhere in this document and in our other filings with the SEC.</w:t>
      </w:r>
    </w:p>
    <w:p>
      <w:pPr>
        <w:spacing w:after="0" w:line="94" w:lineRule="exact"/>
        <w:rPr>
          <w:sz w:val="20"/>
          <w:szCs w:val="20"/>
          <w:color w:val="auto"/>
        </w:rPr>
      </w:pPr>
    </w:p>
    <w:p>
      <w:pPr>
        <w:jc w:val="both"/>
        <w:ind w:firstLine="279"/>
        <w:spacing w:after="0" w:line="287"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56"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External Management Structure and Our Manager</w:t>
      </w:r>
    </w:p>
    <w:p>
      <w:pPr>
        <w:spacing w:after="0" w:line="9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Management Service Agreement was negotiated between related parties and the terms, including fees payable, may not be as favorable to us as if it were negotiated with an unaffiliated third party.</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Because our Manager is owned by our Chairman and Chief Executive Officer ("CEO"), Mr. Foley, and in the past was also owned by certain of our directors and executive officers, the Management Services Agreement was developed by related parties, although our independent directors reviewed and approved the Management Services Agreement. The terms of the Management Services Agreement, including fees payable, may not reflect the terms we may have received if it was negotiated with an unrelated third party. In addition, particularly as a result of our relationship with the present and past principal owners of the Manager, who are or were certain directors and members of our management team, our independent directors may determine that it is in the best interests of our shareholders not to enforce, or to enforce less vigorously, our rights under the Management Services Agreement because of our desire to maintain our ongoing relationship with our Manager.</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and directors may allocate some of their time to other businesses, thereby causing conflicts of interest in their determination as to how much time to devote to our affairs, which may materially adversely affect our results of operations.</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the members of our management team devote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Conflicts of interest could arise in connection with certain of our directors’ and executive officers’ discharge of fiduciary duties to our shareholders.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of our directors and executive officers are or were members of the Manager.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Manager and members of our management team may engage in activities that compete with us or our businesses.</w:t>
      </w:r>
    </w:p>
    <w:p>
      <w:pPr>
        <w:spacing w:after="0" w:line="96"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While the members of our management team intend to devote a substantial majority of their time to the affairs of the Company, and while our Manager currently does not manage any other businesses that are in lines of business similar to our businesses, neither our management team nor our Manager is expressly prohibited from investing in or managing other entities, including those that are in the same or similar line of business as our businesses, or required to present any particular acquisition or business opportunity to the Company. In this regard, the Management Services Agreement and the obligation thereunder to provide management services to us will not create a mutually exclusive relationship between our Manager, on the one hand, and the Company, on the other.</w:t>
      </w:r>
    </w:p>
    <w:p>
      <w:pPr>
        <w:spacing w:after="0" w:line="2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Manager has the right, under the Management Services Agreement, to resign at any time on 180 days’ written notice, whether we have found a replacement or not, subject to the Company’s right to extend such period by an additional 180 days or until a replacement manager has been in place for 30 days, if no replacement manager has been found by the 150th day following the Manager’s notice of resignation. If our Manager resigns, we may not be able to contract with a new manager or hire internal management with similar expertise and ability to provide the same or equivalent services on acceptable terms within 180 days (subject to possible extension),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institution or group of executives having the expertise possessed by our Manager.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Restaurant Group</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their guest counts, sales and profit margins could decline, which could have a material adverse effect on our business, financial condition and results of operations.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advertisement, to establish concept recognition, our restaurant businesses may be more adversely affected by negative customer experiences than other dining establishments, including those of our restaurant businesses' competitors.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any person becomes injured or ill, or alleges becoming injured or ill, as a result of eating our Restaurant Group companies' food, our Restaurant Group companies may temporarily close some restaurants,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the Restaurant Group depends, in part, on its intellectual property, which we may be unable to protect.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Our policy is to pursue registration of our marks whenever possible and to oppose vigorously any infringement of our marks.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Dun &amp; Bradstreet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D&amp;B faces significant competition for its solutions, which may increase as D&amp;B expands its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D&amp;B faces significant competition for its solutions. D&amp;B competes on the basis of differentiated solutions, datasets, analytics capabilities, ease of integration with its clients’ technology, stability of services, client relationships, innovation and price. D&amp;B's global and regional competitors vary in size, financial and technical capability, and in the scope of the products and services they offer. Some of D&amp;B's competitors may be better positioned to develop, promote and sell their products and services. Larger competitors may benefit from greater cost efficiencies and may be able to win business simply based on pricing. D&amp;B's competitors may also be able to respond to opportunities before it does, by taking advantage of new technologies, changes in client requirements or market trends. In addition, D&amp;B faces competition from non-traditional and free data sources.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Many of D&amp;B's competitors have extensive client relationships, including relationships with D&amp;B's current and potential clients. New competitors, or alliances among competitors, may emerge and gain significant market share. Existing or new competitors may develop products and services that are superior to D&amp;B's solutions or that achieve greater acceptance than D&amp;B's solutions. If D&amp;B is unable to respond to changes in client requirements as quickly and effectively as its competition, D&amp;B's ability to expand its business and sell its solutions may be adversely affected.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Additionally, D&amp;B's competitors often sell services at lower prices than it does, individually or as part of integrated suites of several related services. This may cause D&amp;B's clients to purchase from its competitors rather than from D&amp;B, which could result in reduced prices for certain solutions or the loss of clients. Price reductions by D&amp;B's competitors could also negatively impact its operating margins or harm its ability to obtain new long-term contracts or renewals of existing contracts on favorable terms. Additionally, some of D&amp;B's clients may develop their own solutions that replace the solutions they currently purchase from D&amp;B or look to new technologies, which could result in lower revenue.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D&amp;B's D-U-N-S Number and D&amp;B's ability to link its data together with this unique identifier provides it with a strategic advantage by allowing for a global, end-to-end assessment of businesses throughout the world. However, some of D&amp;B's competitors and clients utilize their own unique identifiers, and clients have and may continue to adopt alternative standards to D&amp;B's D-U-N-S Number and stop using D&amp;B's solutions. In addition, public and commercial sources of free or relatively inexpensive business information have become increasingly available and this trend is expected to continue. To the extent the availability of free or relatively inexpensive business information increases, the demand for some of D&amp;B's solutions may decrease. If more clients adopt alternative standards to the D-U-N-S Number or look to these other sources of data, it could have a material adverse effect on D&amp;B's business, financial condition and results of operations.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D&amp;B also expect that there will be significant competition as it expands its business, and it may not be able to compete effectively against current and future competitors. If it is unable to compete successfully, it could have a material adverse effect on its business, financial condition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in the integrity of D&amp;B's data, models, or the systems upon which it relies could harm its brand and result in a loss of sales and an increase in legal claims.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reliability of D&amp;B's solutions is dependent upon the integrity of the data in its global datastores as well as its models, including scores and other analytics. D&amp;B utilizes single source providers in certain countries to support the needs of its clients globally and relies on members of its world-wide network to provide local data in certain countries. A failure in the integrity of D&amp;B's datastores, or an inability to ensure that its usage of data is consistent with any terms or restrictions on such use, whether inadvertently or through the actions of a third party, could harm D&amp;B by exposing it to client or third-party claims or by causing a loss of client confidence in its solutions. For example, D&amp;B licenses data from third parties for inclusion in the data solutions that it sells to its clients, and while D&amp;B has guidelines and quality control requirements in place, it does not have absolute control over such third parties’ data collection and compliance practices. D&amp;B may experience an increase in risks to the integrity of its datastores as it acquires content through the acquisition of companies with existing databases that may not be of the same quality or integrity as D&amp;B's existing datastores.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there are continuous improvements in computer hardware, network operating systems, programming tools, programming languages, operating systems, data matching, data filtering and other database technologies and the use of the internet as well as emergence of new technologies. These improvements, as well as changes in client preferences or regulatory requirements or transitions to non-traditional or free data sources or new technologies, may require D&amp;B to make changes in the technology it uses to gather and process its data and deliver its solutions. Further, D&amp;B relies on third-party technology contractors that have extensive knowledge of its systems and database technologies. The loss of these third-party contractors could negatively affect D&amp;B's ability to maintain and improve its systems. D&amp;B's success will depend, in part, upon its ability to:</w:t>
      </w:r>
    </w:p>
    <w:p>
      <w:pPr>
        <w:spacing w:after="0" w:line="58"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internally develop and implement new and competitive technologies;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leading third-party technologies and contractors effectively;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changing client needs and regulatory requirements, including being able to bring new solutions to the market quickly;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clients and data sources successfully to new interfaces or other technologies.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D&amp;B may not successfully implement new technologies, cause clients or data suppliers to implement compatible technologies or adapt its technology to evolving client, regulatory and competitive requirements. If D&amp;B fails to respond, or fails to cause its clients or data suppliers to respond, to changes in technology, regulatory requirements or client preferences, the demand for D&amp;B's solutions, the delivery of D&amp;B's solutions or D&amp;B's market reputation could be adversely affected. Additionally, D&amp;B's failure to implement important updates or the loss of key third-party technology consultants could affect its ability to successfully meet the timeline for it to generate cost savings resulting from its investments in improved technology. Failure to achieve any of these objectives would impede D&amp;B's ability to deliver strong financial results.</w:t>
      </w:r>
    </w:p>
    <w:p>
      <w:pPr>
        <w:spacing w:after="0" w:line="5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Although D&amp;B is continually evolving the systems upon which it relies to sustain delivery of its solutions, meet client demands and support the development of new solutions and technologies, certain of D&amp;B's existing infrastructure is comprised of complex legacy technology that requires time and investment to upgrade without disruption to its business. D&amp;B has in the past been subject to client and third-party complaints and lawsuits regarding its data, which have occasionally been resolved by the payment of monetary damages. D&amp;B has also licensed, and it may license in the future, proprietary rights to third parties. While D&amp;B attempts to ensure that the quality of its brand is maintained by the third parties to whom it grants such licenses and by clients, they may take actions that could materially adversely affect the value of D&amp;B's proprietary rights or reputation, which could have a material adverse effect on D&amp;B's business, financial condition and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D&amp;B could lose its access to data sources or ability to transfer data across the data sources in markets it operates, which could prevent D&amp;B from providing its solutions.</w:t>
      </w:r>
    </w:p>
    <w:p>
      <w:pPr>
        <w:spacing w:after="0" w:line="85"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 xml:space="preserve">D&amp;B's solutions depend extensively upon continued access to and receipt of data from external sources, including data received from clients, strategic partners and various government and public records repositories. In some cases, D&amp;B competes with its data providers. D&amp;B's data providers could stop providing data, restrict the scope of data to which they have access, provide untimely data or increase the costs for their data for a variety of reasons, including changing regulatory requirements, judicial decisions, a perception that its systems are unsecure as a result of data security incidents, budgetary constraints, a desire to generate additional revenue or for regulatory or competitive reasons. European regulators and the European Commission have adopted prescriptive measures for assessing and demonstrating that all cross-border data transfers comply with the Court of Justice of the European Union ruling in Case 311/18 Data Protection Commission v Facebook Ireland and Maximillian Schrems ("Schrems II"), </w:t>
      </w:r>
      <w:r>
        <w:rPr>
          <w:rFonts w:ascii="Times New Roman" w:cs="Times New Roman" w:eastAsia="Times New Roman" w:hAnsi="Times New Roman"/>
          <w:sz w:val="14"/>
          <w:szCs w:val="14"/>
          <w:color w:val="181717"/>
        </w:rPr>
        <w:t>and China adopted its own restrictions on cross-border data transfers under its new DSL and PIPL data compliance laws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 xml:space="preserve">supplemental measures in China requiring prior authorization for certain data transfers as well as regulatory enforcement decisions and opinions have been adopted pursuant to these laws. In 2024, the U.S. adopted its own version of data export controls under Executive Order 14117 and associated regulation promulgated thereunder as well as the Protecting Americans' Data from Foreign Adversaries Act. Other countries have adopted or may adopt similar measures restricting or placing additional regulatory burdens on cross-border data transfers. </w:t>
      </w:r>
      <w:r>
        <w:rPr>
          <w:rFonts w:ascii="Times New Roman" w:cs="Times New Roman" w:eastAsia="Times New Roman" w:hAnsi="Times New Roman"/>
          <w:sz w:val="14"/>
          <w:szCs w:val="14"/>
          <w:color w:val="000000"/>
        </w:rPr>
        <w:t>As a result of these developments and</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 xml:space="preserve">related regulatory decisions, D&amp;B has become and may become subject to further increased restrictions or mandates on the collection, disclosure or use or transfer of such data, in particular if such data is not collected by D&amp;B's providers in a way that allows it to legally use the data or cannot be transferred out of the country where it has been collected. D&amp;B may not be successful in maintaining its relationships with these external data source providers or be able to continue to obtain data from them on acceptable terms or at all. Furthermore, D&amp;B may not be able to obtain data from alternative sources if its current sources become unavailable. If D&amp;B were to lose access to this external data or if its access or use were restricted or were to become less economical or desirable, D&amp;B's ability to provide solutions could be negatively impacted, which could have a material adverse effect on its business, financial condition and results of operations. </w:t>
      </w:r>
      <w:r>
        <w:rPr>
          <w:rFonts w:ascii="Times New Roman" w:cs="Times New Roman" w:eastAsia="Times New Roman" w:hAnsi="Times New Roman"/>
          <w:sz w:val="14"/>
          <w:szCs w:val="14"/>
          <w:color w:val="181717"/>
        </w:rPr>
        <w:t>Additionally, due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181717"/>
        </w:rPr>
        <w:t>to data transfer restrictions, existing and prospective D&amp;B clients may be reluctant to acquire or use data that is subject to these restrictions, and it may be limited in its ability to provide solutions to customers across markets, which may impede D&amp;B's growth.</w:t>
      </w:r>
    </w:p>
    <w:p>
      <w:pPr>
        <w:spacing w:after="0" w:line="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D&amp;B is subject to various and a rapidly increasing number of governmental regulations, laws and orders, including a 20-year consent order with the U.S. Federal Trade Commission ("FTC"), compliance with which may cause D&amp;B to incur significant expenses or reduce the availability or effectiveness of its solutions, and the failure to comply with which could subject D&amp;B to civil or criminal penalties or other liabilities.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D&amp;B is subject to an increasing number of government regulations affecting the collection, processing, and sale of its data-driven solutions, such as the FTC Act and the California Consumer Privacy Act of 2018 ("CCPA"), as amended by the California Privacy Rights Act ("CPRA"), existing and expected rules and regulations in various U.S. states governing the collection, processing and protection of data, privacy rights, data security breach notification and related matters, the General Data Protection Regulation ("GDPR") and certain credit information laws and permits as well as constitutional requirements in the European Union, the Cyber Security Law, DSL, and PIPL, and new AI regulations in the U.S., EU, and China new data export laws and regulations. See "Business —Regulatory Matters" for a description of select regulatory regimes to which D&amp;B is subject.</w:t>
      </w:r>
    </w:p>
    <w:p>
      <w:pPr>
        <w:spacing w:after="0" w:line="5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These laws and regulations, which generally are designed to protect information relating to individuals and small businesses, the data rights of individuals, national security, and to prevent the unauthorized collection, access to and use of personal or confidential information available in the marketplace and prohibit certain deceptive and unfair acts, are complex and have tended to become more stringent over time, but have begun to accelerate in their adoption and applicability to its business. Further, new laws and regulations are likely to be enacted and existing laws and regulations may change or be interpreted and applied differently over time and from jurisdiction to jurisdiction, and it is possible they will be interpreted and applied in ways that will materially and adversely affect D&amp;B's business. New and amended data protection, privacy, credit, data security, artificial intelligence, economic sanctions, export control and ESG legislation that may impact Dun &amp; Bradstreet has also been proposed both in the U.S. and internationally. D&amp;B incurs significant expenses in their effort to ensure compliance with these laws, and those expenses may increase as new laws or regulations are enacted or the interpretation and application of existing laws and regulations change.</w:t>
      </w:r>
    </w:p>
    <w:p>
      <w:pPr>
        <w:spacing w:after="0" w:line="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September 21, 2021, D&amp;B agreed to enter into an Agreement Containing Consent Order (the "FTC Consent Order") subject to acceptance by the FTC, the approval of which was finalized on April 6, 2023. The FTC Consent Order requires that D&amp;B undertake specific compliance practices, recordkeeping, monitoring and reporting during its term, which ends on April 6, 2042. D&amp;B's compliance with the FTC Consent Order may cause them to incur significant expenses or to reduce the availability or effectiveness of their solutions. Failure to comply with the FTC Consent Order could subject D&amp;B to civil or criminal penalties or other liabilities.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required by the Consent Order, D&amp;B has provided regular reporting to the FTC regarding its compliance with the Consent Order and timely complied with and responded to all FTC requests for information. In November 2024, the FTC sent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D&amp;B notice regarding alleged violations of the Consent Order and a potential FTC enforcement action. D&amp;B is discussing a potential resolution of the matter with the FTC.</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March 17, 2023, D&amp;B, along with four other industry peers, were served by the FTC with an Order under Section 6(b) of the FTC Act (the "6(b) Order"), which authorizes the FTC to conduct wide-ranging studies that do not have a specific law enforcement purpose, in connection with the FTC’s inquiry into the small business credit reporting industry. Certain requirements of the 6(b) Order relate to subject matter similar to the scope of the FTC Consent Order. The FTC’s 6(b) inquiry is expected to examine various aspects of the collection, processing, and quality of information concerning small businesses for purposes of business credit reports and other business risk solutions, as well as the marketing and commercial practices related to such solutions, and various related matters. At this time, it is unclear what action, if any, the FTC may take with respect to its findings from its inquiry. It is possible that the FTC’s findings could result in FTC rule making or other action that may impact D&amp;B's business.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Some new U.S. state laws are intended to provide consumers (including sole proprietors) with greater transparency and control over their personal data as well as to provide additional obligations and duties for businesses. These laws place requirements on a broad scope of data sales and processing, which are likely to affect D&amp;B's business. Additionally, the duties and obligations for data handling, time sensitive privacy rights management, assessments, contracts, and similar requirements are expected to create more operational burdens on D&amp;B's business. D&amp;B anticipates that additional state and/or federal legislation in the U.S. relating to these matters will be enacted in the future and that our operations will need to continue to evolve to accommodate unique considerations across jurisdictions.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legal and regulatory developments also could have a material adverse effect on D&amp;B's business, financial condition or results of operations:</w:t>
      </w:r>
    </w:p>
    <w:p>
      <w:pPr>
        <w:spacing w:after="0" w:line="94" w:lineRule="exact"/>
        <w:rPr>
          <w:sz w:val="20"/>
          <w:szCs w:val="20"/>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cultural and consumer attitudes in favor of further restrictions on information collection use and transfer, which may lead to regulations that prevent full utilization of our solutions and impair D&amp;B's ability to transfer data across borders;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data suppliers, third-party processors, or clients to comply with laws or regulations, where mutual compliance is required or where D&amp;B's ability to comply is dependent on the compliance of those parties;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D&amp;B's solutions to comply with current laws and regulations or the requirements of the FTC Consent Order;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adapt D&amp;B's solutions to changes in the regulatory environment in an efficient, cost-effective manner. This would include the failure to modify existing solutions, or new solutions created internally or acquired through mergers, to comply with existing or evolving legal requirements.</w:t>
      </w:r>
    </w:p>
    <w:p>
      <w:pPr>
        <w:spacing w:after="0" w:line="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Changes in applicable legislation or regulations that restrict or dictate how D&amp;B collects, maintains, combines and disseminates information could have a material adverse effect on D&amp;B's business, financial condition or results of operations. In the future, D&amp;B may be subject to significant additional expense to ensure continued compliance with applicable laws and regulations and to investigate, defend or remedy actual or alleged violations. Moreover, D&amp;B's compliance with privacy and other data laws and regulations and D&amp;B's reputation depend in part on its clients’ and business partners’ adherence to such laws and regulations and their use of D&amp;B's solutions in ways consistent with client expectations and regulatory requirements. Businesses today are under intense scrutiny to comply with an ever-expanding and evolving set of data regulatory requirements, which can vary by geography and industry served. As such, performing adequate diligence on clients and suppliers can be cumbersome and dampen the pace of their business expansion or leave a business exposed to fines and penalties. Further, certain of the laws and regulations governing D&amp;B's business are subject to interpretation by judges, juries and administrative entities, creating substantial uncertainty for its business. D&amp;B cannot predict what effect the interpretation of existing or new laws or regulations may have on its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Alight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Alight faces significant competition and its failure to compete successfully could have a material adverse effect on the financial condition and results of operations of its business.</w:t>
      </w:r>
    </w:p>
    <w:p>
      <w:pPr>
        <w:spacing w:after="0" w:line="9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Alight's competitors may have greater resources, larger customer bases, greater name recognition, stronger presence in certain geographies and more established relationships with their customers and suppliers than it has. In addition, new competitors, alliances among competitors or mergers of competitors could result in Alight's competitors gaining significant market share and some of Alight's competitors may have or may develop a lower cost structure, adopt more aggressive pricing policies or provide services that gain greater market acceptance than the services that Alight offers or develops. Large and well-capitalized competitors may be able to respond to the need for technological changes (including the implementation of AI and Machine Learning ("ML")) and innovate faster, or price their services more aggressively. They may also compete for skilled professionals, finance acquisitions, fund internal growth and compete for market share more effectively than Alight does. If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Alight is unable to compete successfully, it could lose market share and clients to competitors, which could materially adversely affect its results of operations. To respond to increased competition and pricing pressure, Alight may have to lower the cost of its solutions or decrease the level of service provided to clients, which could have an adverse effect on its financial condition or results of operations.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Alight relies on complex information technology systems and networks to operate its business. Any significant system or network disruption could expose Alight to legal liability, impair its reputation or have a negative impact on its operations, sales and operating results and could expose Alight to litigation and negatively impact our relationships with clients.</w:t>
      </w:r>
    </w:p>
    <w:p>
      <w:pPr>
        <w:spacing w:after="0" w:line="3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Alight relies on the efficient, uninterrupted and secure operation of complex information technology systems, and networks and data centers, some of which are within its business and some of which are outsourced to third-party providers, including cloud infrastructure service providers such as Amazon Web Services ("AWS") and Microsoft Azure Cloud. Alight does not have control over the operations of such third parties. Alight also may decide to employ additional offsite data centers in the future to accommodate growth. Problems faced by Alight's data center locations, with the telecommunications network providers with whom Alight or such providers contract, or with the systems by which Alight's telecommunications providers allocate capacity among their clients, including Alight, could adversely affect the availability and processing of Alight's solutions and related services and the experience of Alight's clients. If Alight's data centers are unable to keep up with its growing needs for capacity, this could have an adverse effect on Alight's business and cause it to incur additional expense. In addition, any financial difficulties faced by Alight's third-party data center’s operator or any of the service providers with whom Alight or such providers contract may have negative effects on Alight's business, the nature and extent of which are difficult to predict. These facilities are vulnerable to damage or interruption from catastrophic events, such as earthquakes, hurricanes, floods, fires, cyber security attacks (including "ransomware" and phishing attacks), terrorist attacks, power losses, telecommunications failures and similar events. The risk of cyber-attacks could be exacerbated by geopolitical tensions, including the ongoing Russia-Ukraine conflict, or other hostile actions taken by nation-states and terrorist organizations. While Alight has adopted, and continues to enhance, business continuity and disaster recovery plans and strategies, there is no guarantee that such plans and strategies will be effective, which could interrupt the functionality of our information technology systems or those of third parties. The occurrence of a natural disaster (or other extreme weather as a result of climate change) or an act of terrorism, a decision to close the facilities without adequate notice, or other unanticipated problems could result in lengthy interruptions in Alight's services and solutions. The facilities also could be subject to break-ins, computer viruses, sabotage, intentional acts of vandalism and other misconduct. Any errors, failures, interruptions or delays experienced in connection with these third-party technologies and information services, or Alight's own systems, could negatively impact Alight's relationships with customers and adversely affect its business and could expose it to third-party liabilities. Any errors, defects, disruptions or other performance problems with our information technology systems including any changes in service levels at Alight's third-party data center could adversely affect its reputation and may damage its clients’ stored files or result in lengthy interruptions in its services. Interruptions in Alight's services might reduce its revenues, subject it to potential liability or other expenses or adversely affect its renewal rates.</w:t>
      </w:r>
    </w:p>
    <w:p>
      <w:pPr>
        <w:spacing w:after="0" w:line="6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relation to Alight's third-party data centers, while Alight owns, controls and has access to its servers and all of the components of its network that are located in these centers, Alight does not control the operation of these facilities. The operators of Alight's third-party data center facilities have no obligation to renew their agreements with Alight on commercially reasonable terms, or at all. If Alight is unable to renew these agreements on commercially reasonable terms, or if the data center operators are acquired, Alight may be required to transfer its servers and other infrastructure to new data center facilities, and Alight may incur costs and experience service interruption in doing so.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applicable laws and regulations including changes in such laws and regulations, their application and their interpretation, could have an adverse effect on Alight's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Alight's business is subject to extensive legal and regulatory oversight throughout the world including a variety of laws, rules, and regulations addressing, among other things, licensing, data privacy and protection, wage and hour standards, employment and labor relations, occupational health and safety, environmental matters, anti-competition, anti-corruption, anti-money laundering, language requirements, economic sanctions, currency, reserves and government contracting. This legal and regulatory oversight could reduce Alights profitability or limit its growth by increasing the costs of legal and regulatory compliance; by limiting or restricting the products or services it sells, the markets it enters, the methods by which it sells its services, the prices it can charge for our services, and the form of compensation it can accept from its clients and third parties; or by subjecting its business to the possibility of legal and regulatory actions or proceedings.</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global nature of Alight's operations increases the complexity and cost of compliance with laws and regulations, including training and employee expenses, adding to its cost of doing business. In addition, many of these laws and regulations may have differing or conflicting legal standards across jurisdictions, increasing further the complexity and cost of compliance. In emerging markets and other jurisdictions with less developed legal systems, local laws and regulations may not be established with sufficiently clear and reliable guidance to provide us adequate assurance that Alight is operating its business in a compliant manner with all required licenses or that our rights are otherwise protected.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certain laws and regulations, such as the U.S. Foreign Corrupt Practices Act and similar laws in other jurisdictions in which Alight operates, could impact its operations outside of the legislating country by imposing requirements for the conduct of overseas operations, and in a number of cases, requiring compliance by foreign subsidiaries. Alight is also subject to economic and trade sanctions programs, including those administered by the U.S. Treasury Department’s Office of Foreign Assets Control ("OFAC"), which prohibit or restrict transactions or dealings with specified countries, their governments, and in certain circumstances, their nationals, and with individuals and entities that are specially designated.</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Alight's employees, consultants or agents may still take actions in violation of its policies for which it may be ultimately responsible, or its policies and procedures may be inadequate or may be determined to be inadequate by regulators. Any violations of applicable anti-corruption, economic and trade sanctions or anti-money laundering laws or regulations could limit certain of Alight's business activities until they are satisfactorily remediated and could result in civil and criminal penalties, including fines that could damage its reputation and have a materially adverse effect on its results of operation or financial condition. In addition to the complexity of the laws and regulations themselves, the development of new laws and regulations, changes in application or interpretation of laws and regulations and Alight's continued operational changes and development into new jurisdictions and new service offerings also increases Alight's legal and regulatory compliance complexity as well as the type of governmental oversight to which it may be subject. These changes in laws and regulations could mandate significant and costly changes to the way Alight implements its services and solutions or could impose additional licensure requirements or costs to Alight's operations and services, or limit its ability to mitigate risk. In addition, new regulatory or industry developments could create an increase in competition that could adversely affect Alight. These potential developments include:</w:t>
      </w:r>
    </w:p>
    <w:p>
      <w:pPr>
        <w:spacing w:after="0" w:line="64"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health and welfare plans including potential challenges or changes to the Patient Protection and Affordable Care Act, expansion of government-sponsored coverage through Medicare or the creation of a single payer system;</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defined contribution and defined benefit plans, including pension reform that could decrease the attractiveness of certain of our retirement products and services to retirement plan sponsors and administrators or have an unfavorable effect on Alight's ability to earn revenues from these products and services;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payroll processing and payments or withholding taxes or other required deductions;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requirements respecting data privacy and data usage in jurisdictions in which Alight operates that may increase its costs of compliance and potentially reduce the manner in which data can be used by Alight to develop or further its product offerings;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relating to fiduciary rules;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federal or state regulations relating to marketing and sale of Medicare plans, Medicare Advantage and Medicare Part D prescription drug plans;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regulations of producers, brokers, agents or third-party administrators such as the Consolidated Appropriations Act of 2021, that may alter operational costs, the manner in which Alight markets or is compensated for certain services or other aspects of Alight's business;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regulations or revisions to existing regulations promulgated by other regulatory bodies in jurisdictions in which Alight operates.</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For example, there have been, and likely will continue to be, legislative and regulatory proposals at the federal and state levels directed at addressing the availability of healthcare and containing or lowering the cost of healthcare. Although Alight cannot predict the ultimate content or timing of any healthcare reform legislation, potential changes resulting from any amendment, repeal or replacement of these programs, including any reduction in the future availability of healthcare insurance benefits, could adversely affect Alight's business and future results of operations. Further, the federal government from time to time considers pension reform legislation, which could negatively impact Alight's sales of defined benefit or defined contribution plan products and services and cause sponsors to discontinue existing plans for which Alight provides administrative or other services. Certain tax-favored savings initiatives that have been proposed could hinder sales and persistency of Alight's products and services that support employment-based retirement plans.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Alight's services are also the subject of ever-evolving government regulation, either because the services provided to or business conducted by Alight's clients are regulated directly or because third parties upon whom Alight relies on to provide services to its clients are regulated, thereby indirectly impacting the manner in which Alight provides services to those clients. Changes in laws, government regulations or the way those regulations are interpreted in the jurisdictions in which Alight operates could affect the viability, value, use or delivery of benefits and HR programs, including changes in regulations relating to health and welfare plans (such as medical), defined contribution plans (such as 401(k)), defined benefit plans (such as retirement or pensions) or payroll delivery, may adversely affect the demand for, or profitability of, Alight's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as Alight, and the third parties upon whom Alight relies, implement and expand direct-to-consumer sales and marketing solutions, Alight is subject to various federal and state laws and regulations that prescribe when and how Alight may market to consumers (including, without limitation, the Telephone Consumer Protection Act (the "TCPA") and other telemarketing laws and the Medicare Communications and Marketing Guidelines issued by the Center for Medicare Services of the U.S. Department of Health and Human Service). The TCPA provides for private rights of action and potential statutory damages for each violation and additional penalties for each willful violation. Alight has in the past and may in the future become subject to claims that it has violated the TCPA and/or other telemarketing laws. Changes to these laws could negatively affect Alight's ability to market directly to consumers or increase Alight's costs or liabilities.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Issues relating to the use of new and evolving technologies, such as Artificial Intelligence and Machine Learning, in Alight's offerings may result in reputational harm and liability.</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 quickly evolving social, legal and regulatory environment may cause Alight to incur increased operational and compliance costs, including increased research and development costs, or divert resources from other development efforts, to address potential issues related to usage of AI and ML. Alight is increasingly building AI and ML into many of its offerings including in its generative AI-enhanced Search and Chat function for Alight Worklife as well as its intelligent document processing tools. As with many cutting-edge innovations, AI and ML present new risks and challenges, and existing laws and regulations may apply to Alight in new ways, the nature and extent of which are difficult to predict. The risks and challenges presented by AI and ML could undermine public confidence in AI and ML, which could slow its adoption and affect Alight's business. Alight incorporates AI and ML into its offerings for use cases that could potentially impact civil, privacy, or employment benefit rights. Failure to adequately address issues that may arise with such use cases could negatively affect the adoption of Alight's solutions and subject it to reputational harm, regulatory action, or legal liability, which may harm its financial condition and operating results. Potential government regulation related to AI, including relating to ethics and social responsibility, may also increase the burden and cost of compliance and research and development. Employees, customers, or customers’ employees who are dissatisfied with Alight's public statements, policies, practices, or solutions related to the development and use of AI and ML may express opinions that could introduce reputational or business harm, or legal liability.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Black Knight Football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BKFC is dependent on the performance and popularity of its football clubs.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Black Knight Football's revenue is driven by the performance and popularity of its football clubs. BKFC's football clubs earn most of their revenue from media rights distributions from their domestic leagues which vary significantly depending on the level at which each club competes in their domestic league systems. For example, AFCB competes in the Premier League, the top league in the English football system. Relegation from the Premier League to lower tiers of the English Football League system would result in a significant decrease in the media rights revenue earned by AFCB. Relegation from the Premier League or a general decline in the success of AFCB, particularly in consecutive seasons, may also negatively affect AFCB's ability to attract or retain talented players and coaching staff, as well as supporters, sponsors and other commercial partners, which would have a material adverse effect on Black Knight Football's business, results of operations, financial condition and cash flow.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BKFC's business is dependent upon its ability to attract and retain key personnel, including players.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Black Knight Football is highly dependent on members of the management, coaching staff and players of its clubs. Competition for talented players and staff is, and will continue to be, intense. BKFC's ability to attract and retain the highest quality players and coaching staff for its clubs is critical to the on field success of its clubs and, consequently, to its business, results of operations, financial condition and cash flow. A downturn in the performance of BKFC's clubs could adversely affect its clubs ability to attract and retain coaches and players. While Black Knight Football and its clubs enter into employment contracts with its key personnel, including players and coaches, with the aim of securing their services for the term of the contract, the retention of their services for the full term of the contract cannot be guaranteed due to possible contract disputes or approaches by other clubs. Black Knight Football's failure to attract and retain key personnel for each of its clubs could have a negative impact on its ability to effectively manage and grow its business.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Negotiation, pricing and terms of key media contracts are outside of Black Knight Football's control and those contracts may change in the future or expose it to certain risks.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significant majority of the revenue of BKFC and its clubs is generated from the domestic and international media rights for domestic league matches. Contracts for these media rights and certain other revenue for those competitions are negotiated collectively by the domestic leagues in which BKFC's football clubs compete. BKFC and its clubs are generally not a party to the contracts negotiated by the domestic leagues. Further, BKFC and its clubs do not participate in and therefore do not have any direct influence on the outcome of contract negotiations. Although an agreement has been reached for the sale of Premier League domestic broadcasting rights in the UK through the end of the 2028/2029 football season, future agreements may not maintain the current level of broadcasting revenues. Furthermore, a change in credit quality at one of the media broadcasters for the domestic leagues in which BKFC's clubs compete could increase the risk that such counterparty is unable or unwilling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pay amounts owed to the domestic league and ultimately, BKFC's clubs. The failure of a major television broadcaster for the domestic league competitions to pay outstanding amounts owed to its respective league could have a material adverse effect on BKFC's business, results of operations, financial condition and cash flow.</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markets in which Black Knight Football operates are highly competitive and increased competition could adversely affect Black Knight Football's results of operations, financial condition and cash flow.</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Black Knight Football faces competition from other football clubs in England and Europe. In the domestic leagues in which BKFC's clubs operate, investment from wealthy team owners has led to teams with deep financial backing that are able to acquire top players and coaching staff, which could continue to result in increased competition for, and cost of, key personnel. As European football and particularly the Premier League continues to grow in popularity, the interest of wealthy potential owners may increase, leading to additional clubs substantially improving their financial position. Despite the pervasive adoption of financial monitoring rules on clubs in European domestic leagues and club competitions, European and Premier League football clubs are spending substantial resources on transfer fees and player salaries. Competition from top European football leagues, including the Premier League, has led to higher salaries for football players as well as increased competition on the field. The increase in competition could result in BKFC's football clubs finishing lower in their domestic leagues or being relegated to lower tiers of their domestic league systems, which could have a material adverse effect on Black Knight Football's results of operations, financial condition and cash flows.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Company's Structure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the Investment Company Act of 1940.</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employees devote their activities to these businesses. Based on these factors, we believe that we are not an investment company under the 40 Act, including by virtue of the exception from the definition of “investment company”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executive officers and members of our Board of Directors have or will have interests and positions that could present potential conflicts.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executive officers and members of our Board serve on the boards of directors of other entities or are employed by other entities, including but not limited to D&amp;B, Trasimene, Alight, System1, BKFC, CSI, Minden Mill and Watkins.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result of the foregoing, there may be circumstances where certain executive officers and directors may be subject to conflicts of interest with respect to, among other things: (i) our ongoing relationships with D&amp;B, Trasimene, Alight, System1, BKFC, CSI, Minden Mill or Watkins; (ii) business opportunities arising for any of us; and (iii) conflicts of time with respect to matters potentially or actually involving or affecting us. For example, from time to time, we may enter into transactions with such other entities and/or their respective subsidiaries or other affiliates. There can be no assurance that the terms of any such transactions will be as favorable to our company or any of our respective subsidiaries or affiliates as would be the case where there is no potential conflict of interest.</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have in place a code of business conduct and ethics prescribing procedures for managing conflicts of interest and our Chief Legal Officer, General Counsel and our related persons transaction committee are responsible for the review, approval or ratification of any potential conflicts of interest transactions. Additionally, we expect that interested directors will abstain from decisions with respect to conflicts of interest as a matter of practice. Our related person transaction committee and related person transaction policy governs all transactions with directors (and director nominees), executive officers, immediate family members of directors and executive officers, shareholders that own greater than 5% of any class of the Company's voting securities, our Manager, and generally any entity in which a director or officer of the Company controls. All transactions or series of transactions exceeding $120,000 with such persons or entities must be reviewed and approved by the related person transaction committee. The related person transaction committee consists of two independent directors and if a member of such committee is involved in a transaction under review, they are required to recuse themself from the review under our related person transaction policy.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O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to the Notes to Consolidated Financial Statements for more information regarding our related party relationships and transactions with our Manager and entities affiliated with certain members of our Board.</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inability of our material unconsolidated affiliates to maintain effective financial reporting processes may adversely impact our ability to report our results of operations or financial condition accurately and timely.</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key personnel could impair our operating abilities and could have a material adverse effect on our business, financial condition and results of operations.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may enter into employment agreements with our officers, there can be no assurance that the entire term of any employment agreement will be served or that any employment agreement will be renewed upon expiration.</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Improper access to, misappropriation, destruction or disclosure of confidential, personal or proprietary data could result in significant harm to our reputation or the reputation of any of the businesses we own.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example, D&amp;B collects, stores and transmits a large amount of confidential company information on hundreds of millions of businesses, including financial information and personal information, as well as certain consumer information and credit information. D&amp;B operates in an environment of significant risk of cybersecurity incidents resulting from unintentional events or deliberate attacks by third parties or insiders, which may involve exploiting highly obscure security vulnerabilities or sophisticated attack methods.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data warehousing or support analytics, finance or accounting systems, labor optimization tools, gift cards, online business and various other processes and transactions, including the storage of employee and customer information.</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businesses we own and manage have experienced and we expect will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subsidiary company’s reputation and cause it to lose clients, adversely impact its operations, sales and operating results and require it to incur significant expense to address and remediate or otherwise resolve such issues.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Furthermore, if we are unable to similarly and effectively maintain and upgrade our corporate system safeguards, data and confidential information we may have access to from time to time about the businesses we own and manage may also become more vulnerable to unauthorized access. We utilize a third party to manage the Company's corporate IT network and related resources and we actively collaborate with the third party to monitor risks and recent threats to our IT environment, develop protocols for responding to cybersecurity incidents, and train employees on common techniques used in cyber attacks. Our failure to adequately monitor our key third-party IT service provider could result in the failure of all or a portion of our IT resources and impact the operations of our business. Furthermore, loss of our third-party IT service provider could result in increased cost associated with acquiring new internal IT resources and developing internal IT processes.</w:t>
      </w:r>
    </w:p>
    <w:p>
      <w:pPr>
        <w:spacing w:after="0" w:line="5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For example, in the United States, D&amp;B is subject to laws that provide for at least 50 disparate notification regimes. D&amp;B is also subject to various laws in regulations in the other global markets it operates including Europe and Asia. Complying with such numerous and complex regulations in the event of unauthorized access would be expensive and difficult, and failure to comply with these regulations could subject D&amp;B to regulatory scrutiny and additional liability. 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and the European Union General Data Protection Regulation ("GDPR"). California also enacted legislation, the California Consumer Privacy Act of 2018 ("CCPA") and the related California Privacy Rights Act ("CPRA"), that afford California residents expanded privacy protections and a private right of action for security breaches affecting their personal information. Virginia and Colorado have similarly enacted comprehensive privacy laws, the Consumer Data Protection Act and Colorado Privacy Act, respectively, both laws of which emulate the CCPA and CPRA in many respects. The Virginia Consumer Data Protection Act took effect on January 1, 2023, and the Colorado Privacy Act took effect on July 1, 2023. We anticipate federal and state regulators to continue to consider and enact regulatory oversight initiatives and legislation related to privacy and cybersecurity.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 Further, regulatory initiatives in the area of data protection are more frequently including provisions allowing authorities to impose substantial fines and penalties, and therefore, failure to comply could also have a significant financial impact.</w:t>
      </w:r>
    </w:p>
    <w:p>
      <w:pPr>
        <w:spacing w:after="0" w:line="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Cannae or its businesses are unable to protect their computer systems, software, networks, data and other technology assets it could have a material adverse effect on the value of our businesses, and ultimately, our financial condition and results of operations.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due diligence process that we undertake in connection with new acquisitions may not reveal all facts that may be relevant in connection with acquisitions of ownership interests and we may not realize the anticipated benefits from past or potential future acquisitions, strategic transactions, investments, or our business model.</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 As a result, we may not realize the benefits from our acquisitions that we anticipated at the time of our diligence and initial consummation of transactions.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make acquisitions in lines of business that are not directly tied to or synergistic with our current subsidiary companies. Accordingly, we may in the future acquire businesses in industries or geographic areas with which management is less familiar than we are with our current businesses.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reduces our earnings during the quarter in which it is incurred, or may not generate sufficient financial return to offset acquisition costs.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often pursue opportunities that involve business, regulatory, legal or other complexities,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As an element of our strategy, we may pursue unusually complex opportunities. This could often take the form of substantial business, regulatory or legal complexity. Our tolerance for complexity may present risks, and as such, transactions can be more difficult, expensive and time-consuming 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2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certain of our ownership interests may adversely affect our business.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invest, and will continue to invest, in companies whose securities are not publicly traded and whose securities will be subject to legal and other restrictions on resale or will otherwise be less liquid than publicly traded securities. The illiquidity of ownership interests with these characteristics may make it difficult for us to sell these positions when desired. In addition, if we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Articles of Incorporation and Nevada law may discourage, delay or prevent a change of control of our Company or changes in our management, which could have the result of depressing the trading price of our common stock.</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Certain anti-takeover provisions of Nevada law could have the effect of delaying or preventing a third-party from acquiring us, even if the acquisition arguably could benefit our stockholders.</w:t>
      </w:r>
    </w:p>
    <w:p>
      <w:pPr>
        <w:spacing w:after="0" w:line="9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Nevada law also provides that directors may resist a change or potential change in control if the directors determine that the change is opposed to, or not in the best interests of, the corporation. The existence of the foregoing provisions and other potential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consolidated financial statements include estimates made by management and actual results could differ materially from those estimates.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fair value measurements and accounting for income taxes. Actual results could differ from estimates. See Item 8 of Part II of this Annual Report for further discussion.</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record many of our ownership interests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we determine that there are indicators that the book value of any of our equity-method investments are not recoverable, we are required to estimate the fair value of the ownership interest. Determining the fair value of our non-public businesses is subjective and involves the use of estimates. If we determine the fair value of any of our ownership interests is less than its recorded book value, we may be required to record an impairment charge, which could have a material adverse effect on our results of operations. See further discussion of our policies and process for monitoring impairment in Item 7 of Part II of this Annual Report under the header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operations of certain of our ownership interests including D&amp;B, Alight and BKFC may subject us to risks that could negatively affect our business.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These risks, which can vary substantially by country, include political, financial or social instability or conditions, geopolitical events, corruption, social unrest, natural disasters, military conflicts and terrorism, as well as exposure to the macroeconomic environment in such markets (including consumer preferences and spending, unemployment levels, wage and commodity inflation and foreign exchange rate fluctuations), the regulatory environment (including the risks of operating in markets in which there are uncertainties regarding the interpretation and enforceability of legal requirements and the enforceability of contract rights and intellectual property rights), and income and non-income based tax rates and laws. Adverse changes in any of these factors may materially adversely impact the businesses and value of our ownership interests in D&amp;B, Alight and BKFC.</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Changing rules, public disclosure regulations and stakeholder expectations on environmental, social and corporate governance related matters create a variety of risks for our business.</w:t>
      </w:r>
    </w:p>
    <w:p>
      <w:pPr>
        <w:spacing w:after="0" w:line="96"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In addition to the changing rules and regulations related to environmental, social and governance matters imposed by governmental and self-regulatory organizations such as the SEC and the New York Stock Exchange,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6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6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At Cannae, the board of directors oversees management’s process for identifying and mitigating risks, including cybersecurity risks. Senior leadership, including our Chief Information Security Officer ("CISO"), works diligently to identify, assess and manage material risks through our Enterprise Risk Management ("ERM") program. As part of that program, we conduct risk assessments to identify and assess our material business, operational and environmental risks and works with our management team to develop strategies and plans to mitigate and manage those risks, including cybersecurity risks related to the use of third-party service providers.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ERM program is overseen by a group of highly-qualified individuals and is tailored to the unique structure of our business. As a holding company with a small group of highly qualified employees, we are well positioned to maintain operations in the event of a disaster or a material disruption to our information technology ("IT") infrastructure and networks. Our CISO has extensive information technology, cybersecurity and program management experience as do many of the employees in the information security group for our third-party provider. Our CISO, as well as others in our third-party provider's information security group, hold certifications such as the Certified Information System Security Professional certification. Each of our various businesses separately maintains business continuity functions that adhere to the unique requirements of their business.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an ongoing basis, management assesses the cybersecurity risks of Cannae and aligns its procedures and its audit plan with the identified and addressable risks. The underlying controls of the cyber risk management program are based on the recognized standards as outlined in the National Institute of Standards and Technology ("NIST") Cybersecurity Framework. We utilize a third party to manage our IT network and processes and our ERM personnel work directly with the provider on all aspects of the Company's IT infrastructure and cybersecurity risks. Risks are evaluated over various timeframes; however, the focus of management’s risk assessment is on risks to the long-term solvency and sustainability of the ongoing operations of Cannae. Risks with the potential for an adverse impact to the Company in the near term are prioritized to the extent they present a material risk to the financial viability of the Company.</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apply a comprehensive approach to the mitigation of identified security risks, including monitoring our third-party IT service provider and management of our unconsolidated affiliates. As a holding company with relatively low volumes of personnel and third-party data, we have established policies, procedures and controls, including those related to privacy, information security and cybersecurity, and we employ a broad and diversified set of IT risk monitoring and risk mitigation techniques tailored to the unique nature of our business, including threat and vulnerability management, security monitoring,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identity and access management, phishing awareness, risk oversight, third-party risk management, disaster recovery and business continuity management.</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of a cybersecurity incident, we have established protocols for management's response to incidents and we regularly test those protocols with appropriate management personnel. Such protocols include an incident response playbook with the assessment of cybersecurity risks and procedures and hierarchies for escalating and reporting incidents to executive management, the board of directors, investors, government agencies and the general public.</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employees at our consolidated companies are the strongest assets in protecting information and mitigating risk. We monitor the security practices of our employees, including training programs that focus on applicable privacy, security, legal, and regulatory requirements that provide ongoing enhancement of their respective security and risk cultures. Our employees participate in an annual Information Security Training.</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Board administers its risk oversight function directly and through committees and our Board has a strong focus on cybersecurity. Our approaches to cybersecurity and privacy are overseen by the audit committee. At each regular meeting of the audit committee of our Board, management provides reports relating to existing and emerging risk at our companies, including, as appropriate, cyber and data security risks, and any security incidents. At least annually (or more frequently in the event of material changes to the Company) the update to the audit committee includes a summary of management’s complete reassessment of the Company’s risk and control environment identified through our ERM program. Our audit committee chairman reports on these discussions to our Board on a quarterly basis.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for discussion of material risks faced by the Company, including risks related to cybersecurity and IT.</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corporate headquarters are located in Las Vegas, Nevada in owned facilities.</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Restaurant Group</w:t>
      </w:r>
      <w:r>
        <w:rPr>
          <w:rFonts w:ascii="Times New Roman" w:cs="Times New Roman" w:eastAsia="Times New Roman" w:hAnsi="Times New Roman"/>
          <w:sz w:val="14"/>
          <w:szCs w:val="14"/>
          <w:color w:val="auto"/>
        </w:rPr>
        <w:t>. The Restaurant Group's headquarters are currently located in Nashville, Tennessee with another office location in Woburn, Massachusetts. All of our restaurants are leased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third parties, and are located in 20 states throughout the U.S. Substantially all of our Restaurant Group's revenues are generated in those states.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We own an 1,800 acre ranch-style luxury resort and residential community in Bend/Powell Butte, Oregon.</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legal proceedings see discussion under </w:t>
      </w:r>
      <w:r>
        <w:rPr>
          <w:rFonts w:ascii="Times New Roman" w:cs="Times New Roman" w:eastAsia="Times New Roman" w:hAnsi="Times New Roman"/>
          <w:sz w:val="14"/>
          <w:szCs w:val="14"/>
          <w:i w:val="1"/>
          <w:iCs w:val="1"/>
          <w:color w:val="auto"/>
        </w:rPr>
        <w:t>Legal and Regulatory Contingencies</w:t>
      </w:r>
      <w:r>
        <w:rPr>
          <w:rFonts w:ascii="Times New Roman" w:cs="Times New Roman" w:eastAsia="Times New Roman" w:hAnsi="Times New Roman"/>
          <w:sz w:val="14"/>
          <w:szCs w:val="14"/>
          <w:color w:val="auto"/>
        </w:rPr>
        <w:t xml:space="preserve"> in Note M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Part I, Item 3.</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Mine Safety Disclosures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common stock trades on The New York Stock Exchange under the "CNNE" trading symbol.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8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2024. We updated our peer group for the period ending December 31, 2024 from the group used for the period ending December 31, 2023 to include peers that better align with the size and now internally-managed operating structure of the Company. The peer group comparison has been weighted based on their stock market capitalization. The graph tracks the performance of a of $100.00 investment, with reinvestment of all dividends (if any), from December 31, 2019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4608195" cy="382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08195" cy="382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322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12/31/2019</w:t>
            </w:r>
          </w:p>
        </w:tc>
        <w:tc>
          <w:tcPr>
            <w:tcW w:w="10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12/31/2020</w:t>
            </w:r>
          </w:p>
        </w:tc>
        <w:tc>
          <w:tcPr>
            <w:tcW w:w="10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10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10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8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12/31/2024</w:t>
            </w:r>
          </w:p>
        </w:tc>
      </w:tr>
      <w:tr>
        <w:trPr>
          <w:trHeight w:val="143"/>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Cannae Holdings, Inc.</w:t>
            </w:r>
          </w:p>
        </w:tc>
        <w:tc>
          <w:tcPr>
            <w:tcW w:w="3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100.00</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119.04</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94.51</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55.53</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52.46</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r>
      <w:tr>
        <w:trPr>
          <w:trHeight w:val="152"/>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S&amp;P 500</w:t>
            </w:r>
          </w:p>
        </w:tc>
        <w:tc>
          <w:tcPr>
            <w:tcW w:w="3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100.00</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118.40</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152.39</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124.79</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157.59</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w:t>
            </w: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2023 Peer Group </w:t>
            </w:r>
            <w:r>
              <w:rPr>
                <w:rFonts w:ascii="Times New Roman" w:cs="Times New Roman" w:eastAsia="Times New Roman" w:hAnsi="Times New Roman"/>
                <w:sz w:val="14"/>
                <w:szCs w:val="14"/>
                <w:color w:val="auto"/>
                <w:vertAlign w:val="superscript"/>
              </w:rPr>
              <w:t>(1)</w:t>
            </w:r>
          </w:p>
        </w:tc>
        <w:tc>
          <w:tcPr>
            <w:tcW w:w="3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100.00</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100.59</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151.97</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137.39</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195.56</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324.2</w:t>
            </w:r>
          </w:p>
        </w:tc>
      </w:tr>
      <w:tr>
        <w:trPr>
          <w:trHeight w:val="19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2024 Peer Group </w:t>
            </w:r>
            <w:r>
              <w:rPr>
                <w:rFonts w:ascii="Times New Roman" w:cs="Times New Roman" w:eastAsia="Times New Roman" w:hAnsi="Times New Roman"/>
                <w:sz w:val="14"/>
                <w:szCs w:val="14"/>
                <w:color w:val="auto"/>
                <w:vertAlign w:val="superscript"/>
              </w:rPr>
              <w:t>(2)</w:t>
            </w:r>
          </w:p>
        </w:tc>
        <w:tc>
          <w:tcPr>
            <w:tcW w:w="3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100.00</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114.87</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140.10</w:t>
            </w: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101.86</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137.99</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184.2</w:t>
            </w: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86" w:lineRule="exact"/>
        <w:rPr>
          <w:sz w:val="20"/>
          <w:szCs w:val="20"/>
          <w:color w:val="auto"/>
        </w:rPr>
      </w:pPr>
    </w:p>
    <w:p>
      <w:pPr>
        <w:ind w:right="80" w:firstLine="260"/>
        <w:spacing w:after="0" w:line="300" w:lineRule="auto"/>
        <w:tabs>
          <w:tab w:leader="none" w:pos="425"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peer group used for the year ended December 31, 2023 and consists of the following companies: Apollo Global Management Inc., Compass Diversified Holdings, FS KKR Capital Corp, Golub Capital BDC, Inc., New Mountain Finance Corporation and Prospect Capital Corporation.</w:t>
      </w:r>
    </w:p>
    <w:p>
      <w:pPr>
        <w:spacing w:after="0" w:line="44" w:lineRule="exact"/>
        <w:rPr>
          <w:rFonts w:ascii="Times New Roman" w:cs="Times New Roman" w:eastAsia="Times New Roman" w:hAnsi="Times New Roman"/>
          <w:sz w:val="11"/>
          <w:szCs w:val="11"/>
          <w:color w:val="auto"/>
        </w:rPr>
      </w:pPr>
    </w:p>
    <w:p>
      <w:pPr>
        <w:ind w:right="80" w:firstLine="260"/>
        <w:spacing w:after="0" w:line="300" w:lineRule="auto"/>
        <w:tabs>
          <w:tab w:leader="none" w:pos="415"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peer group used for the year ended December 31, 2024 and consists of the following companies: Main Street Capital, Compass Diversified Holdings, StepStone Group, Hercules Capital, Federated Hermes, Capital Southwest, Artisan Partners Asset Management, Trinity Capital, Hamilton Lane, Bridge Investment Group and GCM Grosvenor.</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The stock price performance included in this graph is not necessarily indicative of future stock price performance.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31, 2024, the last reported sale price of our common stock on The New York Stock Exchange was $19.76 per share. We had approximately 5,943 shareholders of record.</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concerning securities authorized for issuance under our equity compensation plans will be included in Item 12 of Part III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w:t>
      </w:r>
    </w:p>
    <w:p>
      <w:pPr>
        <w:spacing w:after="0" w:line="96" w:lineRule="exact"/>
        <w:rPr>
          <w:sz w:val="20"/>
          <w:szCs w:val="20"/>
          <w:color w:val="auto"/>
        </w:rPr>
      </w:pPr>
    </w:p>
    <w:p>
      <w:pPr>
        <w:jc w:val="both"/>
        <w:ind w:right="80" w:firstLine="255"/>
        <w:spacing w:after="0" w:line="253" w:lineRule="auto"/>
        <w:rPr>
          <w:sz w:val="20"/>
          <w:szCs w:val="20"/>
          <w:color w:val="auto"/>
        </w:rPr>
      </w:pPr>
      <w:r>
        <w:rPr>
          <w:rFonts w:ascii="Times New Roman" w:cs="Times New Roman" w:eastAsia="Times New Roman" w:hAnsi="Times New Roman"/>
          <w:sz w:val="14"/>
          <w:szCs w:val="14"/>
          <w:color w:val="auto"/>
        </w:rPr>
        <w:t>On August 3, 2022, our Board authorized a three-year stock repurchase program, (the "2022 Repurchase Program"), under which we may repurchase up to an additional 10.0 million shares of our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2024, we repurchased 300,000 shares of CNNE common stock for approximately $5.6 million in the aggregate, or an average of $18.80 per share, pursuant to the 2022 Repurchase Program.</w:t>
      </w:r>
    </w:p>
    <w:p>
      <w:pPr>
        <w:spacing w:after="0" w:line="64" w:lineRule="exact"/>
        <w:rPr>
          <w:sz w:val="20"/>
          <w:szCs w:val="20"/>
          <w:color w:val="auto"/>
        </w:rPr>
      </w:pPr>
    </w:p>
    <w:p>
      <w:pPr>
        <w:jc w:val="both"/>
        <w:ind w:right="80" w:firstLine="255"/>
        <w:spacing w:after="0" w:line="253" w:lineRule="auto"/>
        <w:rPr>
          <w:sz w:val="20"/>
          <w:szCs w:val="20"/>
          <w:color w:val="auto"/>
        </w:rPr>
      </w:pPr>
      <w:r>
        <w:rPr>
          <w:rFonts w:ascii="Times New Roman" w:cs="Times New Roman" w:eastAsia="Times New Roman" w:hAnsi="Times New Roman"/>
          <w:sz w:val="14"/>
          <w:szCs w:val="14"/>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repurchases of our common stock under the 2023 Repurchase Program.</w:t>
      </w:r>
    </w:p>
    <w:p>
      <w:pPr>
        <w:spacing w:after="0" w:line="53" w:lineRule="exact"/>
        <w:rPr>
          <w:sz w:val="20"/>
          <w:szCs w:val="20"/>
          <w:color w:val="auto"/>
        </w:rPr>
      </w:pPr>
    </w:p>
    <w:p>
      <w:pPr>
        <w:jc w:val="both"/>
        <w:ind w:right="80" w:firstLine="255"/>
        <w:spacing w:after="0" w:line="262" w:lineRule="auto"/>
        <w:rPr>
          <w:sz w:val="20"/>
          <w:szCs w:val="20"/>
          <w:color w:val="auto"/>
        </w:rPr>
      </w:pPr>
      <w:r>
        <w:rPr>
          <w:rFonts w:ascii="Times New Roman" w:cs="Times New Roman" w:eastAsia="Times New Roman" w:hAnsi="Times New Roman"/>
          <w:sz w:val="14"/>
          <w:szCs w:val="14"/>
          <w:color w:val="auto"/>
        </w:rPr>
        <w:t xml:space="preserve">On April 1, 2024, we completed the Tender Offer through a procedure commonly referred to as a "modified Dutch auction" to purchase 9,672,540 shares of our CNNE common stock for approximately $223.5 million, or an average of $23.11 per share, inclusive of transaction fees. Refer to Item 7 Part II of this Annual Report under the header </w:t>
      </w:r>
      <w:r>
        <w:rPr>
          <w:rFonts w:ascii="Times New Roman" w:cs="Times New Roman" w:eastAsia="Times New Roman" w:hAnsi="Times New Roman"/>
          <w:sz w:val="14"/>
          <w:szCs w:val="14"/>
          <w:i w:val="1"/>
          <w:iCs w:val="1"/>
          <w:color w:val="auto"/>
        </w:rPr>
        <w:t>Other Developments</w:t>
      </w:r>
      <w:r>
        <w:rPr>
          <w:rFonts w:ascii="Times New Roman" w:cs="Times New Roman" w:eastAsia="Times New Roman" w:hAnsi="Times New Roman"/>
          <w:sz w:val="14"/>
          <w:szCs w:val="14"/>
          <w:color w:val="auto"/>
        </w:rPr>
        <w:t xml:space="preserve"> for further discussion of the Tender Offer.</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the maximum number of shares that may yet be purchased under the 2022 Repurchase Program and the 2023 Repurchase Program is 12,295,463.</w:t>
      </w:r>
    </w:p>
    <w:p>
      <w:pPr>
        <w:spacing w:after="0" w:line="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i w:val="1"/>
          <w:iCs w:val="1"/>
          <w:color w:val="auto"/>
        </w:rPr>
        <w:t>Reserved</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Dayforce</w:t>
      </w:r>
    </w:p>
    <w:p>
      <w:pPr>
        <w:spacing w:after="0" w:line="96"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In the year ended December 31, 2024, we sold the remaining 4.0 million shares of common stock of Dayforce for gross proceeds of $264.0 million. As of December 31, 2024, we no longer have any holdings of Dayforce.</w:t>
      </w:r>
    </w:p>
    <w:p>
      <w:pPr>
        <w:spacing w:after="0" w:line="27" w:lineRule="exact"/>
        <w:rPr>
          <w:sz w:val="20"/>
          <w:szCs w:val="20"/>
          <w:color w:val="auto"/>
        </w:rPr>
      </w:pPr>
    </w:p>
    <w:p>
      <w:pPr>
        <w:ind w:left="260" w:right="1120"/>
        <w:spacing w:after="0" w:line="373" w:lineRule="auto"/>
        <w:rPr>
          <w:sz w:val="20"/>
          <w:szCs w:val="20"/>
          <w:color w:val="auto"/>
        </w:rPr>
      </w:pPr>
      <w:r>
        <w:rPr>
          <w:rFonts w:ascii="Times New Roman" w:cs="Times New Roman" w:eastAsia="Times New Roman" w:hAnsi="Times New Roman"/>
          <w:sz w:val="14"/>
          <w:szCs w:val="14"/>
          <w:color w:val="auto"/>
        </w:rPr>
        <w:t xml:space="preserve">Refer to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our ownership interest in Dayforce and other equity securities. </w:t>
      </w:r>
      <w:r>
        <w:rPr>
          <w:rFonts w:ascii="Times New Roman" w:cs="Times New Roman" w:eastAsia="Times New Roman" w:hAnsi="Times New Roman"/>
          <w:sz w:val="14"/>
          <w:szCs w:val="14"/>
          <w:i w:val="1"/>
          <w:iCs w:val="1"/>
          <w:color w:val="auto"/>
        </w:rPr>
        <w:t>Dun &amp; Bradstreet</w:t>
      </w: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On February 8, 2024, April 30, 2024, July 24, 2024, and October 22, 2024, the board of directors of D&amp;B declared quarterly cash dividends of $0.05 per share of D&amp;B common stock. In the year ended December 31, 2024, we received $14.3 million of cash dividends from D&amp;B which are recorded as a reduction to the basis of our recorded asset for D&amp;B.</w:t>
      </w: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right="3040"/>
        <w:spacing w:after="0" w:line="374" w:lineRule="auto"/>
        <w:rPr>
          <w:sz w:val="20"/>
          <w:szCs w:val="20"/>
          <w:color w:val="auto"/>
        </w:rPr>
      </w:pPr>
      <w:r>
        <w:rPr>
          <w:rFonts w:ascii="Times New Roman" w:cs="Times New Roman" w:eastAsia="Times New Roman" w:hAnsi="Times New Roman"/>
          <w:sz w:val="14"/>
          <w:szCs w:val="14"/>
          <w:color w:val="auto"/>
        </w:rPr>
        <w:t xml:space="preserve">As of December 31, 2024, we owned 69.0 million shares of D&amp;B, which represented approximately 15.6% of its outstanding common stock. 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D&amp;B and other equity method investments. </w:t>
      </w:r>
      <w:r>
        <w:rPr>
          <w:rFonts w:ascii="Times New Roman" w:cs="Times New Roman" w:eastAsia="Times New Roman" w:hAnsi="Times New Roman"/>
          <w:sz w:val="14"/>
          <w:szCs w:val="14"/>
          <w:i w:val="1"/>
          <w:iCs w:val="1"/>
          <w:color w:val="auto"/>
        </w:rPr>
        <w:t>Paysafe</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January 2024, we purchased 1.6 million shares of common stock of Paysafe for $23.4 million. In November 2024, we sold 0.9 million shares of common stock of Paysafe for $16.0 million which we expect will generate tax savings for the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owned 2.5 million shares of Paysafe which represented approximately 4.1% of the outstanding common equity of Paysafe.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our ownership interest in Paysafe and other equity securities.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Alight</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December 3, 2024, we completed the sale of 12.0 million shares of common stock of Alight for aggregate proceeds of $89.0 million.</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owned 40.5 million shares of Alight, which represented approximately 7.6% of its outstanding common stock.</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Alight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JANA</w:t>
      </w:r>
    </w:p>
    <w:p>
      <w:pPr>
        <w:spacing w:after="0" w:line="8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February 21, 2024, we issued 1.85 million shares of common stock of the Company from the Company’s treasury and paid $18.3 million in cash, in the aggregate, to certain partners of JANA in exchange for a 19.99% equity interest in JANA. The transaction is valued at $55.5 million based on the closing price of the Company's common stock on February 21, 2024. Cannae also committed to invest $50 million into JANA funds (the "JANA Fund Commitment"). JANA Partners is an investment manager founded in 2001. We account for our ownership interest in JANA as an unconsolidated affiliate using the equity method of accounting and record our ratable share of JANA's net income or loss on a three-month lag. On December 27, 2024, the Company invested $20.0 million into a JANA fund as part of the JANA Fund Commitment. We account for our investment in the JANA fund as an equity security without a readily determinable fair value.</w:t>
      </w:r>
    </w:p>
    <w:p>
      <w:pPr>
        <w:spacing w:after="0" w:line="51"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JANA and other equity method investments and our accounting for the JANA fund and other equity securities without a readily determinable fair value.</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Watkins Holdings</w:t>
      </w:r>
    </w:p>
    <w:p>
      <w:pPr>
        <w:spacing w:after="0" w:line="74"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On October 17, 2024, the Company invested approximately $80.0 million for a 52.8% ownership interest in Watkins Holdings, LLC ("Watkins Holdings"), a partnership with KDSA Investment Partners ("KDSA") and Mark Jacobs (the "Watkins Acquisition"). Watkins Holdings concurrently completed the acquisition of The Watkins Company ("Watkins"), a leading producer of high-quality flavoring products. Watkins was founded in 1868 and has grown to be a leading domestic producer of spices, seasonings and extracts. The former majority owner of Watkins, Mark Jacobs, rolled a significant equity stake into Watkins Holdings. We account for our ownership interest in Watkins as an unconsolidated affiliate using the equity method of accounting and record our ratable share of Watkins's net income or loss on a three-month lag.</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Watkins Holdings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year ended December 31, 2024, we invested $36.8 million in BKFC and as of December 31, 2024, we held a 47.2% ownership interest.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BKFC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Developments</w:t>
      </w:r>
    </w:p>
    <w:p>
      <w:pPr>
        <w:spacing w:after="0" w:line="8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46"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3-year period ended July 1, 2026. The Third Amended MSA has a termination date of June 30, 2027 unless earlier terminated by the Company or Trasimene.</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dividends were declared by our Board in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Per Share</w:t>
            </w:r>
          </w:p>
        </w:tc>
      </w:tr>
      <w:tr>
        <w:trPr>
          <w:trHeight w:val="171"/>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9,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14,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28,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30, 2024</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16, 2024</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September 30, 2024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November 7, 2024</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17, 2024</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bl>
    <w:p>
      <w:pPr>
        <w:spacing w:after="0" w:line="144" w:lineRule="exact"/>
        <w:rPr>
          <w:sz w:val="20"/>
          <w:szCs w:val="20"/>
          <w:color w:val="auto"/>
        </w:rPr>
      </w:pPr>
    </w:p>
    <w:p>
      <w:pPr>
        <w:ind w:right="640" w:firstLine="255"/>
        <w:spacing w:after="0" w:line="370" w:lineRule="auto"/>
        <w:rPr>
          <w:sz w:val="20"/>
          <w:szCs w:val="20"/>
          <w:color w:val="auto"/>
        </w:rPr>
      </w:pPr>
      <w:r>
        <w:rPr>
          <w:rFonts w:ascii="Times New Roman" w:cs="Times New Roman" w:eastAsia="Times New Roman" w:hAnsi="Times New Roman"/>
          <w:sz w:val="14"/>
          <w:szCs w:val="14"/>
          <w:color w:val="auto"/>
        </w:rPr>
        <w:t xml:space="preserve">Subsequent to December 31, 2024, the Board declared cash dividends of $0.12 per share, payable on March 31, 2025, to Cannae common shareholders of record as of March 17, 2025. </w:t>
      </w:r>
      <w:r>
        <w:rPr>
          <w:rFonts w:ascii="Times New Roman" w:cs="Times New Roman" w:eastAsia="Times New Roman" w:hAnsi="Times New Roman"/>
          <w:sz w:val="14"/>
          <w:szCs w:val="14"/>
          <w:b w:val="1"/>
          <w:bCs w:val="1"/>
          <w:color w:val="auto"/>
        </w:rPr>
        <w:t>Related Party Transactions</w:t>
      </w: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Our financial statements for all years presented reflect transactions with our Manager and certain members of our Board. See Note O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to the Consolidated Financial Statements included in Item 8 of Part II of this Annual Report for further discussion.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Our consolidated financial statements are prepared in accordance with U.S. GAAP. See Note A - </w:t>
      </w:r>
      <w:r>
        <w:rPr>
          <w:rFonts w:ascii="Times New Roman" w:cs="Times New Roman" w:eastAsia="Times New Roman" w:hAnsi="Times New Roman"/>
          <w:sz w:val="14"/>
          <w:szCs w:val="14"/>
          <w:i w:val="1"/>
          <w:iCs w:val="1"/>
          <w:color w:val="auto"/>
        </w:rPr>
        <w:t>Basis of Financial Statements</w:t>
      </w:r>
      <w:r>
        <w:rPr>
          <w:rFonts w:ascii="Times New Roman" w:cs="Times New Roman" w:eastAsia="Times New Roman" w:hAnsi="Times New Roman"/>
          <w:sz w:val="14"/>
          <w:szCs w:val="14"/>
          <w:color w:val="auto"/>
        </w:rPr>
        <w:t xml:space="preserve"> to the Consolidated Financial Statements included in Item 8 of Part II of this Annual Report for discussion of all our significant accounting policies.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4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Investments in unconsolidated affiliates - applicability of Financial Accounting Standards Board ("FASB") Accounting Standards Codification ("ASC") Topic 323</w:t>
      </w:r>
      <w:r>
        <w:rPr>
          <w:rFonts w:ascii="Times New Roman" w:cs="Times New Roman" w:eastAsia="Times New Roman" w:hAnsi="Times New Roman"/>
          <w:sz w:val="14"/>
          <w:szCs w:val="14"/>
          <w:color w:val="auto"/>
        </w:rPr>
        <w:t>. Investments in unconsolidated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affiliates are recorded using the equity method of accounting. If an investor does not possess a controlling 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 an investor does not control, the general but rebuttable presumption exists that an ownership of greater than 20% of the outstanding common stock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the investee,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for certain of our ownership interests in which we have concluded the Company has significant influence resulting in the application of the equity method of accounting at fair value, the impact of such change could significantly impact the Company's Consolidated Financial Statements.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we held less than 20% of the outstanding common equity of Dun &amp; Bradstreet but continue to account for our ownership interest under the equity method because (i) we continue to exert significant influence through, and in connection with, our 15.6% ownership and (ii) certain of our senior management and directors serve on Dun &amp; Bradstreet's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including our Chief Executive Officer, Chief Investment Officer and Chairman of our Board, Bill Foley, who is also the chairman of D&amp;B's board of directors.</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 book value of our investment in D&amp;B accounted for under the equity method of accounting is $691.9 million. Based on quoted market prices, the aggregate fair market value of our ownership of Dun &amp; Bradstreet common stock was $860.3 million as of December 31, 2024.</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held less than 20% of the outstanding common equity of Alight but we account for our ownership under the equity method because we exert significant influence:</w:t>
      </w:r>
    </w:p>
    <w:p>
      <w:pPr>
        <w:spacing w:after="0" w:line="23" w:lineRule="exact"/>
        <w:rPr>
          <w:sz w:val="20"/>
          <w:szCs w:val="20"/>
          <w:color w:val="auto"/>
        </w:rPr>
      </w:pPr>
    </w:p>
    <w:p>
      <w:pPr>
        <w:jc w:val="both"/>
        <w:ind w:firstLine="5"/>
        <w:spacing w:after="0" w:line="259" w:lineRule="auto"/>
        <w:tabs>
          <w:tab w:leader="none" w:pos="17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and in connection with, our 7.6% ownership, (ii) because certain of our senior management and directors serve on Alight's board of directors, including our Chief Executive Officer, Chief Investment Officer and Chairman of our Board, Bill Foley, who is also the chairman of Alight's board of directors, and (iii) because we are party to an agreement with Alight pursuant to which we have the ability to appoint or be consulted on the election of certain of the directors of Alight.</w:t>
      </w:r>
    </w:p>
    <w:p>
      <w:pPr>
        <w:spacing w:after="0" w:line="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 book value of our investment in Alight accounted for under the equity method of accounting is $374.0 million. Based on quoted market prices, the aggregate fair market value of our ownership of Alight common stock was approximately $280.1 million as of December 31, 2024.</w:t>
      </w:r>
    </w:p>
    <w:p>
      <w:pPr>
        <w:spacing w:after="0" w:line="37" w:lineRule="exact"/>
        <w:rPr>
          <w:sz w:val="20"/>
          <w:szCs w:val="20"/>
          <w:color w:val="auto"/>
        </w:rPr>
      </w:pPr>
    </w:p>
    <w:p>
      <w:pPr>
        <w:jc w:val="both"/>
        <w:ind w:firstLine="255"/>
        <w:spacing w:after="0" w:line="251" w:lineRule="auto"/>
        <w:rPr>
          <w:sz w:val="20"/>
          <w:szCs w:val="20"/>
          <w:color w:val="auto"/>
        </w:rPr>
      </w:pPr>
      <w:r>
        <w:rPr>
          <w:rFonts w:ascii="Times New Roman" w:cs="Times New Roman" w:eastAsia="Times New Roman" w:hAnsi="Times New Roman"/>
          <w:sz w:val="14"/>
          <w:szCs w:val="14"/>
          <w:i w:val="1"/>
          <w:iCs w:val="1"/>
          <w:color w:val="auto"/>
        </w:rPr>
        <w:t>Investments in unconsolidated affiliates - impairment monitoring</w:t>
      </w:r>
      <w:r>
        <w:rPr>
          <w:rFonts w:ascii="Times New Roman" w:cs="Times New Roman" w:eastAsia="Times New Roman" w:hAnsi="Times New Roman"/>
          <w:sz w:val="14"/>
          <w:szCs w:val="14"/>
          <w:color w:val="auto"/>
        </w:rPr>
        <w:t>. On an ongoing basis, management monitors the Company's investments in unconsolidated affiliates to determine whether there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220"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As of June 30, 2024, the aggregate fair market value of our ownership of Sightline equity prior to recording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and management determined the decrease in value of our investment in Sightline was other-than-temporary. The fair value measurement is considered a level 3 fair value measure. The primary inputs in the valuation were the forecasted results of operations of Sightline, the discount rate used in the discounted cash flow analysis and the adjustment for the risk of a capital shortfall. The primary significant unobservable input used was the 35% discount rate used in the discounted cash flow analysis and the 50% adjustment for the risk of capital shortfall. As of December 31, 2024, management determined that the remaining investment in Sightline was impaired as a result of the implied valuation of Sightline it would require for it to raise equity funding. Due to the quantum of the decrease in the fair market value of our ownership interest subsequent to our acquisition, declines in the forecasted results of operations and liquidity of Sightline, and the uncertainty of the ability of Sightline to raise new capital, management determined the decrease in value of our investment in Sightline was other-than-temporary. Accordingly, we recorded an impairment of $149.5 million which is included in Recognized (losses) gains, net, on our Consolidated Statement of Operations for the year ended December 31, 2024.</w:t>
      </w:r>
    </w:p>
    <w:p>
      <w:pPr>
        <w:spacing w:after="0" w:line="74"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As of December 31, 2024, the fair value of our ownership interest in Alight based on quoted market prices was $280.1 million and the book value of our recorded asset for Alight was $374.0 million. While the fair value of our interest in Alight is below our book value, the fair value was above book value during the second quarter and there are no other indicators that our interest is other-than-temporarily impaired. Alight has consistently produced positive results from operations and cash flows, has reduced its debt, and initiated a dividend in 2024. There are no indications that the book value of our interest will not be recoverable at this time. Due to these factors, we consider the decline in value to be temporary as of December 31, 2024. Though we do not currently believe our interest in Alight is other-than-temporarily impaired, because the fair value is currently below the book value of our interest in Alight, sustained declines in fair value of the interest, deterioration in Alight's actual or forecasted results of operations or adverse changes in the US macroeconomic environment could result in an impairment charge in future periods to record our asset at fair value.</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Accounting for Income Taxes. </w:t>
      </w: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we had a net deferred tax asset of $73.9 million, which is primarily attributable to temporary differences for our investments held through partnerships. In the year ended December 31, 2024, we recorded an additional valuation allowance of $47.7 million on the Company's federal net operating loss ("NOL") carryforwards and certain deferred taxes related to our consolidated partnerships. In 2024, we determined it was uncertain whether we would be able to use the Company's available federal NOL carryforwards and certain other deferred taxes. One of the factors used in assessing the need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a valuation allowance on net deferred tax assets is whether a company is in a three-year cumulative book loss position and for the three years ended December 31, 2024, the Company was in a cumulative book loss position. The Company is relying on deferred tax liabilities, and the ability to carry back capital losses, as sources of income to facilitate the recovery of its remaining deferred tax assets.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December 31, 2024, the Company has a federal valuation allowance of $47.7 million representing a full valuation allowance on its federal NOL carryforwards and certain other deferred taxes where it is not more likely than not that the tax benefit will be realized. Additionally, the Company has a state valuation allowance of $5.1 million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other deferred tax assets. The Company will continue to monitor the recoverability of deferred tax assets on a quarterly basis and may need to record an additional valuation allowance on its net deferred tax asset in future periods.</w:t>
      </w:r>
    </w:p>
    <w:p>
      <w:pPr>
        <w:spacing w:after="0" w:line="59" w:lineRule="exact"/>
        <w:rPr>
          <w:sz w:val="20"/>
          <w:szCs w:val="20"/>
          <w:color w:val="auto"/>
        </w:rPr>
      </w:pPr>
    </w:p>
    <w:p>
      <w:pPr>
        <w:ind w:right="700" w:firstLine="255"/>
        <w:spacing w:after="0" w:line="371" w:lineRule="auto"/>
        <w:rPr>
          <w:sz w:val="20"/>
          <w:szCs w:val="20"/>
          <w:color w:val="auto"/>
        </w:rPr>
      </w:pPr>
      <w:r>
        <w:rPr>
          <w:rFonts w:ascii="Times New Roman" w:cs="Times New Roman" w:eastAsia="Times New Roman" w:hAnsi="Times New Roman"/>
          <w:sz w:val="14"/>
          <w:szCs w:val="14"/>
          <w:color w:val="auto"/>
        </w:rPr>
        <w:t xml:space="preserve">Refer to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our accounting for income taxes. </w:t>
      </w:r>
      <w:r>
        <w:rPr>
          <w:rFonts w:ascii="Times New Roman" w:cs="Times New Roman" w:eastAsia="Times New Roman" w:hAnsi="Times New Roman"/>
          <w:sz w:val="14"/>
          <w:szCs w:val="14"/>
          <w:b w:val="1"/>
          <w:bCs w:val="1"/>
          <w:color w:val="auto"/>
        </w:rPr>
        <w:t>Recent Accounting Pronouncements</w:t>
      </w:r>
    </w:p>
    <w:p>
      <w:pPr>
        <w:spacing w:after="0" w:line="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guidance is to be applied retrospectively to all prior periods presented in the financial statements. For public business entities, the guidance is effective for fiscal years beginning after December 15, 2023, and interim periods within fiscal years beginning after December 15, 2024. We have adopted this ASU which resulted in additional disclosures in our consolidated financial statements.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E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to our Consolidated Financial Statements included in Item 8 Part II of this Annual Report for further discussion of our segment reporting.</w:t>
      </w:r>
    </w:p>
    <w:p>
      <w:pPr>
        <w:spacing w:after="0" w:line="83"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We do not expect the adoption of this authoritative guidance to have a material impact on our consolidated financial statements.</w:t>
      </w:r>
    </w:p>
    <w:p>
      <w:pPr>
        <w:spacing w:after="0" w:line="53"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 xml:space="preserve">In January 2025,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which requires public business entities to disaggregate specific expenses in a 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Factors Affecting Comparability</w:t>
      </w:r>
    </w:p>
    <w:p>
      <w:pPr>
        <w:spacing w:after="0" w:line="9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Year ended December 31, 2024. </w:t>
      </w:r>
      <w:r>
        <w:rPr>
          <w:rFonts w:ascii="Times New Roman" w:cs="Times New Roman" w:eastAsia="Times New Roman" w:hAnsi="Times New Roman"/>
          <w:sz w:val="14"/>
          <w:szCs w:val="14"/>
          <w:color w:val="auto"/>
        </w:rPr>
        <w:t>On March 20, 2024, Alight entered into a definitive agreement to sell its professional services segment and its payroll and human capital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December 31, 2023 and 2022 have been retrospectively revised to reflect the Payroll &amp; Professional Services Business as held for sale and discontinued operations.</w:t>
      </w:r>
    </w:p>
    <w:p>
      <w:pPr>
        <w:spacing w:after="0" w:line="5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Year ended December 31, 2023</w:t>
      </w:r>
      <w:r>
        <w:rPr>
          <w:rFonts w:ascii="Times New Roman" w:cs="Times New Roman" w:eastAsia="Times New Roman" w:hAnsi="Times New Roman"/>
          <w:sz w:val="14"/>
          <w:szCs w:val="14"/>
          <w:color w:val="auto"/>
        </w:rPr>
        <w:t>. In the year ended December 31, 2023, the Restaurant Group undertook a project to renegotiate or terminate leases and close O'Charley's stores with unfavorable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store-level cash flow profiles. Through this process they closed 77 O'Charley's stores in the year ended December 31, 2023.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 xml:space="preserve">Net earnings. </w:t>
      </w:r>
      <w:r>
        <w:rPr>
          <w:rFonts w:ascii="Times New Roman" w:cs="Times New Roman" w:eastAsia="Times New Roman" w:hAnsi="Times New Roman"/>
          <w:sz w:val="14"/>
          <w:szCs w:val="14"/>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77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Restaurant revenue</w:t>
            </w:r>
          </w:p>
        </w:tc>
        <w:tc>
          <w:tcPr>
            <w:tcW w:w="680" w:type="dxa"/>
            <w:vAlign w:val="bottom"/>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630.6</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revenue</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158"/>
        </w:trPr>
        <w:tc>
          <w:tcPr>
            <w:tcW w:w="7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 costs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r>
      <w:tr>
        <w:trPr>
          <w:trHeight w:val="158"/>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806.7</w:t>
            </w:r>
          </w:p>
        </w:tc>
      </w:tr>
      <w:tr>
        <w:trPr>
          <w:trHeight w:val="16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loss</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r>
      <w:tr>
        <w:trPr>
          <w:trHeight w:val="148"/>
        </w:trPr>
        <w:tc>
          <w:tcPr>
            <w:tcW w:w="77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investment and other income</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72"/>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Recognized losses, net</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r>
      <w:tr>
        <w:trPr>
          <w:trHeight w:val="158"/>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 and equity in losses of unconsolidated affiliates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equity in losses of unconsolidated affiliates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Equity in losses of unconsolidated affiliates</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(183.9)</w:t>
            </w:r>
          </w:p>
        </w:tc>
      </w:tr>
      <w:tr>
        <w:trPr>
          <w:trHeight w:val="1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Cannae Holdings, Inc. common shareholders</w:t>
            </w:r>
          </w:p>
        </w:tc>
        <w:tc>
          <w:tcPr>
            <w:tcW w:w="6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Total revenue decreased $117.5 million in 2024 compared to 2023, primarily driven by a decrease in revenue in the Restaurant Group segment. Total revenue in 2023 decreased $92.1 million compared to 2022, primarily driven by a decrease in revenue in the Restaurant Group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revenues from our segments is discussed in further detail at the segment level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expenses consist primarily of cost of restaurant revenue, personnel costs, depreciation and amortization, and other operating expenses.</w:t>
      </w:r>
    </w:p>
    <w:p>
      <w:pPr>
        <w:spacing w:after="0" w:line="94"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amortization expense consists of our depreciation related to investments in property and equipment as well as amortization of intangible assets.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operating expenses include management fees, carried interest fees, professional fees, advertising costs, travel expenses and impairments of operating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expenses from our segments is discussed in further detail at the segment level below.</w:t>
      </w:r>
    </w:p>
    <w:p>
      <w:pPr>
        <w:spacing w:after="0" w:line="9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Income tax benefit was $0.4 million, $77.0 million, and $89.9 million for the years ended December 31, 2024, 2023 and 2022, respectively. The effective tax rate for the years ended December 31, 2024, 2023 and 2022 was 0.2%, 37.2%, and 26.8%, respectively. The change in the effective tax rate in all periods is primarily attributable to the varying impact of earnings or losses from unconsolidated affiliates on our consolidated pretax earnings or losses. The fluctuation in income tax benefit as a percentage of loss before income taxes is attributable to our estimate of ultimate income tax liability or benefit and changes in the characteristics of net earnings or loss year to year, such as the weighting of operating income versus investment income. The change in our effective tax rate in the year ended December 31, 2024 compared to 2023 is primarily attributable to the recording of a valuation allowance in the current period of $47.7 million on our federal net operating loss carryforwards and certain deferred taxes within our consolidated partnerships, the impact to the rate of equity in losses of unconsolidated affiliates relative to pre-tax loss and the impairment recorded to our investment in Sightline.</w:t>
      </w:r>
    </w:p>
    <w:p>
      <w:pPr>
        <w:spacing w:after="0" w:line="6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detailed breakout of our effective tax rate and further discussion on changes in our taxes, see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Equity in (losses) earnings of unconsolidated affiliates for the periods indicated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Dun &amp; Bradstreet </w:t>
            </w:r>
            <w:r>
              <w:rPr>
                <w:rFonts w:ascii="Times New Roman" w:cs="Times New Roman" w:eastAsia="Times New Roman" w:hAnsi="Times New Roman"/>
                <w:sz w:val="18"/>
                <w:szCs w:val="18"/>
                <w:color w:val="auto"/>
                <w:vertAlign w:val="superscript"/>
              </w:rPr>
              <w:t>(1)</w:t>
            </w:r>
          </w:p>
        </w:tc>
        <w:tc>
          <w:tcPr>
            <w:tcW w:w="120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Sightline </w:t>
            </w:r>
            <w:r>
              <w:rPr>
                <w:rFonts w:ascii="Times New Roman" w:cs="Times New Roman" w:eastAsia="Times New Roman" w:hAnsi="Times New Roman"/>
                <w:sz w:val="18"/>
                <w:szCs w:val="18"/>
                <w:color w:val="auto"/>
                <w:vertAlign w:val="superscript"/>
              </w:rPr>
              <w:t>(2)</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58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(3)</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88" w:lineRule="exact"/>
        <w:rPr>
          <w:sz w:val="20"/>
          <w:szCs w:val="20"/>
          <w:color w:val="auto"/>
        </w:rPr>
      </w:pPr>
    </w:p>
    <w:p>
      <w:pPr>
        <w:ind w:right="120" w:firstLine="5"/>
        <w:spacing w:after="0" w:line="270" w:lineRule="auto"/>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in losses for D&amp;B includes $8.6 million of loss for the years ended December 31, 2024 and 2023, related to amortization of Cannae's basis difference between the book value of its ownership interest and ratable portion of the underlying equity in net assets of D&amp;B.</w:t>
      </w:r>
    </w:p>
    <w:p>
      <w:pPr>
        <w:ind w:right="140" w:firstLine="5"/>
        <w:spacing w:after="0" w:line="261" w:lineRule="auto"/>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in losses for Sightline includes $2.9 million and $7.3 million of loss for the year ended December 31, 2024 and 2023, respectively, related to amortization of Cannae's basis difference between the book value of its ownership interest and ratable portion of the underlying equity in net assets of Sightline.</w:t>
      </w:r>
    </w:p>
    <w:p>
      <w:pPr>
        <w:ind w:left="160" w:hanging="155"/>
        <w:spacing w:after="0"/>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for the years ended December 31, 2023 and 2022 includes the Company's equity in losses of Paysafe which was no longer accounted for under the equity method of accounting beginning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Net loss attributable to Cannae decreased $8.8 million in the year ended December 31, 2024, compared to 2023. Total net loss attributable to Cannae decreased $114.7 million in the year ended December 31, 2023, compared to 2022.</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net loss is attributable to the factors discussed above and net loss from the segments is discussed in further detail at the segment level below.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Restaurant Group</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from operations of our Restaurant Group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4"/>
        </w:trPr>
        <w:tc>
          <w:tcPr>
            <w:tcW w:w="7500" w:type="dxa"/>
            <w:vAlign w:val="bottom"/>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Restaurant revenue</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630.6</w:t>
            </w:r>
          </w:p>
        </w:tc>
      </w:tr>
      <w:tr>
        <w:trPr>
          <w:trHeight w:val="152"/>
        </w:trPr>
        <w:tc>
          <w:tcPr>
            <w:tcW w:w="75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 costs</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58"/>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652.6</w:t>
            </w:r>
          </w:p>
        </w:tc>
      </w:tr>
      <w:tr>
        <w:trPr>
          <w:trHeight w:val="163"/>
        </w:trPr>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loss</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48"/>
        </w:trPr>
        <w:tc>
          <w:tcPr>
            <w:tcW w:w="75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Recognized gains, net</w:t>
            </w: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income</w:t>
            </w: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6"/>
        </w:trPr>
        <w:tc>
          <w:tcPr>
            <w:tcW w:w="7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(loss) before income taxes and equity in losses of unconsolidated affiliates</w:t>
            </w:r>
          </w:p>
        </w:tc>
        <w:tc>
          <w:tcPr>
            <w:tcW w:w="8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bl>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revenues for the Restaurant Group segment decreased $116.4 million, or 21.7%, in the year ended December 31, 2024 from 2023. The decrease was primarily attributable to approximately $100.3 million of incremental revenue included in the year ended December 31, 2023 associated with 99 Restaurants and O'Charley's stores that were closed prior to December 31, 2024 and a decline in comparable store sales.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Total revenues for the Restaurant Group segment decreased $94.6 million, or 15.0%, in the year ended December 31, 2023 from 2022. The decrease was primarily attributable to approximately $79.6 million of incremental revenue included in the year ended December 31, 2022 associated with stores that were closed prior to December 31, 2023 and a decline in comparable store sales.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Comparable Store Sales. </w:t>
      </w:r>
      <w:r>
        <w:rPr>
          <w:rFonts w:ascii="Times New Roman" w:cs="Times New Roman" w:eastAsia="Times New Roman" w:hAnsi="Times New Roman"/>
          <w:sz w:val="14"/>
          <w:szCs w:val="14"/>
          <w:color w:val="auto"/>
        </w:rPr>
        <w:t>One method we use in evaluating the performance of our restaurants is to compare sales results for restaurants period over period. A new restaurant is included in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(2.2)%, (2.1)%, and 7.5% in the years ended December 31, 2024, 2023 and 2022, respectively, from the prior fiscal years. The decrease in 2024 is primarily attributable to a decrease in guest counts, partially offset by an increase in the average amount spent by customers each visit. The decrease in 2023 is primarily attributable to a decrease in guest counts, partially offset by an increase in the average amount spent by customers each visit. Comparable store sales for our O'Charley's brand changed (8.5)%, (3.4)% and (5.8)% in the years ended December 31, 2024, 2023 and 2022, respectively, from the prior fiscal years. The decrease in 2024 is primarily attributable to a decrease in guest counts, partially offset by an increase in the average amount spent by customers each visit. The decrease in 2023 is primarily attributable to a decrease in guest counts, partially offset by an increase in the average amount spent by customers each visit.</w:t>
      </w:r>
    </w:p>
    <w:p>
      <w:pPr>
        <w:spacing w:after="0" w:line="2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restaurant revenue decreased $103.7 million, or 21.8%, in the year ended December 31, 2024 from 2023. Cost of restaurant revenue decreased $96.5 million, or 16.9%, in the year ended December 31, 2023 from 2022. Cost of restaurant revenue as a percentage of restaurant revenue was approximately 88.5%, 88.6%, and 90.6% in the years ended December 31, 2024, 2023 and 2022, respectively. The change in cost of restaurant revenue as a percentage of restaurant revenue in 2023 compared to 2022 is primarily attributable to an easing of inflation in the cost of labor, food and supplies relative to customary increases in menu pricing.</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decreased by $49.4 million, or 65.1%, in the year ended December 31, 2024 from 2023. Other operating expenses increased by $39.4 million, or 107.9%, in the year ended December 31, 2023 from 2022. The change in both periods is primarily attributable to $36.8 million of impairment recorded to the Restaurant Group's property and equipment, lease assets and other intangible assets in the year ended December 31,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Recognized gains, net, decreased $17.4 million, or 48.3%, in the year ended December 31, 2024 from 2023 and increased $28.2 million, or 361.5%, in the year ended December 31, 2023 from 2022. The changes in both periods is primarily attributable to $30.2 million of gains recorded upon derecognition of O'Charley's lease liabilities associated with stores closed in 2023 and upon conversion of certain stores from a failed sale lease back in previous years to operating leases in 2023. The change in the year ended December 31, 2024 compared to 2023 was partially offset by a gain of $12.5 million recorded in 2024 related to the termination of the lease for the Restaurant Group's corporate headquarters.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Dun &amp; Bradstreet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we owned approximately 15.6% of the outstanding common stock of Dun &amp; Bradstreet. We account for our ownership interest in D&amp;B under the equity method of accounting; therefore, its results of operations do not consolidate into ours.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Dun &amp; Bradstreet for the relevant dates and time periods included in Equity in (losses) earnings of unconsolidated affiliates in our Consolidated Statements of Operations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40" w:type="dxa"/>
            <w:vAlign w:val="bottom"/>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2,381.7</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2,314.0</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2,224.6</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12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899.7</w:t>
            </w:r>
          </w:p>
        </w:tc>
        <w:tc>
          <w:tcPr>
            <w:tcW w:w="240" w:type="dxa"/>
            <w:vAlign w:val="bottom"/>
          </w:tcPr>
          <w:p>
            <w:pPr>
              <w:spacing w:after="0"/>
              <w:rPr>
                <w:sz w:val="15"/>
                <w:szCs w:val="15"/>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861.8</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and administrative expenses</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692.7</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711.9</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12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194.8</w:t>
            </w:r>
          </w:p>
        </w:tc>
        <w:tc>
          <w:tcPr>
            <w:tcW w:w="240" w:type="dxa"/>
            <w:vAlign w:val="bottom"/>
          </w:tcPr>
          <w:p>
            <w:pPr>
              <w:spacing w:after="0"/>
              <w:rPr>
                <w:sz w:val="15"/>
                <w:szCs w:val="15"/>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140.3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w:t>
            </w:r>
          </w:p>
        </w:tc>
        <w:tc>
          <w:tcPr>
            <w:tcW w:w="112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5"/>
                <w:szCs w:val="15"/>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3.3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Dun &amp; Bradstreet</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Details relating to the results of operations of Dun &amp; Bradstreet (NYSE: "DNB") can be found in its periodic reports filed with the SEC.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Alight</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we owned approximately 7.6% of the outstanding common stock of Alight. We account for our ownership of Alight under the equity method of accounting; therefore, its results of operations do not consolidate into ours.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Alight for the relevant dates and time periods included in Equity in (losses) earnings of unconsolidated affiliates in our Consolidated Statements of Operations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20" w:type="dxa"/>
            <w:vAlign w:val="bottom"/>
          </w:tcPr>
          <w:p>
            <w:pPr>
              <w:spacing w:after="0"/>
              <w:rPr>
                <w:sz w:val="13"/>
                <w:szCs w:val="13"/>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2,332.0</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2,386.0</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14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794.0</w:t>
            </w:r>
          </w:p>
        </w:tc>
        <w:tc>
          <w:tcPr>
            <w:tcW w:w="220" w:type="dxa"/>
            <w:vAlign w:val="bottom"/>
          </w:tcPr>
          <w:p>
            <w:pPr>
              <w:spacing w:after="0"/>
              <w:rPr>
                <w:sz w:val="15"/>
                <w:szCs w:val="15"/>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810.0</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discontinued operations</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4"/>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Alight</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bl>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Details relating to the results of operations of Alight (NYSE: "ALIT") can be found in its periodic reports filed with the SEC.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Black Knight Football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we owned approximately 47.2% of the ownership interest of BKFC. We account for our ownership of BKFC under the equity method of accounting and report our equity in the earnings or loss of BKFC on a three-month lag; therefore, its results do not consolidate into ours. Accordingly, our net loss for the year ended December 31, 2024 and December 31, 2023 includes our equity in BKFC’s losses for the year ended September 30, 2024 and for the period from December 13, 2022 (the date we acquired our initial interest in BKFC) through September 30, 2023, respectively.</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for BKFC for the relevant dates and time periods included in Equity in (losses) earnings of unconsolidated affiliates in our Consolidated Statements of Operations is presented below.</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vMerge w:val="restart"/>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For the year ended September 30, 2024</w:t>
            </w:r>
          </w:p>
        </w:tc>
        <w:tc>
          <w:tcPr>
            <w:tcW w:w="200" w:type="dxa"/>
            <w:vAlign w:val="bottom"/>
          </w:tcPr>
          <w:p>
            <w:pPr>
              <w:spacing w:after="0"/>
              <w:rPr>
                <w:sz w:val="11"/>
                <w:szCs w:val="11"/>
                <w:color w:val="auto"/>
              </w:rPr>
            </w:pPr>
          </w:p>
        </w:tc>
        <w:tc>
          <w:tcPr>
            <w:tcW w:w="214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For the period from December 13, 2022</w:t>
            </w:r>
          </w:p>
        </w:tc>
        <w:tc>
          <w:tcPr>
            <w:tcW w:w="0" w:type="dxa"/>
            <w:vAlign w:val="bottom"/>
          </w:tcPr>
          <w:p>
            <w:pPr>
              <w:spacing w:after="0"/>
              <w:rPr>
                <w:sz w:val="1"/>
                <w:szCs w:val="1"/>
                <w:color w:val="auto"/>
              </w:rPr>
            </w:pPr>
          </w:p>
        </w:tc>
      </w:tr>
      <w:tr>
        <w:trPr>
          <w:trHeight w:val="153"/>
        </w:trPr>
        <w:tc>
          <w:tcPr>
            <w:tcW w:w="6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through September 30, 2023</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gridSpan w:val="3"/>
          </w:tcPr>
          <w:p>
            <w:pPr>
              <w:jc w:val="right"/>
              <w:ind w:right="197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8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211.1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earnings of unconsolidated affiliates</w:t>
            </w:r>
          </w:p>
        </w:tc>
        <w:tc>
          <w:tcPr>
            <w:tcW w:w="14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BKFC</w:t>
            </w:r>
          </w:p>
        </w:tc>
        <w:tc>
          <w:tcPr>
            <w:tcW w:w="1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Black Knight Football's total revenue is primarily attributable to Premier League media rights, matchday and sponsorship revenue earned by AFCB. Total revenues for Black Knight Football increased $62.1 million, or 41.7%, in the year ended September 30, 2024, compared to the period from December 13, 2022 through September 30, 2023. The increase in revenue was primarily attributable to the 2023 period including nine and a half months rather than twelve and an increase in matchday and sponsorship revenue.</w:t>
      </w:r>
    </w:p>
    <w:p>
      <w:pPr>
        <w:spacing w:after="0" w:line="6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Personnel costs were $185.7 million and $112.1 million in the year ended September 30, 2024 and the period from December 13, 2022 to September 30, 2023, respectively, an increase of $73.6 million, or 65.7%. The increase was attributable to the acquisition of new players at AFC Bournemouth and the 2023 period including nine and a half months rather than twelve.</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was $114.0 million and $99.8 million, respectively, in the year ended September 30, 2024 and the period from December 13, 2022 to September 20, 2023, respectively, an increase of $14.2 million, or 14%. The increase was attributable to inclusion of a full year of expense in the 2024 period.</w:t>
      </w:r>
    </w:p>
    <w:p>
      <w:pPr>
        <w:spacing w:after="0" w:line="2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Other income increased $16.4 million in the year ended September 30, 2024 compared to the corresponding period from December 13, 2022 to September 20, 2023. The increase was primarily attributable to increased gain on sale of players by AFCB, partially offset by a non-cash impairment charge of $12.0 million to BKFC's investment in FC Lorient resulting from the club's relegation to Ligue 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Corporate and Other segment consists of our share in the operations of certain controlled businesses and other equity investments, activity of the corporate holding company and certain intercompany eliminations and taxes.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from operations of our Corporate and Other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4"/>
        </w:trPr>
        <w:tc>
          <w:tcPr>
            <w:tcW w:w="750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operating revenue</w:t>
            </w: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152"/>
        </w:trPr>
        <w:tc>
          <w:tcPr>
            <w:tcW w:w="75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7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Personnel costs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operating expenses</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r>
      <w:tr>
        <w:trPr>
          <w:trHeight w:val="172"/>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r>
      <w:tr>
        <w:trPr>
          <w:trHeight w:val="158"/>
        </w:trPr>
        <w:tc>
          <w:tcPr>
            <w:tcW w:w="7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Operating loss</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52"/>
        </w:trPr>
        <w:tc>
          <w:tcPr>
            <w:tcW w:w="7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8"/>
        </w:trPr>
        <w:tc>
          <w:tcPr>
            <w:tcW w:w="7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investment and other income</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8"/>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Recognized losses, net</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w:t>
            </w:r>
          </w:p>
        </w:tc>
      </w:tr>
      <w:tr>
        <w:trPr>
          <w:trHeight w:val="16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w:t>
            </w:r>
          </w:p>
        </w:tc>
      </w:tr>
      <w:tr>
        <w:trPr>
          <w:trHeight w:val="156"/>
        </w:trPr>
        <w:tc>
          <w:tcPr>
            <w:tcW w:w="7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income taxes and equity in (losses) earnings of unconsolidated affiliates</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w:t>
            </w:r>
          </w:p>
        </w:tc>
      </w:tr>
    </w:tbl>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Personnel costs in our corporate and other segment increased $29.3 million, or 101.4%, in the year ended December 31, 2024 compared to 2023, and decreased $6.4 million, or 18.1%, in the year ended December 31, 2023 compared to 2022. The increase in 2024 compared to 2023 was primarily attributable to increased non-cash stock-based compensation granted in 2024. The decrease in 2023 compared to 2022 is primarily driven by a decrease in investment success bonuses paid related to our sales of shares of Dayforce.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operating expenses decreased $49.5 million, or 42.5%, in the year ended December 31, 2023 compared to 2022. The decrease is primarily attributable to $49.3 million of carried interest expense attributable to our sale of Optimal Blue in 2022, of which $31.8 million was paid in D&amp;B stock.</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Interest, investment and other income decreased $9.0 million in the year ended December 31, 2024 compared to 2023 and increased $11.1 million in the year ended December 31, 2023 compared to 2022. The change in both periods was primarily attributable to the change in interest income on our cash and short term investments resulting from changes in our cash balance and market interest rates.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Recognized losses, net in our Corporate and Other segment consists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6980" w:type="dxa"/>
            <w:vAlign w:val="bottom"/>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Dayforce fair value adjustments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Sightline impairment</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Paysafe fair value adjustments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 loss on sale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System1 impairment</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QOMPLX impairment</w:t>
            </w:r>
          </w:p>
        </w:tc>
        <w:tc>
          <w:tcPr>
            <w:tcW w:w="8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Dun &amp; Bradstreet (loss) gain on partial sales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Optimal Blue gain on sale</w:t>
            </w:r>
          </w:p>
        </w:tc>
        <w:tc>
          <w:tcPr>
            <w:tcW w:w="8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180"/>
        </w:trPr>
        <w:tc>
          <w:tcPr>
            <w:tcW w:w="6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AmeriLife fair value adjustment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AmeriLife gain on partial sales</w:t>
            </w:r>
          </w:p>
        </w:tc>
        <w:tc>
          <w:tcPr>
            <w:tcW w:w="8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r>
      <w:tr>
        <w:trPr>
          <w:trHeight w:val="18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fair value adjustments, net</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Recognized losses, net</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Represents the gain recorded upon the revaluation of our investment to fair value on November 15,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Requirements. </w:t>
      </w:r>
      <w:r>
        <w:rPr>
          <w:rFonts w:ascii="Times New Roman" w:cs="Times New Roman" w:eastAsia="Times New Roman" w:hAnsi="Times New Roman"/>
          <w:sz w:val="14"/>
          <w:szCs w:val="14"/>
          <w:color w:val="auto"/>
        </w:rPr>
        <w:t>Our current cash requirements include our corporate operating expenses and funding needs of our Restaurant Group. There are no restrictions on our retained earnings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our ability to pay dividends to stockholders. The declaration of any future dividends is at the discretion of our Board of Directors. Additional uses of cash flow may include payment of dividends on our common stock, stock repurchases, acquisitions, additional investment in current investees, and debt repayments.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we had cash and cash equivalents of $131.5 million, of which $113.2 million was cash held by the corporate holding company, $6.2 million of short term investments, and $49.0 of immediate capacity under our existing holding company credit facilities with the ability to add an additional $500 million of borrowing capacity by amending our 2020 Margin Facility. As of December 31, 2024, we were committed under letters of credit totaling $6.2 million issued primarily in connection with casualty insurance programs for our Restaurant Group employees.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continually assess our capital allocation strategy, including decisions relating to repurchasing our stock, paying dividends, reducing debt, and/or conserving cash. We believe that all anticipated cash requirements for current operations will be met from internally generated funds, cash dividends or distributions from subsidiaries and holdings, cash generated from short-term investments,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believes the holding company's balances of cash, cash equivalents, short term investments, marketable equity securities, cash generated by its investments and capacity under its credit agreements, will be sufficient to satisfy its cash requirements over the next 12 months and beyond.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Operating Cash Flows</w:t>
      </w:r>
      <w:r>
        <w:rPr>
          <w:rFonts w:ascii="Times New Roman" w:cs="Times New Roman" w:eastAsia="Times New Roman" w:hAnsi="Times New Roman"/>
          <w:sz w:val="14"/>
          <w:szCs w:val="14"/>
          <w:color w:val="auto"/>
        </w:rPr>
        <w:t>. Our cash flows used in operations for the years ended December 31, 2024, 2023 and 2022 were $90.1 million, $87.8 million and $205.1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cash used in operations of $2.3 million from 2024 compared to 2023 is primarily attributable to lower tax payments and lower cash expenses incurred with our Manager. The decrease in cash used in operations of $117.3 million from 2023 compared to 2022 is primarily attributable to decreased tax payments and no carried interest expense incurred with our Manager in 2023.</w:t>
      </w:r>
    </w:p>
    <w:p>
      <w:pPr>
        <w:spacing w:after="0" w:line="4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Investing Cash Flows. </w:t>
      </w:r>
      <w:r>
        <w:rPr>
          <w:rFonts w:ascii="Times New Roman" w:cs="Times New Roman" w:eastAsia="Times New Roman" w:hAnsi="Times New Roman"/>
          <w:sz w:val="14"/>
          <w:szCs w:val="14"/>
          <w:color w:val="auto"/>
        </w:rPr>
        <w:t>Our cash flows provided by investing activities for the years ended December 31, 2024, 2023 and 2022 were $298.3 million, $53.1 million and $521.2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The increase in cash provided by investing activities of $245.2 million from 2024 compared to 2023 is primarily attributable to proceeds from sales of Dayforce, D&amp;B and Alight in 2024, partially offset by an increase in purchases of new investments. The decrease in cash provided by investing activities of $468.1 million from 2023 compared to 2022 is primarily attributable to primarily attributable to higher proceeds from sales of Dayforce, AmeriLife, Optimal Blue, D&amp;B and CorroHealth in the 2022 period compared to lower proceeds from sales of Dayforce in 2023 period, partially offset by increased proceeds from distributions from unconsolidated affiliates in the 2023 period and the investment in System1 in the 2022 period. See our Consolidated Statement of Cash Flows included in Item 8 of Part II of this Annual Report for a detailed breakout of cash flows from purchases and sales of investments.</w:t>
      </w:r>
    </w:p>
    <w:p>
      <w:pPr>
        <w:spacing w:after="0" w:line="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Capital Expenditures. </w:t>
      </w:r>
      <w:r>
        <w:rPr>
          <w:rFonts w:ascii="Times New Roman" w:cs="Times New Roman" w:eastAsia="Times New Roman" w:hAnsi="Times New Roman"/>
          <w:sz w:val="14"/>
          <w:szCs w:val="14"/>
          <w:color w:val="auto"/>
        </w:rPr>
        <w:t>Total capital expenditures for property and equipment and other intangible assets were $7.0 million, $10.0 million and $14.3 million for the years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2023 and 2022, respectively. Capital expenditures in all years primarily consisted of purchases of equipment and leasehold improvements in our Restaurant Group segment and property improvements at our real estate operations.</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Financing Cash Flows. </w:t>
      </w:r>
      <w:r>
        <w:rPr>
          <w:rFonts w:ascii="Times New Roman" w:cs="Times New Roman" w:eastAsia="Times New Roman" w:hAnsi="Times New Roman"/>
          <w:sz w:val="14"/>
          <w:szCs w:val="14"/>
          <w:color w:val="auto"/>
        </w:rPr>
        <w:t>Our cash flows used in financing activities for the years ended December 31, 2024, 2023 and 2022 were $182.9 million, $106.8 million and $154.2 million,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increase in cash used in financing activities of $76.1 million from 2024 compared to 2023 is primarily attributable to the Tender Offer, partial repayment of the FNF Revolver and dividends paid in 2024. The decrease in cash used in financing activities of $47.4 million from 2023 compared to 2022 is primarily attributable to a reduction in treasury stock repurchases in 2023 compared to 2022 and lower proceeds from debt, net of repayments.</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Financing Arrangements. </w:t>
      </w:r>
      <w:r>
        <w:rPr>
          <w:rFonts w:ascii="Times New Roman" w:cs="Times New Roman" w:eastAsia="Times New Roman" w:hAnsi="Times New Roman"/>
          <w:sz w:val="14"/>
          <w:szCs w:val="14"/>
          <w:color w:val="auto"/>
        </w:rPr>
        <w:t>For a description of our financing arrangements see Note K -</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to our Consolidated Financial Statements included in Item 8 of Part II of this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w:t>
      </w:r>
    </w:p>
    <w:p>
      <w:pPr>
        <w:spacing w:after="0" w:line="24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Contractual Obligations. </w:t>
      </w:r>
      <w:r>
        <w:rPr>
          <w:rFonts w:ascii="Times New Roman" w:cs="Times New Roman" w:eastAsia="Times New Roman" w:hAnsi="Times New Roman"/>
          <w:sz w:val="14"/>
          <w:szCs w:val="14"/>
          <w:color w:val="auto"/>
        </w:rPr>
        <w:t>Our long-term contractual obligations generally include our credit agreements and debt facilities, lease payments and financing obligations on certain of our premises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equipment, purchase obligations of the Restaurant Group and payments to our Manager.</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G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our leasing arrangements.</w:t>
      </w:r>
    </w:p>
    <w:p>
      <w:pPr>
        <w:spacing w:after="0" w:line="96"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w:t>
      </w:r>
    </w:p>
    <w:p>
      <w:pPr>
        <w:spacing w:after="0" w:line="6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2024 to determine the amount of the obligations.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Restaurant Group financing obligations include its agreements to lease certain O'Charley's restaurant locations that are accounted for as failed sale and leaseback transactions.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As of December 31, 2024, our required annual payments relating to these contractual obligations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3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Unconditional purchase obligations</w:t>
            </w: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payments</w:t>
            </w:r>
          </w:p>
        </w:tc>
        <w:tc>
          <w:tcPr>
            <w:tcW w:w="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payable to Manager</w:t>
            </w:r>
          </w:p>
        </w:tc>
        <w:tc>
          <w:tcPr>
            <w:tcW w:w="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Group financing obligations</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146.5</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w:t>
            </w:r>
          </w:p>
        </w:tc>
      </w:tr>
      <w:tr>
        <w:trPr>
          <w:trHeight w:val="20"/>
        </w:trPr>
        <w:tc>
          <w:tcPr>
            <w:tcW w:w="3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Stock Transactions. </w:t>
      </w:r>
      <w:r>
        <w:rPr>
          <w:rFonts w:ascii="Times New Roman" w:cs="Times New Roman" w:eastAsia="Times New Roman" w:hAnsi="Times New Roman"/>
          <w:sz w:val="14"/>
          <w:szCs w:val="14"/>
          <w:color w:val="auto"/>
        </w:rPr>
        <w:t>For information on our 2022 Repurchase Program, 2023 Repurchase Program and the Tender Offer, see discussion under the header</w:t>
      </w:r>
      <w:r>
        <w:rPr>
          <w:rFonts w:ascii="Times New Roman" w:cs="Times New Roman" w:eastAsia="Times New Roman" w:hAnsi="Times New Roman"/>
          <w:sz w:val="14"/>
          <w:szCs w:val="14"/>
          <w:i w:val="1"/>
          <w:iCs w:val="1"/>
          <w:color w:val="auto"/>
        </w:rPr>
        <w:t xml:space="preserve"> Purchases of Equity Securities by the Issuer </w:t>
      </w:r>
      <w:r>
        <w:rPr>
          <w:rFonts w:ascii="Times New Roman" w:cs="Times New Roman" w:eastAsia="Times New Roman" w:hAnsi="Times New Roman"/>
          <w:sz w:val="14"/>
          <w:szCs w:val="14"/>
          <w:color w:val="auto"/>
        </w:rPr>
        <w:t>included in Item 5 of Part II of this Annual Report.</w:t>
      </w:r>
    </w:p>
    <w:p>
      <w:pPr>
        <w:spacing w:after="0" w:line="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are exposed to market price fluctuations associated with the Company's equity securities holdings. Equity price risk is the risk that we will incur economic losses due to adverse changes in equity prices. At December 31, 2024, we held $56.2 million in equity securities which are recorded at fair value. The carrying values of equity securities subject to equity price risks are directly derived from quoted market prices. See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purposes of this Annual Report, we perform a sensitivity analysis to determine the book effects that market risk exposures may have on the fair values of our equity securities. At December 31, 2024, a 20% increase (decrease) in market prices, with all other variables held constant, would result in an increase (decrease) in the fair value of our equity securities of $11.2 million.</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discussion of our accounting for interests in unconsolidated affiliates under the header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 xml:space="preserve"> in Item 7 of this Annual Report for further discussion of the potential impact of the Company's monitoring of impairment of its interests in unconsolidated affiliates, including those with fair values based on quoted market prices.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our Restaurant Group segment, we are exposed to market price fluctuations in beef, seafood, produce and other food product prices. Given the historical volatility of beef,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 financial instruments to hedge our risk to market price fluctuations in beef, seafood, produce and other food product prices at this time.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80" w:type="dxa"/>
            <w:vAlign w:val="bottom"/>
            <w:gridSpan w:val="13"/>
          </w:tcPr>
          <w:p>
            <w:pPr>
              <w:spacing w:after="0" w:line="137"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 (</w:t>
            </w:r>
            <w:r>
              <w:rPr>
                <w:rFonts w:ascii="Times New Roman" w:cs="Times New Roman" w:eastAsia="Times New Roman" w:hAnsi="Times New Roman"/>
                <w:sz w:val="14"/>
                <w:szCs w:val="14"/>
                <w:color w:val="000000"/>
              </w:rPr>
              <w:t>Deloitte &amp; Touche, LLP</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Las Vegas, NV</w:t>
            </w:r>
            <w:r>
              <w:rPr>
                <w:rFonts w:ascii="Times New Roman" w:cs="Times New Roman" w:eastAsia="Times New Roman" w:hAnsi="Times New Roman"/>
                <w:sz w:val="14"/>
                <w:szCs w:val="14"/>
                <w:color w:val="0000FF"/>
              </w:rPr>
              <w:t xml:space="preserve"> Auditor Firm</w:t>
            </w:r>
          </w:p>
        </w:tc>
        <w:tc>
          <w:tcPr>
            <w:tcW w:w="500" w:type="dxa"/>
            <w:vAlign w:val="bottom"/>
            <w:tcBorders>
              <w:top w:val="single" w:sz="8" w:color="auto"/>
            </w:tcBorders>
            <w:vMerge w:val="restart"/>
          </w:tcPr>
          <w:p>
            <w:pPr>
              <w:spacing w:after="0"/>
              <w:rPr>
                <w:sz w:val="11"/>
                <w:szCs w:val="11"/>
                <w:color w:val="auto"/>
              </w:rPr>
            </w:pPr>
          </w:p>
        </w:tc>
        <w:tc>
          <w:tcPr>
            <w:tcW w:w="640" w:type="dxa"/>
            <w:vAlign w:val="bottom"/>
            <w:tcBorders>
              <w:top w:val="single" w:sz="8" w:color="auto"/>
            </w:tcBorders>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Borders>
              <w:top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 xml:space="preserve">ID: </w:t>
            </w:r>
            <w:r>
              <w:rPr>
                <w:rFonts w:ascii="Times New Roman" w:cs="Times New Roman" w:eastAsia="Times New Roman" w:hAnsi="Times New Roman"/>
                <w:sz w:val="12"/>
                <w:szCs w:val="12"/>
                <w:color w:val="000000"/>
              </w:rPr>
              <w:t>34</w:t>
            </w:r>
            <w:r>
              <w:rPr>
                <w:rFonts w:ascii="Times New Roman" w:cs="Times New Roman" w:eastAsia="Times New Roman" w:hAnsi="Times New Roman"/>
                <w:sz w:val="12"/>
                <w:szCs w:val="12"/>
                <w:u w:val="single" w:color="auto"/>
                <w:color w:val="0000FF"/>
              </w:rPr>
              <w:t>)</w:t>
            </w:r>
          </w:p>
        </w:tc>
        <w:tc>
          <w:tcPr>
            <w:tcW w:w="4440" w:type="dxa"/>
            <w:vAlign w:val="bottom"/>
            <w:tcBorders>
              <w:top w:val="single" w:sz="8" w:color="0000FF"/>
            </w:tcBorders>
            <w:gridSpan w:val="6"/>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vMerge w:val="continue"/>
          </w:tcPr>
          <w:p>
            <w:pPr>
              <w:spacing w:after="0"/>
              <w:rPr>
                <w:sz w:val="10"/>
                <w:szCs w:val="10"/>
                <w:color w:val="auto"/>
              </w:rPr>
            </w:pPr>
          </w:p>
        </w:tc>
        <w:tc>
          <w:tcPr>
            <w:tcW w:w="640" w:type="dxa"/>
            <w:vAlign w:val="bottom"/>
            <w:tcBorders>
              <w:top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Report of Independent Registered Public Accounting Firm on Consolidated Financial Statements</w:t>
            </w:r>
          </w:p>
        </w:tc>
        <w:tc>
          <w:tcPr>
            <w:tcW w:w="4620" w:type="dxa"/>
            <w:vAlign w:val="bottom"/>
            <w:gridSpan w:val="7"/>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on Consolidated Financial Statements </w:t>
            </w:r>
            <w:r>
              <w:rPr>
                <w:rFonts w:ascii="Times New Roman" w:cs="Times New Roman" w:eastAsia="Times New Roman" w:hAnsi="Times New Roman"/>
                <w:sz w:val="14"/>
                <w:szCs w:val="14"/>
                <w:color w:val="000000"/>
              </w:rPr>
              <w:t>(Ernst &amp; Young, LLP, Chicago, IL Auditor Firm ID: 42)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2024 and 2023</w:t>
            </w:r>
          </w:p>
        </w:tc>
        <w:tc>
          <w:tcPr>
            <w:tcW w:w="1800" w:type="dxa"/>
            <w:vAlign w:val="bottom"/>
            <w:gridSpan w:val="3"/>
          </w:tcPr>
          <w:p>
            <w:pPr>
              <w:spacing w:after="0"/>
              <w:rPr>
                <w:sz w:val="13"/>
                <w:szCs w:val="13"/>
                <w:color w:val="auto"/>
              </w:rPr>
            </w:pPr>
          </w:p>
        </w:tc>
        <w:tc>
          <w:tcPr>
            <w:tcW w:w="4620" w:type="dxa"/>
            <w:vAlign w:val="bottom"/>
            <w:gridSpan w:val="7"/>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2024, 2023, and 2022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2024, 2023, and 2022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2024, 2023, and 2022</w:t>
            </w:r>
          </w:p>
        </w:tc>
        <w:tc>
          <w:tcPr>
            <w:tcW w:w="1040" w:type="dxa"/>
            <w:vAlign w:val="bottom"/>
            <w:gridSpan w:val="3"/>
          </w:tcPr>
          <w:p>
            <w:pPr>
              <w:spacing w:after="0"/>
              <w:rPr>
                <w:sz w:val="13"/>
                <w:szCs w:val="13"/>
                <w:color w:val="auto"/>
              </w:rPr>
            </w:pPr>
          </w:p>
        </w:tc>
        <w:tc>
          <w:tcPr>
            <w:tcW w:w="3860" w:type="dxa"/>
            <w:vAlign w:val="bottom"/>
            <w:gridSpan w:val="6"/>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2023, and 2022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gridSpan w:val="4"/>
          </w:tcPr>
          <w:p>
            <w:pPr>
              <w:spacing w:after="0"/>
              <w:rPr>
                <w:sz w:val="13"/>
                <w:szCs w:val="13"/>
                <w:color w:val="auto"/>
              </w:rPr>
            </w:pPr>
          </w:p>
        </w:tc>
        <w:tc>
          <w:tcPr>
            <w:tcW w:w="4620" w:type="dxa"/>
            <w:vAlign w:val="bottom"/>
            <w:gridSpan w:val="7"/>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0000FF"/>
                <w:w w:val="99"/>
              </w:rPr>
              <w:t>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2480" w:type="dxa"/>
            <w:vAlign w:val="bottom"/>
            <w:tcBorders>
              <w:top w:val="single" w:sz="8" w:color="0000FF"/>
            </w:tcBorders>
            <w:gridSpan w:val="2"/>
          </w:tcPr>
          <w:p>
            <w:pPr>
              <w:spacing w:after="0"/>
              <w:rPr>
                <w:sz w:val="24"/>
                <w:szCs w:val="24"/>
                <w:color w:val="auto"/>
              </w:rPr>
            </w:pPr>
          </w:p>
        </w:tc>
        <w:tc>
          <w:tcPr>
            <w:tcW w:w="3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40</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Cannae Holdings,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Cannae Holdings, Inc. and subsidiaries (the "Company")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Cannae Holdings,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Cannae Holdings, Inc. and subsidiaries (the "Company") as of December 31, 2024 and 2023, the related consolidated statements of operations, comprehensive earnings, equity, and cash flows, for each of the three years in the period ended December 31, 2024, and the related notes (collectively referred to as the "financial statements"). In our opinion, based on our audits and the reports of KPMG LLP and Ernst &amp; Young LLP,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2024, based on the criteria established in Internal Control — Integrated Framework (2013) issued by the Committee of Sponsoring Organizations of the Treadway Commission and our report dated February 27, 2025, expressed an unqualified opinion on the Company's internal control over financial reporting.</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did not audit the consolidated financial statements of Dun &amp; Bradstreet Holdings, Inc. ("Dun &amp; Bradstreet") or Alight, Inc. ("Alight"), the Company’s investments in which are accounted for by use of the equity method. The accompanying consolidated financial statements of the Company include its equity investment in Dun &amp; Bradstreet of $691.9 million and $827.7 million as of December 31, 2024 and 2023, respectively, and its equity in losses of Dun &amp; Bradstreet of $13.7 million, $17.1 million, and $8.8 million for the years ended December 31, 2024, 2023, and 2022, respectively. The accompanying consolidated financial statements of the Company include its equity investment in Alight of $374.0 million and $507.2 million as of December 31, 2024 and 2023, respectively, and its equity in losses of Alight of $15.5 million, $35.1 million, and $1.6 million for the years ended December 31, 2024, 2023 and 2022, respectively. The financial statements of Dun</w:t>
      </w:r>
    </w:p>
    <w:p>
      <w:pPr>
        <w:spacing w:after="0" w:line="1" w:lineRule="exact"/>
        <w:rPr>
          <w:sz w:val="20"/>
          <w:szCs w:val="20"/>
          <w:color w:val="auto"/>
        </w:rPr>
      </w:pPr>
    </w:p>
    <w:p>
      <w:pPr>
        <w:ind w:firstLine="5"/>
        <w:spacing w:after="0" w:line="266" w:lineRule="auto"/>
        <w:tabs>
          <w:tab w:leader="none" w:pos="1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Bradstreet and Alight were audited by KPMG LLP and Ernst &amp; Young LLP, respectively, whose reports have been furnished to us. We have applied auditing procedures to the adjustments to reflect the Company’s equity investment and equity earnings in Dun &amp; Bradstreet and Alight, in accordance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KPMG LLP and Ernst &amp; Young LLP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Unconsolidated Affiliates in Alight — Other-than-temporary impairment — Refer to Note B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owns approximately 7.6% of the common equity of Alight, Inc. ("Alight") and accounts for it using the equity method of accounting. On an ongoing basis, management monitors the investment to determine whether there are indications that it may be other-than-temporarily impaired. As of December 31, 2024, the fair value of the Company’s ownership interest in Alight, based on quoted market prices, was $280.1 million, and the book value was $374.0 million.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determination by management that the Company’s investment in Alight is not other-than-temporarily impaired as of December 31, 2024 required significant judgment in determining whether the decline in fair value of the investment below its book value is recoverable as of December 31, 2024.</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Therefore, auditing management’s judgment that no other-than-temporary impairment was present in relation to the Company’s investment in Alight involved a higher degree of auditor judgment and subjectivity as well as an increased level of audit effort.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audit procedures related to management’s judgment in determining that the Company’s investment in Alight is not other-than-temporarily impaired as of December 31, 2024, included the following:</w:t>
      </w:r>
    </w:p>
    <w:p>
      <w:pPr>
        <w:spacing w:after="0" w:line="135"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the controls over the Company’s determination that its investment in Alight is not other-than-temporarily impaired as of December 31, 2024.</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other-than-temporary impairment analysis by:</w:t>
      </w:r>
    </w:p>
    <w:p>
      <w:pPr>
        <w:spacing w:after="0" w:line="167" w:lineRule="exact"/>
        <w:rPr>
          <w:rFonts w:ascii="Times New Roman" w:cs="Times New Roman" w:eastAsia="Times New Roman" w:hAnsi="Times New Roman"/>
          <w:sz w:val="14"/>
          <w:szCs w:val="14"/>
          <w:color w:val="auto"/>
        </w:rPr>
      </w:pPr>
    </w:p>
    <w:p>
      <w:pPr>
        <w:ind w:left="760" w:hanging="246"/>
        <w:spacing w:after="0" w:line="239" w:lineRule="auto"/>
        <w:tabs>
          <w:tab w:leader="none" w:pos="778"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Searching for potential indications of other-than-temporary impairment, including adverse market conditions and/or evidence of negative or deteriorating financial condition and operating performance.</w:t>
      </w:r>
    </w:p>
    <w:p>
      <w:pPr>
        <w:spacing w:after="0" w:line="14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management the Company’s investment strategy with regards to its intent and ability to retain its investment in Alight.</w:t>
      </w:r>
    </w:p>
    <w:p>
      <w:pPr>
        <w:ind w:left="760" w:hanging="246"/>
        <w:spacing w:after="0"/>
        <w:tabs>
          <w:tab w:leader="none" w:pos="7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Analyzing the length of time the fair value of the Company’s investment in Alight has been below its book value.</w:t>
      </w:r>
    </w:p>
    <w:p>
      <w:pPr>
        <w:spacing w:after="0" w:line="1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the projections included in Alight’s forecasted operating cash flows to Alight’s historical results and external market sources.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3333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To the Stockholders and the Board of Directors of Alight,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Opinion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consolidated balance sheets of Alight, Inc. (the Company) as of December 31, 2024 and 2023, the related consolidated statements of comprehensive income (loss), stockholders' equity and cash flows for each of the three years in the period ended December 31, 2024, and the related notes (collectively referred to as the "consolidated financial statements") (not presented separately herein).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 Assessment</w:t>
            </w:r>
          </w:p>
        </w:tc>
      </w:tr>
      <w:tr>
        <w:trPr>
          <w:trHeight w:val="266"/>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 December 31, 2024, the Company’s Health Solutions and Wealth Solutions reporting units had $3,084 million and $128 million of goodwill,</w:t>
            </w:r>
          </w:p>
        </w:tc>
      </w:tr>
      <w:tr>
        <w:trPr>
          <w:trHeight w:val="144"/>
        </w:trPr>
        <w:tc>
          <w:tcPr>
            <w:tcW w:w="1940" w:type="dxa"/>
            <w:vAlign w:val="bottom"/>
          </w:tcPr>
          <w:p>
            <w:pPr>
              <w:spacing w:after="0"/>
              <w:rPr>
                <w:sz w:val="12"/>
                <w:szCs w:val="12"/>
                <w:color w:val="auto"/>
              </w:rPr>
            </w:pPr>
          </w:p>
        </w:tc>
        <w:tc>
          <w:tcPr>
            <w:tcW w:w="934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respectively, as disclosed in Note 6 to the consolidated financial statements. Goodwill is tested for impairment at the reporting unit level at least annually or</w:t>
            </w:r>
          </w:p>
        </w:tc>
      </w:tr>
      <w:tr>
        <w:trPr>
          <w:trHeight w:val="142"/>
        </w:trPr>
        <w:tc>
          <w:tcPr>
            <w:tcW w:w="1940" w:type="dxa"/>
            <w:vAlign w:val="bottom"/>
          </w:tcPr>
          <w:p>
            <w:pPr>
              <w:spacing w:after="0"/>
              <w:rPr>
                <w:sz w:val="12"/>
                <w:szCs w:val="12"/>
                <w:color w:val="auto"/>
              </w:rPr>
            </w:pPr>
          </w:p>
        </w:tc>
        <w:tc>
          <w:tcPr>
            <w:tcW w:w="934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when impairment indicators are present. The Company determined the fair value of its Health Solutions and Wealth Solutions reporting units exceeded the</w:t>
            </w:r>
          </w:p>
        </w:tc>
      </w:tr>
      <w:tr>
        <w:trPr>
          <w:trHeight w:val="184"/>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carrying values.</w:t>
            </w:r>
          </w:p>
        </w:tc>
      </w:tr>
      <w:tr>
        <w:trPr>
          <w:trHeight w:val="236"/>
        </w:trPr>
        <w:tc>
          <w:tcPr>
            <w:tcW w:w="1940" w:type="dxa"/>
            <w:vAlign w:val="bottom"/>
          </w:tcPr>
          <w:p>
            <w:pPr>
              <w:spacing w:after="0"/>
              <w:rPr>
                <w:sz w:val="20"/>
                <w:szCs w:val="20"/>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Auditing management’s goodwill impairment assessment was complex and highly judgmental due to the significant estimation required in determining the</w:t>
            </w:r>
          </w:p>
        </w:tc>
      </w:tr>
      <w:tr>
        <w:trPr>
          <w:trHeight w:val="142"/>
        </w:trPr>
        <w:tc>
          <w:tcPr>
            <w:tcW w:w="1940" w:type="dxa"/>
            <w:vAlign w:val="bottom"/>
          </w:tcPr>
          <w:p>
            <w:pPr>
              <w:spacing w:after="0"/>
              <w:rPr>
                <w:sz w:val="12"/>
                <w:szCs w:val="12"/>
                <w:color w:val="auto"/>
              </w:rPr>
            </w:pPr>
          </w:p>
        </w:tc>
        <w:tc>
          <w:tcPr>
            <w:tcW w:w="934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fair value of the Company’s reporting units. The more subjective assumptions used in the analysis for the Health Solutions reporting unit were projections</w:t>
            </w:r>
          </w:p>
        </w:tc>
      </w:tr>
      <w:tr>
        <w:trPr>
          <w:trHeight w:val="138"/>
        </w:trPr>
        <w:tc>
          <w:tcPr>
            <w:tcW w:w="1940" w:type="dxa"/>
            <w:vAlign w:val="bottom"/>
          </w:tcPr>
          <w:p>
            <w:pPr>
              <w:spacing w:after="0"/>
              <w:rPr>
                <w:sz w:val="11"/>
                <w:szCs w:val="11"/>
                <w:color w:val="auto"/>
              </w:rPr>
            </w:pPr>
          </w:p>
        </w:tc>
        <w:tc>
          <w:tcPr>
            <w:tcW w:w="934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of future revenue growth and earnings before interest, taxes, depreciation and intangible amortization margin, and the discount rate. The more subjective</w:t>
            </w:r>
          </w:p>
        </w:tc>
      </w:tr>
      <w:tr>
        <w:trPr>
          <w:trHeight w:val="144"/>
        </w:trPr>
        <w:tc>
          <w:tcPr>
            <w:tcW w:w="1940" w:type="dxa"/>
            <w:vAlign w:val="bottom"/>
          </w:tcPr>
          <w:p>
            <w:pPr>
              <w:spacing w:after="0"/>
              <w:rPr>
                <w:sz w:val="12"/>
                <w:szCs w:val="12"/>
                <w:color w:val="auto"/>
              </w:rPr>
            </w:pPr>
          </w:p>
        </w:tc>
        <w:tc>
          <w:tcPr>
            <w:tcW w:w="934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assumptions used in the analysis for the Wealth Solutions reporting unit were projections of future earnings before interest, taxes, depreciation and</w:t>
            </w:r>
          </w:p>
        </w:tc>
      </w:tr>
      <w:tr>
        <w:trPr>
          <w:trHeight w:val="142"/>
        </w:trPr>
        <w:tc>
          <w:tcPr>
            <w:tcW w:w="1940" w:type="dxa"/>
            <w:vAlign w:val="bottom"/>
          </w:tcPr>
          <w:p>
            <w:pPr>
              <w:spacing w:after="0"/>
              <w:rPr>
                <w:sz w:val="12"/>
                <w:szCs w:val="12"/>
                <w:color w:val="auto"/>
              </w:rPr>
            </w:pPr>
          </w:p>
        </w:tc>
        <w:tc>
          <w:tcPr>
            <w:tcW w:w="934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intangible amortization margin and the discount rate. The more subjective assumptions are all affected by expectations about future market or economic</w:t>
            </w:r>
          </w:p>
        </w:tc>
      </w:tr>
      <w:tr>
        <w:trPr>
          <w:trHeight w:val="184"/>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conditions.</w:t>
            </w:r>
          </w:p>
        </w:tc>
      </w:tr>
      <w:tr>
        <w:trPr>
          <w:trHeight w:val="675"/>
        </w:trPr>
        <w:tc>
          <w:tcPr>
            <w:tcW w:w="1940" w:type="dxa"/>
            <w:vAlign w:val="bottom"/>
          </w:tcPr>
          <w:p>
            <w:pPr>
              <w:spacing w:after="0"/>
              <w:rPr>
                <w:sz w:val="24"/>
                <w:szCs w:val="24"/>
                <w:color w:val="auto"/>
              </w:rPr>
            </w:pPr>
          </w:p>
        </w:tc>
        <w:tc>
          <w:tcPr>
            <w:tcW w:w="9340" w:type="dxa"/>
            <w:vAlign w:val="bottom"/>
          </w:tcPr>
          <w:p>
            <w:pPr>
              <w:ind w:left="3640"/>
              <w:spacing w:after="0"/>
              <w:rPr>
                <w:sz w:val="20"/>
                <w:szCs w:val="20"/>
                <w:color w:val="auto"/>
              </w:rPr>
            </w:pPr>
            <w:r>
              <w:rPr>
                <w:rFonts w:ascii="Times New Roman" w:cs="Times New Roman" w:eastAsia="Times New Roman" w:hAnsi="Times New Roman"/>
                <w:sz w:val="14"/>
                <w:szCs w:val="14"/>
                <w:color w:val="auto"/>
              </w:rPr>
              <w:t>44</w:t>
            </w:r>
          </w:p>
        </w:tc>
      </w:tr>
      <w:tr>
        <w:trPr>
          <w:trHeight w:val="87"/>
        </w:trPr>
        <w:tc>
          <w:tcPr>
            <w:tcW w:w="1940" w:type="dxa"/>
            <w:vAlign w:val="bottom"/>
            <w:tcBorders>
              <w:bottom w:val="single" w:sz="8" w:color="9A9A9A"/>
            </w:tcBorders>
          </w:tcPr>
          <w:p>
            <w:pPr>
              <w:spacing w:after="0"/>
              <w:rPr>
                <w:sz w:val="7"/>
                <w:szCs w:val="7"/>
                <w:color w:val="auto"/>
              </w:rPr>
            </w:pPr>
          </w:p>
        </w:tc>
        <w:tc>
          <w:tcPr>
            <w:tcW w:w="9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96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61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 Matter in Our</w:t>
            </w: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goodwill impairment review</w:t>
            </w:r>
          </w:p>
        </w:tc>
      </w:tr>
      <w:tr>
        <w:trPr>
          <w:trHeight w:val="159"/>
        </w:trPr>
        <w:tc>
          <w:tcPr>
            <w:tcW w:w="23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Audit</w:t>
            </w:r>
          </w:p>
        </w:tc>
        <w:tc>
          <w:tcPr>
            <w:tcW w:w="89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process, including controls over management's review of the significant assumptions discussed above. We also tested management's controls over the</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completeness and accuracy of the underlying data used in the valuation.</w:t>
            </w:r>
          </w:p>
        </w:tc>
      </w:tr>
      <w:tr>
        <w:trPr>
          <w:trHeight w:val="262"/>
        </w:trPr>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test the estimated fair value of the Company’s reporting units, we performed audit procedures that included, among others, assessing methodologies and</w:t>
            </w:r>
          </w:p>
        </w:tc>
      </w:tr>
      <w:tr>
        <w:trPr>
          <w:trHeight w:val="149"/>
        </w:trPr>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testing the significant assumptions discussed above and the underlying data used by the Company in its analysis. We involved our valuation specialists to</w:t>
            </w:r>
          </w:p>
        </w:tc>
      </w:tr>
      <w:tr>
        <w:trPr>
          <w:trHeight w:val="159"/>
        </w:trPr>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evaluate the Company’s model, methods, and the more sensitive assumptions utilized, such as the discount rate. We compared the significant assumptions</w:t>
            </w:r>
          </w:p>
        </w:tc>
      </w:tr>
      <w:tr>
        <w:trPr>
          <w:trHeight w:val="149"/>
        </w:trPr>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used by management to current industry, market and economic trends. In addition, we assessed the historical accuracy of management’s estimates,</w:t>
            </w:r>
          </w:p>
        </w:tc>
      </w:tr>
      <w:tr>
        <w:trPr>
          <w:trHeight w:val="149"/>
        </w:trPr>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performed sensitivity analyses of significant assumptions to evaluate the changes in the fair value of the reporting units that would result from changes in</w:t>
            </w:r>
          </w:p>
        </w:tc>
      </w:tr>
      <w:tr>
        <w:trPr>
          <w:trHeight w:val="149"/>
        </w:trPr>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assumptions, and tested the reconciliation of the fair value of the reporting units to the market capitalization of the Company. We also tested the</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completeness and accuracy of the underlying data used by management in its analysis.</w:t>
            </w:r>
          </w:p>
        </w:tc>
      </w:tr>
      <w:tr>
        <w:trPr>
          <w:trHeight w:val="297"/>
        </w:trPr>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Measurement of the Tax Receivable Agreement Liability</w:t>
            </w:r>
          </w:p>
        </w:tc>
      </w:tr>
      <w:tr>
        <w:trPr>
          <w:trHeight w:val="30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 discussed in Note 15 of the consolidated financial statements, the Company has a Tax Receivable Agreement ("TRA") with certain owners of Alight</w:t>
            </w:r>
          </w:p>
        </w:tc>
      </w:tr>
      <w:tr>
        <w:trPr>
          <w:trHeight w:val="159"/>
        </w:trPr>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Holdings prior to the Business Combination, which is a contractual commitment to distribute 85% of any tax benefits ("TRA Payment"), realized or</w:t>
            </w:r>
          </w:p>
        </w:tc>
      </w:tr>
      <w:tr>
        <w:trPr>
          <w:trHeight w:val="149"/>
        </w:trPr>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9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deemed to be realized by the Company to the parties to the TRA. At December 31, 2024, the Company’s liability due under the TRA ("TRA liability") that</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 measured at fair value on a recurring basis was $620 million.</w:t>
            </w:r>
          </w:p>
        </w:tc>
      </w:tr>
      <w:tr>
        <w:trPr>
          <w:trHeight w:val="283"/>
        </w:trPr>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Auditing management’s accounting for the TRA liability that is measured at fair value on a recurring basis is especially challenging and judgmental due to</w:t>
            </w:r>
          </w:p>
        </w:tc>
      </w:tr>
      <w:tr>
        <w:trPr>
          <w:trHeight w:val="159"/>
        </w:trPr>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the complex model used to calculate the TRA liability. Also, the liability recorded is based on several inputs, including the discount rate applied to the TRA</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Significant changes in the discount rate could have a material effect on the Company’s results of operations.</w:t>
            </w:r>
          </w:p>
        </w:tc>
      </w:tr>
      <w:tr>
        <w:trPr>
          <w:trHeight w:val="29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 Matter in Our</w:t>
            </w: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process of measuring the TRA</w:t>
            </w:r>
          </w:p>
        </w:tc>
      </w:tr>
      <w:tr>
        <w:trPr>
          <w:trHeight w:val="17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Audit</w:t>
            </w: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 at fair value, including management's controls over the completeness and accuracy of the underlying data used in the valuation and the controls</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over management's review of the significant inputs discussed above.</w:t>
            </w:r>
          </w:p>
        </w:tc>
      </w:tr>
      <w:tr>
        <w:trPr>
          <w:trHeight w:val="272"/>
        </w:trPr>
        <w:tc>
          <w:tcPr>
            <w:tcW w:w="10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Our audit procedures included, among others, testing the measurement of the TRA liability measured at fair value by evaluating whether the calculation of</w:t>
            </w:r>
          </w:p>
        </w:tc>
      </w:tr>
      <w:tr>
        <w:trPr>
          <w:trHeight w:val="159"/>
        </w:trPr>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9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the TRA liability was in accordance with the terms set out in the TRA and recalculating the TRA liability. With the assistance of our valuation specialists,</w:t>
            </w:r>
          </w:p>
        </w:tc>
      </w:tr>
      <w:tr>
        <w:trPr>
          <w:trHeight w:val="184"/>
        </w:trPr>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 evaluated the reasonableness of the discount rate by testing the third-party inputs and the valuation methodology employed.</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We have served as the Company’s auditor since 2016.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February 27, 2025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4"/>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4"/>
          </w:tcPr>
          <w:p>
            <w:pPr>
              <w:jc w:val="right"/>
              <w:ind w:right="797"/>
              <w:spacing w:after="0"/>
              <w:rPr>
                <w:sz w:val="20"/>
                <w:szCs w:val="20"/>
                <w:color w:val="auto"/>
              </w:rPr>
            </w:pPr>
            <w:r>
              <w:rPr>
                <w:rFonts w:ascii="Times New Roman" w:cs="Times New Roman" w:eastAsia="Times New Roman" w:hAnsi="Times New Roman"/>
                <w:sz w:val="11"/>
                <w:szCs w:val="11"/>
                <w:b w:val="1"/>
                <w:bCs w:val="1"/>
                <w:color w:val="auto"/>
              </w:rPr>
              <w:t>(In millions, except share data)</w:t>
            </w:r>
          </w:p>
        </w:tc>
        <w:tc>
          <w:tcPr>
            <w:tcW w:w="0" w:type="dxa"/>
            <w:vAlign w:val="bottom"/>
          </w:tcPr>
          <w:p>
            <w:pPr>
              <w:spacing w:after="0"/>
              <w:rPr>
                <w:sz w:val="1"/>
                <w:szCs w:val="1"/>
                <w:color w:val="auto"/>
              </w:rPr>
            </w:pPr>
          </w:p>
        </w:tc>
      </w:tr>
      <w:tr>
        <w:trPr>
          <w:trHeight w:val="164"/>
        </w:trPr>
        <w:tc>
          <w:tcPr>
            <w:tcW w:w="7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Short-term investments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taxes receivable</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1,718.8</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 at fair value</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290.9</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investments and non-current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0" w:type="dxa"/>
            <w:vAlign w:val="bottom"/>
          </w:tcPr>
          <w:p>
            <w:pPr>
              <w:spacing w:after="0"/>
              <w:rPr>
                <w:sz w:val="1"/>
                <w:szCs w:val="1"/>
                <w:color w:val="auto"/>
              </w:rPr>
            </w:pPr>
          </w:p>
        </w:tc>
      </w:tr>
      <w:tr>
        <w:trPr>
          <w:trHeight w:val="163"/>
        </w:trPr>
        <w:tc>
          <w:tcPr>
            <w:tcW w:w="79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2,686.7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900" w:type="dxa"/>
            <w:vAlign w:val="bottom"/>
            <w:shd w:val="clear" w:color="auto" w:fill="CCEEFF"/>
          </w:tcPr>
          <w:p>
            <w:pPr>
              <w:ind w:left="484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other accrued liabilities, current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Notes payable, current</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 long-term</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 long-term</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0" w:type="dxa"/>
            <w:vAlign w:val="bottom"/>
          </w:tcPr>
          <w:p>
            <w:pPr>
              <w:spacing w:after="0"/>
              <w:rPr>
                <w:sz w:val="1"/>
                <w:szCs w:val="1"/>
                <w:color w:val="auto"/>
              </w:rPr>
            </w:pPr>
          </w:p>
        </w:tc>
      </w:tr>
      <w:tr>
        <w:trPr>
          <w:trHeight w:val="168"/>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Accounts payable and other accrued liabilities, long-term</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 see Note M</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9"/>
              </w:rPr>
              <w:t>Cannae common stock, $0.0001 par value; authorized 115,000,000 shares as of December 31, 2024 and December 31, 2023; issued of 94,328,322 and</w:t>
            </w: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92,844,329 shares as of December 31, 2024 and December 31, 2023, respectively; and outstanding of 62,789,542 and 70,367,088 shares as of</w:t>
            </w:r>
          </w:p>
        </w:tc>
        <w:tc>
          <w:tcPr>
            <w:tcW w:w="20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December 31, 2024 and December 31, 2023, respectively</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stock, $0.0001 par value; authorized 10,000,000 shares; issued and outstanding, none as of December 31, 2024 and December 31, 2023</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1,977.0</w:t>
            </w:r>
          </w:p>
        </w:tc>
        <w:tc>
          <w:tcPr>
            <w:tcW w:w="0" w:type="dxa"/>
            <w:vAlign w:val="bottom"/>
          </w:tcPr>
          <w:p>
            <w:pPr>
              <w:spacing w:after="0"/>
              <w:rPr>
                <w:sz w:val="1"/>
                <w:szCs w:val="1"/>
                <w:color w:val="auto"/>
              </w:rPr>
            </w:pPr>
          </w:p>
        </w:tc>
      </w:tr>
      <w:tr>
        <w:trPr>
          <w:trHeight w:val="168"/>
        </w:trPr>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 Treasury stock, 31,538,780 and 22,477,241 shares as of December 31, 2024 and December 31, 2023, respectively, at cost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58"/>
        </w:trPr>
        <w:tc>
          <w:tcPr>
            <w:tcW w:w="7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Cannae shareholders' equity</w:t>
            </w: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2,324.5</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58"/>
        </w:trPr>
        <w:tc>
          <w:tcPr>
            <w:tcW w:w="7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equity</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2,309.2</w:t>
            </w:r>
          </w:p>
        </w:tc>
        <w:tc>
          <w:tcPr>
            <w:tcW w:w="0" w:type="dxa"/>
            <w:vAlign w:val="bottom"/>
          </w:tcPr>
          <w:p>
            <w:pPr>
              <w:spacing w:after="0"/>
              <w:rPr>
                <w:sz w:val="1"/>
                <w:szCs w:val="1"/>
                <w:color w:val="auto"/>
              </w:rPr>
            </w:pPr>
          </w:p>
        </w:tc>
      </w:tr>
      <w:tr>
        <w:trPr>
          <w:trHeight w:val="188"/>
        </w:trPr>
        <w:tc>
          <w:tcPr>
            <w:tcW w:w="7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0"/>
        </w:trPr>
        <w:tc>
          <w:tcPr>
            <w:tcW w:w="7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6"/>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Restaurant revenue</w:t>
            </w:r>
          </w:p>
        </w:tc>
        <w:tc>
          <w:tcPr>
            <w:tcW w:w="660" w:type="dxa"/>
            <w:vAlign w:val="bottom"/>
          </w:tcPr>
          <w:p>
            <w:pPr>
              <w:jc w:val="right"/>
              <w:ind w:right="51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630.6</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operating revenue</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58"/>
        </w:trPr>
        <w:tc>
          <w:tcPr>
            <w:tcW w:w="7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restaurant revenue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Personnel costs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operating expenses, including asset impairments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806.7</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Operating loss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0" w:type="dxa"/>
            <w:vAlign w:val="bottom"/>
          </w:tcPr>
          <w:p>
            <w:pPr>
              <w:spacing w:after="0"/>
              <w:rPr>
                <w:sz w:val="1"/>
                <w:szCs w:val="1"/>
                <w:color w:val="auto"/>
              </w:rPr>
            </w:pPr>
          </w:p>
        </w:tc>
      </w:tr>
      <w:tr>
        <w:trPr>
          <w:trHeight w:val="148"/>
        </w:trPr>
        <w:tc>
          <w:tcPr>
            <w:tcW w:w="78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investment and other income</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Recognized losses, net</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0" w:type="dxa"/>
            <w:vAlign w:val="bottom"/>
          </w:tcPr>
          <w:p>
            <w:pPr>
              <w:spacing w:after="0"/>
              <w:rPr>
                <w:sz w:val="1"/>
                <w:szCs w:val="1"/>
                <w:color w:val="auto"/>
              </w:rPr>
            </w:pPr>
          </w:p>
        </w:tc>
      </w:tr>
      <w:tr>
        <w:trPr>
          <w:trHeight w:val="158"/>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income taxes and equity in losses of unconsolidated affiliates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equity in losses of unconsolidated affiliates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Equity in losses of unconsolidated affiliates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6"/>
        </w:trPr>
        <w:tc>
          <w:tcPr>
            <w:tcW w:w="78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loss attributable to Cannae Holdings, Inc. common shareholders</w:t>
            </w:r>
          </w:p>
        </w:tc>
        <w:tc>
          <w:tcPr>
            <w:tcW w:w="660" w:type="dxa"/>
            <w:vAlign w:val="bottom"/>
            <w:tcBorders>
              <w:bottom w:val="single" w:sz="8" w:color="auto"/>
            </w:tcBorders>
            <w:shd w:val="clear" w:color="auto" w:fill="CCEEFF"/>
          </w:tcPr>
          <w:p>
            <w:pPr>
              <w:jc w:val="right"/>
              <w:ind w:right="518"/>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(304.6)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(313.4)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(428.1)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 basic</w:t>
            </w:r>
          </w:p>
        </w:tc>
        <w:tc>
          <w:tcPr>
            <w:tcW w:w="66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8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loss per share - diluted</w:t>
            </w:r>
          </w:p>
        </w:tc>
        <w:tc>
          <w:tcPr>
            <w:tcW w:w="660" w:type="dxa"/>
            <w:vAlign w:val="bottom"/>
            <w:tcBorders>
              <w:top w:val="single" w:sz="8" w:color="auto"/>
              <w:bottom w:val="single" w:sz="8" w:color="auto"/>
            </w:tcBorders>
          </w:tcPr>
          <w:p>
            <w:pPr>
              <w:jc w:val="right"/>
              <w:ind w:right="518"/>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(4.27)</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8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Cannae Holdings common stock, basic basis</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Cannae Holdings common stock, diluted basis</w:t>
            </w:r>
          </w:p>
        </w:tc>
        <w:tc>
          <w:tcPr>
            <w:tcW w:w="6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EARNINGS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earnings, net of tax:</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70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3"/>
                <w:szCs w:val="13"/>
                <w:color w:val="auto"/>
              </w:rPr>
              <w:t xml:space="preserve">Unrealized loss relating to investments in unconsolidated affiliates </w:t>
            </w:r>
            <w:r>
              <w:rPr>
                <w:rFonts w:ascii="Times New Roman" w:cs="Times New Roman" w:eastAsia="Times New Roman" w:hAnsi="Times New Roman"/>
                <w:sz w:val="16"/>
                <w:szCs w:val="16"/>
                <w:color w:val="auto"/>
                <w:vertAlign w:val="superscript"/>
              </w:rPr>
              <w:t>(1)</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70"/>
        </w:trPr>
        <w:tc>
          <w:tcPr>
            <w:tcW w:w="7700" w:type="dxa"/>
            <w:vAlign w:val="bottom"/>
            <w:tcBorders>
              <w:bottom w:val="single" w:sz="8" w:color="CCEEFF"/>
            </w:tcBorders>
          </w:tcPr>
          <w:p>
            <w:pPr>
              <w:ind w:left="180"/>
              <w:spacing w:after="0" w:line="170" w:lineRule="exact"/>
              <w:rPr>
                <w:sz w:val="20"/>
                <w:szCs w:val="20"/>
                <w:color w:val="auto"/>
              </w:rPr>
            </w:pPr>
            <w:r>
              <w:rPr>
                <w:rFonts w:ascii="Times New Roman" w:cs="Times New Roman" w:eastAsia="Times New Roman" w:hAnsi="Times New Roman"/>
                <w:sz w:val="13"/>
                <w:szCs w:val="13"/>
                <w:color w:val="auto"/>
              </w:rPr>
              <w:t xml:space="preserve">Reclassification of unrealized losses on investments in unconsolidated affiliates, net of tax, included in net earnings </w:t>
            </w:r>
            <w:r>
              <w:rPr>
                <w:rFonts w:ascii="Times New Roman" w:cs="Times New Roman" w:eastAsia="Times New Roman" w:hAnsi="Times New Roman"/>
                <w:sz w:val="16"/>
                <w:szCs w:val="16"/>
                <w:color w:val="auto"/>
                <w:vertAlign w:val="superscript"/>
              </w:rPr>
              <w:t>(2)</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5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(440.5)</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Comprehensive loss attributable to noncontrolling interests</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Cannae</w:t>
            </w:r>
          </w:p>
        </w:tc>
        <w:tc>
          <w:tcPr>
            <w:tcW w:w="7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(439.0)</w:t>
            </w: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101" w:lineRule="exact"/>
        <w:rPr>
          <w:sz w:val="20"/>
          <w:szCs w:val="20"/>
          <w:color w:val="auto"/>
        </w:rPr>
      </w:pPr>
    </w:p>
    <w:p>
      <w:pPr>
        <w:ind w:left="760" w:hanging="755"/>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of $0.6 million, $0.8 million and $3.9 million for the years ended December 31, 2024, 2023 and 2022, respectively.</w:t>
      </w:r>
    </w:p>
    <w:p>
      <w:pPr>
        <w:spacing w:after="0" w:line="93"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of $0.8 million, $0.3 million and $1.0 million for the years ended December 31, 2024, 2023 and 2022, respectively.</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19050</wp:posOffset>
            </wp:positionV>
            <wp:extent cx="8216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1690" cy="6985"/>
                    </a:xfrm>
                    <a:prstGeom prst="rect">
                      <a:avLst/>
                    </a:prstGeom>
                    <a:noFill/>
                  </pic:spPr>
                </pic:pic>
              </a:graphicData>
            </a:graphic>
          </wp:anchor>
        </w:drawing>
        <w:drawing>
          <wp:anchor simplePos="0" relativeHeight="251657728" behindDoc="1" locked="0" layoutInCell="0" allowOverlap="1">
            <wp:simplePos x="0" y="0"/>
            <wp:positionH relativeFrom="column">
              <wp:posOffset>2758440</wp:posOffset>
            </wp:positionH>
            <wp:positionV relativeFrom="paragraph">
              <wp:posOffset>19050</wp:posOffset>
            </wp:positionV>
            <wp:extent cx="7340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060" cy="698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40" w:type="dxa"/>
            <w:vAlign w:val="bottom"/>
          </w:tcPr>
          <w:p>
            <w:pPr>
              <w:spacing w:after="0"/>
              <w:rPr>
                <w:sz w:val="11"/>
                <w:szCs w:val="11"/>
                <w:color w:val="auto"/>
              </w:rPr>
            </w:pPr>
          </w:p>
        </w:tc>
        <w:tc>
          <w:tcPr>
            <w:tcW w:w="124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38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3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tcPr>
          <w:p>
            <w:pPr>
              <w:ind w:left="40"/>
              <w:spacing w:after="0" w:line="44" w:lineRule="exact"/>
              <w:rPr>
                <w:sz w:val="20"/>
                <w:szCs w:val="20"/>
                <w:color w:val="auto"/>
              </w:rPr>
            </w:pPr>
            <w:r>
              <w:rPr>
                <w:rFonts w:ascii="Times New Roman" w:cs="Times New Roman" w:eastAsia="Times New Roman" w:hAnsi="Times New Roman"/>
                <w:sz w:val="5"/>
                <w:szCs w:val="5"/>
                <w:b w:val="1"/>
                <w:bCs w:val="1"/>
                <w:color w:val="auto"/>
              </w:rPr>
              <w:t>Additional Paid-in</w:t>
            </w:r>
          </w:p>
        </w:tc>
        <w:tc>
          <w:tcPr>
            <w:tcW w:w="120" w:type="dxa"/>
            <w:vAlign w:val="bottom"/>
          </w:tcPr>
          <w:p>
            <w:pPr>
              <w:spacing w:after="0"/>
              <w:rPr>
                <w:sz w:val="3"/>
                <w:szCs w:val="3"/>
                <w:color w:val="auto"/>
              </w:rPr>
            </w:pPr>
          </w:p>
        </w:tc>
        <w:tc>
          <w:tcPr>
            <w:tcW w:w="680" w:type="dxa"/>
            <w:vAlign w:val="bottom"/>
            <w:gridSpan w:val="2"/>
          </w:tcPr>
          <w:p>
            <w:pPr>
              <w:ind w:left="40"/>
              <w:spacing w:after="0" w:line="44" w:lineRule="exact"/>
              <w:rPr>
                <w:sz w:val="20"/>
                <w:szCs w:val="20"/>
                <w:color w:val="auto"/>
              </w:rPr>
            </w:pPr>
            <w:r>
              <w:rPr>
                <w:rFonts w:ascii="Times New Roman" w:cs="Times New Roman" w:eastAsia="Times New Roman" w:hAnsi="Times New Roman"/>
                <w:sz w:val="5"/>
                <w:szCs w:val="5"/>
                <w:b w:val="1"/>
                <w:bCs w:val="1"/>
                <w:color w:val="auto"/>
              </w:rPr>
              <w:t>Retained</w:t>
            </w:r>
          </w:p>
        </w:tc>
        <w:tc>
          <w:tcPr>
            <w:tcW w:w="120" w:type="dxa"/>
            <w:vAlign w:val="bottom"/>
          </w:tcPr>
          <w:p>
            <w:pPr>
              <w:spacing w:after="0"/>
              <w:rPr>
                <w:sz w:val="3"/>
                <w:szCs w:val="3"/>
                <w:color w:val="auto"/>
              </w:rPr>
            </w:pPr>
          </w:p>
        </w:tc>
        <w:tc>
          <w:tcPr>
            <w:tcW w:w="900" w:type="dxa"/>
            <w:vAlign w:val="bottom"/>
            <w:gridSpan w:val="2"/>
          </w:tcPr>
          <w:p>
            <w:pPr>
              <w:jc w:val="center"/>
              <w:ind w:right="220"/>
              <w:spacing w:after="0" w:line="44" w:lineRule="exact"/>
              <w:rPr>
                <w:sz w:val="20"/>
                <w:szCs w:val="20"/>
                <w:color w:val="auto"/>
              </w:rPr>
            </w:pPr>
            <w:r>
              <w:rPr>
                <w:rFonts w:ascii="Times New Roman" w:cs="Times New Roman" w:eastAsia="Times New Roman" w:hAnsi="Times New Roman"/>
                <w:sz w:val="5"/>
                <w:szCs w:val="5"/>
                <w:b w:val="1"/>
                <w:bCs w:val="1"/>
                <w:color w:val="auto"/>
              </w:rPr>
              <w:t>Comp (Loss)</w:t>
            </w: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tcPr>
          <w:p>
            <w:pPr>
              <w:jc w:val="center"/>
              <w:ind w:right="100"/>
              <w:spacing w:after="0" w:line="44"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40" w:type="dxa"/>
            <w:vAlign w:val="bottom"/>
          </w:tcPr>
          <w:p>
            <w:pPr>
              <w:spacing w:after="0"/>
              <w:rPr>
                <w:sz w:val="3"/>
                <w:szCs w:val="3"/>
                <w:color w:val="auto"/>
              </w:rPr>
            </w:pPr>
          </w:p>
        </w:tc>
        <w:tc>
          <w:tcPr>
            <w:tcW w:w="580" w:type="dxa"/>
            <w:vAlign w:val="bottom"/>
          </w:tcPr>
          <w:p>
            <w:pPr>
              <w:jc w:val="right"/>
              <w:ind w:right="205"/>
              <w:spacing w:after="0" w:line="44" w:lineRule="exact"/>
              <w:rPr>
                <w:sz w:val="20"/>
                <w:szCs w:val="20"/>
                <w:color w:val="auto"/>
              </w:rPr>
            </w:pPr>
            <w:r>
              <w:rPr>
                <w:rFonts w:ascii="Times New Roman" w:cs="Times New Roman" w:eastAsia="Times New Roman" w:hAnsi="Times New Roman"/>
                <w:sz w:val="5"/>
                <w:szCs w:val="5"/>
                <w:b w:val="1"/>
                <w:bCs w:val="1"/>
                <w:color w:val="auto"/>
              </w:rPr>
              <w:t>Total</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39"/>
        </w:trPr>
        <w:tc>
          <w:tcPr>
            <w:tcW w:w="4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color w:val="auto"/>
              </w:rPr>
              <w:t>(In millions)</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3,341.1</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0" w:type="dxa"/>
            <w:vAlign w:val="bottom"/>
          </w:tcPr>
          <w:p>
            <w:pPr>
              <w:spacing w:after="0"/>
              <w:rPr>
                <w:sz w:val="1"/>
                <w:szCs w:val="1"/>
                <w:color w:val="auto"/>
              </w:rPr>
            </w:pPr>
          </w:p>
        </w:tc>
      </w:tr>
      <w:tr>
        <w:trPr>
          <w:trHeight w:val="102"/>
        </w:trPr>
        <w:tc>
          <w:tcPr>
            <w:tcW w:w="4340" w:type="dxa"/>
            <w:vAlign w:val="bottom"/>
            <w:shd w:val="clear" w:color="auto" w:fill="CCEEFF"/>
          </w:tcPr>
          <w:p>
            <w:pPr>
              <w:ind w:left="120"/>
              <w:spacing w:after="0" w:line="102"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(225.4)</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Subsidiary dividends paid to noncontrolling interests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(429.6)</w:t>
            </w: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92.5</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1,936.2</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tcPr>
          <w:p>
            <w:pPr>
              <w:spacing w:after="0"/>
              <w:rPr>
                <w:sz w:val="12"/>
                <w:szCs w:val="12"/>
                <w:color w:val="auto"/>
              </w:rPr>
            </w:pPr>
          </w:p>
        </w:tc>
        <w:tc>
          <w:tcPr>
            <w:tcW w:w="20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(414.0)</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2,714.9</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95"/>
        </w:trPr>
        <w:tc>
          <w:tcPr>
            <w:tcW w:w="4340" w:type="dxa"/>
            <w:vAlign w:val="bottom"/>
          </w:tcPr>
          <w:p>
            <w:pPr>
              <w:ind w:left="1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9"/>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Payment for shares withheld for taxes and in treasury</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Subsidiary dividends paid to noncontrolling interests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(324.1)</w:t>
            </w: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December 31, 2023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1,977.0</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901.3</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2"/>
                <w:szCs w:val="12"/>
                <w:color w:val="auto"/>
              </w:rPr>
            </w:pPr>
          </w:p>
        </w:tc>
        <w:tc>
          <w:tcPr>
            <w:tcW w:w="20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(533.9)</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2,309.2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comprehensive earnings — unrealized losses of investments in unconsolidated affiliates, net of tax</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95"/>
        </w:trPr>
        <w:tc>
          <w:tcPr>
            <w:tcW w:w="4340" w:type="dxa"/>
            <w:vAlign w:val="bottom"/>
          </w:tcPr>
          <w:p>
            <w:pPr>
              <w:ind w:left="1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on unconsolidated affiliates, net of tax,</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39"/>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included in net loss</w:t>
            </w: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Treasury stock repurchases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Treasury shares issued for investment in JANA</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Issuance of restricted stock and shares held in trust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RSU vesting and payment for shares withheld for taxes and in treasury</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Stock-based compensation, consolidated subsidiaries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unconsolidated affiliates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Subsidiary dividends paid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3"/>
        </w:trPr>
        <w:tc>
          <w:tcPr>
            <w:tcW w:w="4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Dividends declared</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(310.1)</w:t>
            </w:r>
          </w:p>
        </w:tc>
        <w:tc>
          <w:tcPr>
            <w:tcW w:w="0" w:type="dxa"/>
            <w:vAlign w:val="bottom"/>
          </w:tcPr>
          <w:p>
            <w:pPr>
              <w:spacing w:after="0"/>
              <w:rPr>
                <w:sz w:val="1"/>
                <w:szCs w:val="1"/>
                <w:color w:val="auto"/>
              </w:rPr>
            </w:pPr>
          </w:p>
        </w:tc>
      </w:tr>
      <w:tr>
        <w:trPr>
          <w:trHeight w:val="150"/>
        </w:trPr>
        <w:tc>
          <w:tcPr>
            <w:tcW w:w="4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December 31, 2024</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2,013.3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1,815.3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(310.1)</w:t>
            </w: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(324.1)</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183.9</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Distributions from investments in unconsolidated affiliates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Recognized losses and impairments of assets, net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183.9</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Non-cash carried interest expense</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31.8</w:t>
            </w:r>
          </w:p>
        </w:tc>
      </w:tr>
      <w:tr>
        <w:trPr>
          <w:trHeight w:val="165"/>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Lease asset amortization</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w:t>
            </w:r>
          </w:p>
        </w:tc>
      </w:tr>
      <w:tr>
        <w:trPr>
          <w:trHeight w:val="153"/>
        </w:trPr>
        <w:tc>
          <w:tcPr>
            <w:tcW w:w="7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Stock-based compensation cost</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Changes in assets and liabilities, net of effects from acquisitions: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decrease (increase) in other assets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r>
      <w:tr>
        <w:trPr>
          <w:trHeight w:val="165"/>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decrease in accounts payable, accrued liabilities, deferred revenue and other</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r>
      <w:tr>
        <w:trPr>
          <w:trHeight w:val="153"/>
        </w:trPr>
        <w:tc>
          <w:tcPr>
            <w:tcW w:w="77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decrease in lease liabilities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r>
      <w:tr>
        <w:trPr>
          <w:trHeight w:val="165"/>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(190.3)</w:t>
            </w:r>
          </w:p>
        </w:tc>
      </w:tr>
      <w:tr>
        <w:trPr>
          <w:trHeight w:val="144"/>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w:t>
            </w:r>
          </w:p>
        </w:tc>
      </w:tr>
      <w:tr>
        <w:trPr>
          <w:trHeight w:val="165"/>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sales of Dayforce shares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285.7</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partial sale of D&amp;B shares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127.2</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partial sale of Alight shares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other sales of investments in unconsolidated affiliates, equity securities and other long- term investments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55.9</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sale of AmeriLife</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250.0</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Optimal Blue Disposition, cash portion</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144.5</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sale of CorroHealth</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78.7</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Distributions from investments in unconsolidated affiliates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Proceeds from the sale of property and equipment</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Collections of notes receivable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0.9</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Investment in System1</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(246.5)</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 of investments in unconsolidated affiliates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 of other long-term investments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Additions to property and equipment and other intangible assets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 of short-term investment securities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Proceeds from sale and maturity of short-term investment securities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acquisitions/disposals of businesses, net of cash acquired/disposed</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investing activities</w:t>
            </w: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53.1</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521.2</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Borrowings, net of debt issuance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308.6</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Debt service payments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(225.2)</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Subsidiary distributions paid to noncontrolling interest shareholders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 paid</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(229.5)</w:t>
            </w:r>
          </w:p>
        </w:tc>
      </w:tr>
      <w:tr>
        <w:trPr>
          <w:trHeight w:val="15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7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161.9</w:t>
            </w:r>
          </w:p>
        </w:tc>
      </w:tr>
      <w:tr>
        <w:trPr>
          <w:trHeight w:val="165"/>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85.8</w:t>
            </w:r>
          </w:p>
        </w:tc>
      </w:tr>
      <w:tr>
        <w:trPr>
          <w:trHeight w:val="150"/>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7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247.7</w:t>
            </w:r>
          </w:p>
        </w:tc>
      </w:tr>
      <w:tr>
        <w:trPr>
          <w:trHeight w:val="20"/>
        </w:trPr>
        <w:tc>
          <w:tcPr>
            <w:tcW w:w="7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6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A.</w:t>
        <w:tab/>
        <w:t>Business and Summary of Significant Accounting Policies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significant accounting policies of Cannae Holdings, Inc. and its subsidiaries (collectively, "we," "us," "our," "Cannae," "CNNE" or the "Company"), which have been followed in preparing the accompanying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primarily acquire interests in operating companies and are engaged in actively managing and operating a core group of those companies, which we are committed to supporting for the long-term.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2024 include our ownership interests in Dun &amp; Bradstreet Holdings, Inc. ("Dun &amp; Bradstreet" or "D&amp;B"); Alight, Inc. ("Alight"); Paysafe Limited ("Paysafe"); Sightline Payments Holdings, LLC ("Sightline"); System1, Inc. ("System1"); Black Knight Football Club US, LP ("Black Knight Football" or "BKFC", formerly known as Black Knight Football and Entertainment, LP); Computer Services, Inc. ("CSI"); Watkins Holdings, LLC ("Watkins Holdings"); JANA Partners Capital, LLC and JANA Partners Management, LP (together, "JANA" or "JANA Partners"); High Sierra Distillery, LP ("Minden Mill"); AmeriLife Group, LLC ("AmeriLife"); O'Charley's Holdings, LLC ("O'Charley's"); 99 Restaurants Holdings, LLC ("99 Restaurants"); and various other controlled subsidiary companies and minority equity ownership interests.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E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further discussion of the businesses comprising our reportable segments.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conduct our business through our wholly-owned subsidiary Cannae Holdings, LLC ("Cannae LLC"), a Nevada limited liability company. Our board of directors ("Board") oversees the management of the Company, Cannae LLC and its businesses, and the performance of our external manager, Trasimene Capital Management, LLC ("Trasimene" or our "Manager").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are prepared in accordance with generally accepted accounting principles in the United States ("GAAP") and include the historical accounts as well as wholly-owned and majority-owned subsidiaries of the Company. In the opinion of management, all adjustments considered necessary for a fair presentation have been included. All adjustments made were of a normal, recurring nature.</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represents the portion of our majority-owned subsidiaries' net earnings or loss that is owned by noncontrolling shareholders of such subsidiaries. Noncontrolling interest recorded on the Consolidated Balance Sheets represents the portion of equity owned by noncontrolling shareholders in our consolidated subsidiaries.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Estimates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nonrecurring fair value measurements in accounting for certain equity investments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accounting for income taxes (Note L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Actual results could differ from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Dayforce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year ended December 31, 2024, we sold the remaining 4.0 million shares of common stock of Dayforce for gross proceeds of $264.0 million. As of December 31, 2024, we no longer have any holdings of Dayforce.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our ownership interest in Dayforce and other equity securities.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Dun &amp; Bradstreet</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February 8, 2024, April 30, 2024, July 24, 2024, and October 22, 2024, the board of directors of D&amp;B declared quarterly cash dividends of $0.05 per share of D&amp;B common stock. In the year ended December 31, 2024, we received $14.3 million of cash dividends from D&amp;B which are recorded as a reduction to the basis of our recorded asset for D&amp;B.</w:t>
      </w:r>
    </w:p>
    <w:p>
      <w:pPr>
        <w:spacing w:after="0" w:line="39" w:lineRule="exact"/>
        <w:rPr>
          <w:sz w:val="20"/>
          <w:szCs w:val="20"/>
          <w:color w:val="auto"/>
        </w:rPr>
      </w:pPr>
    </w:p>
    <w:p>
      <w:pPr>
        <w:ind w:left="260" w:right="3040"/>
        <w:spacing w:after="0" w:line="379" w:lineRule="auto"/>
        <w:rPr>
          <w:sz w:val="20"/>
          <w:szCs w:val="20"/>
          <w:color w:val="auto"/>
        </w:rPr>
      </w:pPr>
      <w:r>
        <w:rPr>
          <w:rFonts w:ascii="Times New Roman" w:cs="Times New Roman" w:eastAsia="Times New Roman" w:hAnsi="Times New Roman"/>
          <w:sz w:val="14"/>
          <w:szCs w:val="14"/>
          <w:color w:val="auto"/>
        </w:rPr>
        <w:t xml:space="preserve">As of December 31, 2024, we owned 69.0 million shares of D&amp;B, which represented approximately 15.6% of its outstanding common stock. 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D&amp;B and other equity method investments. </w:t>
      </w:r>
      <w:r>
        <w:rPr>
          <w:rFonts w:ascii="Times New Roman" w:cs="Times New Roman" w:eastAsia="Times New Roman" w:hAnsi="Times New Roman"/>
          <w:sz w:val="14"/>
          <w:szCs w:val="14"/>
          <w:i w:val="1"/>
          <w:iCs w:val="1"/>
          <w:color w:val="auto"/>
        </w:rPr>
        <w:t>Paysafe</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January 2024, we purchased 1.6 million shares of common stock of Paysafe for $23.4 million. In November 2024, we sold 0.9 million shares of common stock of Paysafe for $16.0 million which will generate expected tax savings for the Company.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owned 2.5 million shares of Paysafe which represented approximately 4.1% of the outstanding common equity of Paysafe.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our ownership interest in Paysafe and other equity securities.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Alight</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December 3, 2024, we completed the sale of 12.0 million shares of common stock of Alight for aggregate proceeds of $89.0 million.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we owned 40.5 million shares of Alight, which represented approximately 7.6% of its outstanding common stock.</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Alight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JANA</w:t>
      </w:r>
    </w:p>
    <w:p>
      <w:pPr>
        <w:spacing w:after="0" w:line="96"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On February 21, 2024, we issued 1.85 million shares of common stock of the Company from the Company’s treasury and paid $18.3 million in cash, in the aggregate, to certain partners of JANA in exchange for a 19.99% equity interest in JANA. The transaction is valued at $55.5 million based on the closing price of the Company's common stock on February 21, 2024. Cannae also committed to invest $50 million into JANA funds (the "JANA Fund Commitment"). JANA Partners is an investment manager founded in 2001. We account for our ownership interest in JANA as an unconsolidated affiliate using the equity method of accounting and record our ratable share of JANA's net income or loss on a three-month lag. On December 27, 2024, the Company invested $20.0 million into a separate JANA fund as part of the JANA Fund Commitment. We account for our investment in the JANA fund as an equity security without a readily determinable fair value.</w:t>
      </w:r>
    </w:p>
    <w:p>
      <w:pPr>
        <w:spacing w:after="0" w:line="5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JANA and other equity method investments and our accounting for the JANA fund and other equity securities without a readily determinable fair value.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Watkins Holdings</w:t>
      </w:r>
    </w:p>
    <w:p>
      <w:pPr>
        <w:spacing w:after="0" w:line="74"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On October 17, 2024, the Company invested approximately $80.0 million for a 52.8% ownership interest in Watkins Holdings, LLC ("Watkins Holdings"), a partnership with KDSA Investment Partners ("KDSA") and Mark Jacobs (the "Watkins Acquisition"). Watkins Holdings concurrently completed the acquisition of The Watkins Company ("Watkins"), a leading producer of high-quality flavoring products. Watkins was founded in 1868 and has grown to be a leading domestic producer of spices, seasonings and extracts. The former majority owner of Watkins, Mark Jacobs, rolled a significant equity stake into Watkins Holdings. We account for our ownership interest in Watkins as an unconsolidated affiliate using the equity method of accounting and record our ratable share of Watkins net income or loss on a three-month lag.</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Watkins Holdings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year ended December 31, 2024, we invested $36.8 million in BKFC and as of December 31, 2024, we held a 47.2% ownership interest.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our ownership interest in BKFC and other equity method investments.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Developments</w:t>
      </w:r>
    </w:p>
    <w:p>
      <w:pPr>
        <w:spacing w:after="0" w:line="9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62"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MSA has a termination date of June 30, 2027 unless earlier terminated by the Company or Trasimene.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dividends were declared by our Board in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Payment Date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Per Share</w:t>
            </w:r>
          </w:p>
        </w:tc>
      </w:tr>
      <w:tr>
        <w:trPr>
          <w:trHeight w:val="171"/>
        </w:trPr>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9,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14,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28, 2024</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30, 2024</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16, 2024</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September 30, 2024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r>
      <w:tr>
        <w:trPr>
          <w:trHeight w:val="180"/>
        </w:trPr>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November 7, 2024</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17, 2024</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$0.12</w:t>
            </w:r>
          </w:p>
        </w:tc>
      </w:tr>
    </w:tbl>
    <w:p>
      <w:pPr>
        <w:spacing w:after="0" w:line="134" w:lineRule="exact"/>
        <w:rPr>
          <w:sz w:val="20"/>
          <w:szCs w:val="20"/>
          <w:color w:val="auto"/>
        </w:rPr>
      </w:pPr>
    </w:p>
    <w:p>
      <w:pPr>
        <w:ind w:right="640" w:firstLine="255"/>
        <w:spacing w:after="0" w:line="371" w:lineRule="auto"/>
        <w:rPr>
          <w:sz w:val="20"/>
          <w:szCs w:val="20"/>
          <w:color w:val="auto"/>
        </w:rPr>
      </w:pPr>
      <w:r>
        <w:rPr>
          <w:rFonts w:ascii="Times New Roman" w:cs="Times New Roman" w:eastAsia="Times New Roman" w:hAnsi="Times New Roman"/>
          <w:sz w:val="14"/>
          <w:szCs w:val="14"/>
          <w:color w:val="auto"/>
        </w:rPr>
        <w:t xml:space="preserve">Subsequent to December 31, 2024, the Board declared cash dividends of $0.12 per share, payable on March 31, 2025, to Cannae common shareholders of record as of March 17, 2025. </w:t>
      </w:r>
      <w:r>
        <w:rPr>
          <w:rFonts w:ascii="Times New Roman" w:cs="Times New Roman" w:eastAsia="Times New Roman" w:hAnsi="Times New Roman"/>
          <w:sz w:val="14"/>
          <w:szCs w:val="14"/>
          <w:b w:val="1"/>
          <w:bCs w:val="1"/>
          <w:i w:val="1"/>
          <w:iCs w:val="1"/>
          <w:color w:val="auto"/>
        </w:rPr>
        <w:t>Cash and Cash Equivalents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Highly liquid instruments, including money market instruments and certificates of deposit,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Short term investments consist of highly liquid instruments, primarily certificates of deposit and corporate debt securities with high credit quality, purchased as part of cash management that have an original maturity of between three months and four months and are carried at amortized cost, which approximates fair value.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Equity securities include our investment in Paysafe (and prior to our complete exit in September 2024, Dayforce) and are carried at fair value. Recognized gains and losses on equity securities are determined on the basis of the fair value of the securities at the balance sheet date or on a trade date basis.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Investments in unconsolidated affiliates are recorded using the equity method of accounting. Recognized gains and losses on the sale of investments accounted for under the equity method are determined on the basis of the book value of the specific investments sold and are credited or charged to income on a trade date basis.</w:t>
      </w:r>
    </w:p>
    <w:p>
      <w:pPr>
        <w:spacing w:after="0" w:line="37" w:lineRule="exact"/>
        <w:rPr>
          <w:sz w:val="20"/>
          <w:szCs w:val="20"/>
          <w:color w:val="auto"/>
        </w:rPr>
      </w:pPr>
    </w:p>
    <w:p>
      <w:pPr>
        <w:ind w:right="1360" w:firstLine="255"/>
        <w:spacing w:after="0" w:line="381" w:lineRule="auto"/>
        <w:rPr>
          <w:sz w:val="20"/>
          <w:szCs w:val="20"/>
          <w:color w:val="auto"/>
        </w:rPr>
      </w:pPr>
      <w:r>
        <w:rPr>
          <w:rFonts w:ascii="Times New Roman" w:cs="Times New Roman" w:eastAsia="Times New Roman" w:hAnsi="Times New Roman"/>
          <w:sz w:val="14"/>
          <w:szCs w:val="14"/>
          <w:color w:val="auto"/>
        </w:rPr>
        <w:t xml:space="preserve">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discussion of our accounting for equity securities and investments in unconsolidated affiliates. </w:t>
      </w:r>
      <w:r>
        <w:rPr>
          <w:rFonts w:ascii="Times New Roman" w:cs="Times New Roman" w:eastAsia="Times New Roman" w:hAnsi="Times New Roman"/>
          <w:sz w:val="14"/>
          <w:szCs w:val="14"/>
          <w:b w:val="1"/>
          <w:bCs w:val="1"/>
          <w:i w:val="1"/>
          <w:iCs w:val="1"/>
          <w:color w:val="auto"/>
        </w:rPr>
        <w:t>Other Current Assets</w:t>
      </w: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Prepaid expenses and other current assets consist of trade receivables, inventory, prepaid operating expenses, the current portion of notes receivable, deposits and other miscellaneous current assets.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Trade receivables are primarily for the Restaurant Group and consist primarily of business to business gift card sales, insurance-related reimbursements, rebates, tenant improvement allowances, and billings to franchisees for royalties, initial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Inventory primarily consists of food, beverages, packaging and supplies in our Restaurant Group segment and is stated at the lower of cost or net realizable value. Cost is determined using the first in, first out method for restaurant inventory.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details.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from Unconsolidated Affiliates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Long-Term Investments and Non-Current Assets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Other long-term investments consist primarily of investments in equity securities without a readily determinable fair value. 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equity securities without a readily determinable fair value.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non-current assets also include other miscellaneous non-current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G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represents the excess of cost over fair value of identifiable net assets acquired and assumed in business combinations. Goodwill is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 For the years ended December 31, 2024, 2023 and 2022, we did not have any impairment of goodwill.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have other intangible assets, not including goodwill, which consist primarily of customer relationships and contracts, trademarks and tradenames that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The useful lives of our tradenames for all of our restaurant brands is fifteen years. Capitalized software development costs and purchased software are recorded at cost and amortized using the straight-line method over their estimated useful life. For the years ended December 31, 2024 and 2022, we did not have any impairment of other intangible assets. For the year ended December 31, 2023, we recorded impairments of $4.2 million to tradename asset for our O'Charley's brand in our Restaurant Group segment.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Property and equipment, net is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The majority of our Property and equipment relate to our Restaurant Group.</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are reviewed for impairment when events or circumstances indicate that the carrying amounts may not be recoverable.</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years ended December 31, 2024, 2023 and 2022 we recorded $1.0 million, $8.1 million and $1.3 million, respectively, of impairment to Property and equipment. The impairments relate primarily to our Restaurant Group for O'Charley's stores that have closed. All such impairments are included in Other operating expenses in our Consolidated Statements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Reserves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2024, we were committed under letters of credit totaling $6.2 million issued primarily in connection with casualty insurance programs for our Restaurant Group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F -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expenses advertising and marketing costs as incurred, except for certain advertising production costs that are initially capitalized and subsequently expensed the first time the advertising takes place. During the years ended December 31, 2024, 2023 and 2022, the Company incurred $12.3 million, $17.5 million, and $17.0 million of advertising and marketing costs, respectively, related to advertising in our Restaurant Group and in our real estate operations. These costs are included in Other operating expenses on the Consolidated Statements of Operations.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Earnings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(losses) gains, net on the Consolidated Statements of Operations. Our policy is to release income tax effects from accumulated other comprehensive income at such time as the earnings or loss of the related activity are recognized in earnings (e.g., upon sale of an investment). As of December 31, 2024 and 2023 our entire balance of Accumulated other comprehensive losses relates to unrealized gains and losses of investments in unconsolidated affiliates and all amounts reclassified to net earnings in the years ended December 31, 2024, 2023 and 2022 relate to recognition of gains and losses of investments in unconsolidated affiliates upon disposition.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Stock-based compensation expense includes restricted stock awards and restricted stock units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February 28, 2024, we issued 1.2 million restricted stock units ("RSUs") with a grant date fair value of $24.8 million as compensation to certain employees of the Company and issued 1.2 million shares of the Company's common stock to rabbi trusts that grant the holders of the RSUs pass-through voting rights. The RSUs vest in varying increments over a three-year period and, upon vesting, a number of shares of Company common stock equivalent to the number of vested RSUs will be released from the rabbi trusts to the employee. If the RSUs do not vest, the shares held in the rabbi trusts return to the Company. The Company is the primary beneficiary of the rabbi trusts prior to vesting of the RSUs and accordingly the shares of Company common stock held by the rabbi trusts are treated as treasury stock in the Company's Consolidated Balance Sheet and Consolidated Statement of Equity for the year ended December 31, 2024. Compensation cost associated with the RSUs is measured based on their grant-date fair value derived from quoted market prices and is recorded over the service period of the awards.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2024, 2023 and 2022, $19.0 million, $3.5 million and $1.5 million, respectively, of stock based compensation expense was recorded in Personnel costs in the Consolidated Statements of Operations. As of December 31, 2024, there were 1.3 million unvested restricted stock awards and units and the amount to be recorded for stock-based compensation expense in future years for unvested restricted stock is approximately $25.0 million which is expected to be recognized over a weighted average period of 1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Basic earnings per share, as presented on the Consolidated Statements of Operations, is computed by dividing net earnings available to common shareholders by the weighted average number of common shares outstanding during the period.</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Instruments that provide the ability to purchase shares of our common stock that are antidilutive are excluded from the computation of diluted earnings per share. For the years ended December 31, 2024, 2023 and 2022, shares of restricted stock were excluded from the calculation of diluted earnings per share as inclusion of restricted stock would be anti-dilutive due to net losses.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83"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requirements. The guidance is to be applied retrospectively to all prior periods presented in the financial statements. For public business entities, the guidance is effective for fiscal years beginning after December 15, 2023, and interim periods within those fiscal years beginning after December 15, 2024. We have adopted this ASU which resulted in additional disclosures in our Consolidated Financial Statements. See Note E -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further discussion of our segment reporting.</w:t>
      </w:r>
    </w:p>
    <w:p>
      <w:pPr>
        <w:spacing w:after="0" w:line="6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We do not expect the adoption of this authoritative guidance to have a material impact on our consolidated financial statements.</w:t>
      </w:r>
    </w:p>
    <w:p>
      <w:pPr>
        <w:spacing w:after="0" w:line="4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January 2025,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which requires public business entities to disaggregate specific expenses in a 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Note B.</w:t>
      </w:r>
      <w:r>
        <w:rPr>
          <w:sz w:val="20"/>
          <w:szCs w:val="20"/>
          <w:color w:val="auto"/>
        </w:rPr>
        <w:tab/>
      </w:r>
      <w:r>
        <w:rPr>
          <w:rFonts w:ascii="Times New Roman" w:cs="Times New Roman" w:eastAsia="Times New Roman" w:hAnsi="Times New Roman"/>
          <w:sz w:val="13"/>
          <w:szCs w:val="13"/>
          <w:b w:val="1"/>
          <w:bCs w:val="1"/>
          <w:color w:val="auto"/>
        </w:rPr>
        <w:t>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Unconsolidated Affiliates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Investments in unconsolidated affiliates recorded using the equity method of accounting as of December 31, 2024 and 2023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Ownership at December 31, 2024</w:t>
            </w: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Dun &amp; Bradstreet</w:t>
            </w: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380" w:type="dxa"/>
            <w:vAlign w:val="bottom"/>
          </w:tcPr>
          <w:p>
            <w:pPr>
              <w:spacing w:after="0"/>
              <w:rPr>
                <w:sz w:val="15"/>
                <w:szCs w:val="15"/>
                <w:color w:val="auto"/>
              </w:rPr>
            </w:pPr>
          </w:p>
        </w:tc>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380" w:type="dxa"/>
            <w:vAlign w:val="bottom"/>
          </w:tcPr>
          <w:p>
            <w:pPr>
              <w:spacing w:after="0"/>
              <w:rPr>
                <w:sz w:val="15"/>
                <w:szCs w:val="15"/>
                <w:color w:val="auto"/>
              </w:rPr>
            </w:pPr>
          </w:p>
        </w:tc>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Watkins</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JANA</w:t>
            </w:r>
          </w:p>
        </w:tc>
        <w:tc>
          <w:tcPr>
            <w:tcW w:w="380" w:type="dxa"/>
            <w:vAlign w:val="bottom"/>
          </w:tcPr>
          <w:p>
            <w:pPr>
              <w:spacing w:after="0"/>
              <w:rPr>
                <w:sz w:val="15"/>
                <w:szCs w:val="15"/>
                <w:color w:val="auto"/>
              </w:rPr>
            </w:pPr>
          </w:p>
        </w:tc>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w w:val="97"/>
              </w:rPr>
              <w:t>19.99%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Sightline</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18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various</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1,718.8</w:t>
            </w:r>
          </w:p>
        </w:tc>
      </w:tr>
      <w:tr>
        <w:trPr>
          <w:trHeight w:val="20"/>
        </w:trPr>
        <w:tc>
          <w:tcPr>
            <w:tcW w:w="75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91"/>
        </w:trPr>
        <w:tc>
          <w:tcPr>
            <w:tcW w:w="952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Equity in (losses) earnings of unconsolidated affiliates for the years ended December 31, 2024, 2023 and 2022 consisted of the following:</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5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154"/>
        </w:trPr>
        <w:tc>
          <w:tcPr>
            <w:tcW w:w="58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Dun &amp; Bradstreet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Alight</w:t>
            </w: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BKFC</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CSI</w:t>
            </w: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Watkins</w:t>
            </w:r>
          </w:p>
        </w:tc>
        <w:tc>
          <w:tcPr>
            <w:tcW w:w="3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JANA</w:t>
            </w: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Sightline </w:t>
            </w:r>
            <w:r>
              <w:rPr>
                <w:rFonts w:ascii="Times New Roman" w:cs="Times New Roman" w:eastAsia="Times New Roman" w:hAnsi="Times New Roman"/>
                <w:sz w:val="18"/>
                <w:szCs w:val="18"/>
                <w:color w:val="auto"/>
                <w:vertAlign w:val="superscript"/>
              </w:rPr>
              <w:t>(2)</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0"/>
        </w:trPr>
        <w:tc>
          <w:tcPr>
            <w:tcW w:w="58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(3)</w:t>
            </w: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98" w:lineRule="exact"/>
        <w:rPr>
          <w:sz w:val="20"/>
          <w:szCs w:val="20"/>
          <w:color w:val="auto"/>
        </w:rPr>
      </w:pPr>
    </w:p>
    <w:p>
      <w:pPr>
        <w:ind w:right="60" w:firstLine="5"/>
        <w:spacing w:after="0" w:line="270" w:lineRule="auto"/>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in losses for D&amp;B includes $8.6 million of loss for the years ended December 31, 2024 and 2023 and $7.5 million loss for the year ended December 31, 2022, related to amortization of Cannae's basis difference between the book value of its ownership interest and ratable portion of the underlying equity in net assets of D&amp;B.</w:t>
      </w:r>
    </w:p>
    <w:p>
      <w:pPr>
        <w:ind w:right="140" w:firstLine="5"/>
        <w:spacing w:after="0" w:line="283" w:lineRule="auto"/>
        <w:tabs>
          <w:tab w:leader="none" w:pos="1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in losses for Sightline includes $2.9 million and $7.3 million of loss for the year ended December 31, 2024 and 2023, respectively, related to amortization of Cannae's basis difference between the book value of its ownership interest and ratable portion of the underlying equity in net assets of Sightline.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 The amount for the years ended December 31, 2023 and 2022 includes the Company's equity in losses of Paysafe which was no longer accounted for under the equity method of accounting beginning December 31, 2023.</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Dun &amp; Bradstreet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on quoted market prices, the fair market value of our ownership of Dun &amp; Bradstreet common stock was $860.3 million as of December 31, 2024.</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we held less than 20% of the outstanding common equity of Dun &amp; Bradstreet but account for our ownership interest under the equity method of accounting because we exert significant influence: (i) through our 15.6% ownership and (ii) because certain of our senior management and directors serve on D&amp;B's board of directors, including our Chief Executive Officer, Chief Investment Officer and Chairman of our Board, Bill Foley, who is also the chairman of D&amp;B's board of directors.</w:t>
      </w:r>
    </w:p>
    <w:p>
      <w:pPr>
        <w:spacing w:after="0" w:line="40"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As of December 31, 2024, there was a $176.2 million difference between the amount of our recorded ownership interest in D&amp;B and the amount of the Company's ratable portion of the underlying equity in the net assets of D&amp;B. As of December 31, 2024, $116.6 million of such basis difference is allocated to amortizing intangible assets, $59.7 million to indefinite-lived intangible assets, $24.5 million to deferred tax liabilities and the remaining basis difference is allocated to equity method goodwill, which represents the excess of our basis difference over our equity in D&amp;B's net assets that are not attributable to their identifiable net assets. Amortization expense of $8.6 million is included in our equity in losses of D&amp;B for the years ended December 31, 2024 and 2023. Summarized financial information for Dun &amp; Bradstreet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r>
      <w:tr>
        <w:trPr>
          <w:trHeight w:val="18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7,361.7</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1,117.9</w:t>
            </w: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9,135.9</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1,042.4</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3,512.5</w:t>
            </w:r>
          </w:p>
        </w:tc>
      </w:tr>
      <w:tr>
        <w:trPr>
          <w:trHeight w:val="18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1,149.4</w:t>
            </w: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5,704.3</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3,431.6</w:t>
            </w: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9,135.9</w:t>
            </w:r>
          </w:p>
        </w:tc>
      </w:tr>
      <w:tr>
        <w:trPr>
          <w:trHeight w:val="20"/>
        </w:trPr>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3"/>
        </w:trPr>
        <w:tc>
          <w:tcPr>
            <w:tcW w:w="58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54"/>
        </w:trPr>
        <w:tc>
          <w:tcPr>
            <w:tcW w:w="5840" w:type="dxa"/>
            <w:vAlign w:val="bottom"/>
          </w:tcPr>
          <w:p>
            <w:pPr>
              <w:spacing w:after="0"/>
              <w:rPr>
                <w:sz w:val="13"/>
                <w:szCs w:val="13"/>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2,381.7</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2,224.6</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194.8</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w:t>
            </w:r>
          </w:p>
        </w:tc>
        <w:tc>
          <w:tcPr>
            <w:tcW w:w="1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Dun &amp; Bradstreet</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(28.6)</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Alight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Based on quoted market prices, the fair market value of our direct and indirect ownership of Alight common stock was $280.1 million as of December 31, 2024.</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we held less than 20% of the outstanding common equity of Alight but we account for our ownership interest under the equity method of accounting because we exert significant influence: (i) through our 7.6% ownership, and (ii) because certain of our senior management and directors serve on Alight's board of directors, including our Chief Executive Officer, Chief Investment Officer and Chairman of our Board, Bill Foley, who is also the chairman of Alight's board of directors.</w:t>
      </w:r>
    </w:p>
    <w:p>
      <w:pPr>
        <w:spacing w:after="0" w:line="4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As of December 31, 2024, there was a $46.2 million difference between the amount of our recorded ownership interest in Alight and the amount of the Company's ratable portion of the underlying equity in net assets of Alight. As of December 31, 2024 the entire basis difference is allocated to equity method goodwill, which represents the excess of our basis difference over our equity in Alight’s net assets that are not attributable to their identifiable net assets.</w:t>
      </w:r>
    </w:p>
    <w:p>
      <w:pPr>
        <w:spacing w:after="0" w:line="5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On March 20, 2024, Alight entered into a definitive agreement to sell its professional services segment and its payroll and human capital management 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December 31, 2023 and 2022 have been retrospectively revised to reflect the Payroll &amp; Professional Services Business as held for sale and discontinued operations.</w:t>
      </w:r>
    </w:p>
    <w:p>
      <w:pPr>
        <w:spacing w:after="0" w:line="4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Alight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1,658.0</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8,193.0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10,782.0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58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2,769.0</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1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1,084.0</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4,742.0</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8,193.0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10,782.0</w:t>
            </w:r>
          </w:p>
        </w:tc>
      </w:tr>
      <w:tr>
        <w:trPr>
          <w:trHeight w:val="20"/>
        </w:trPr>
        <w:tc>
          <w:tcPr>
            <w:tcW w:w="5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3"/>
        </w:trPr>
        <w:tc>
          <w:tcPr>
            <w:tcW w:w="5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54"/>
        </w:trPr>
        <w:tc>
          <w:tcPr>
            <w:tcW w:w="5820" w:type="dxa"/>
            <w:vAlign w:val="bottom"/>
          </w:tcPr>
          <w:p>
            <w:pPr>
              <w:spacing w:after="0"/>
              <w:rPr>
                <w:sz w:val="13"/>
                <w:szCs w:val="13"/>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2,332.0</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140" w:type="dxa"/>
            <w:vAlign w:val="bottom"/>
          </w:tcPr>
          <w:p>
            <w:pPr>
              <w:spacing w:after="0"/>
              <w:rPr>
                <w:sz w:val="15"/>
                <w:szCs w:val="15"/>
                <w:color w:val="auto"/>
              </w:rPr>
            </w:pP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794.0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earnings from discontinued operations</w:t>
            </w:r>
          </w:p>
        </w:tc>
        <w:tc>
          <w:tcPr>
            <w:tcW w:w="1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4"/>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Alight</w:t>
            </w:r>
          </w:p>
        </w:tc>
        <w:tc>
          <w:tcPr>
            <w:tcW w:w="114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(157.0)</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Black Knight Football</w:t>
      </w:r>
    </w:p>
    <w:p>
      <w:pPr>
        <w:spacing w:after="0" w:line="8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acquired our initial interest in BKFC on December 13, 2022. We account for our ownership of BKFC pursuant to the equity method of accounting and report our equity in earnings or loss of BKFC on a three-month lag. Accordingly, our net loss for the year ended December 31, 2024 and 2023 includes our equity in losses of BKFC for the period from October 1, 2023 through September 30, 2024, and December 13, 2022 through September 30, 2023, respectively.</w:t>
      </w:r>
    </w:p>
    <w:p>
      <w:pPr>
        <w:spacing w:after="0" w:line="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Summarized financial information for BKFC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1"/>
                <w:szCs w:val="11"/>
                <w:b w:val="1"/>
                <w:bCs w:val="1"/>
                <w:color w:val="auto"/>
              </w:rPr>
              <w:t>September 30, 2023</w:t>
            </w:r>
          </w:p>
        </w:tc>
      </w:tr>
      <w:tr>
        <w:trPr>
          <w:trHeight w:val="154"/>
        </w:trPr>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3"/>
                <w:szCs w:val="13"/>
                <w:color w:val="auto"/>
              </w:rPr>
            </w:pPr>
          </w:p>
        </w:tc>
      </w:tr>
      <w:tr>
        <w:trPr>
          <w:trHeight w:val="18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 net</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r>
      <w:tr>
        <w:trPr>
          <w:trHeight w:val="17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7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17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r>
      <w:tr>
        <w:trPr>
          <w:trHeight w:val="17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36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 the year ended September 30,</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period from December 13,</w:t>
            </w:r>
          </w:p>
        </w:tc>
      </w:tr>
      <w:tr>
        <w:trPr>
          <w:trHeight w:val="153"/>
        </w:trPr>
        <w:tc>
          <w:tcPr>
            <w:tcW w:w="76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2022 through September 30, 2023</w:t>
            </w:r>
          </w:p>
        </w:tc>
      </w:tr>
      <w:tr>
        <w:trPr>
          <w:trHeight w:val="149"/>
        </w:trPr>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tcPr>
          <w:p>
            <w:pPr>
              <w:spacing w:after="0"/>
              <w:rPr>
                <w:sz w:val="12"/>
                <w:szCs w:val="12"/>
                <w:color w:val="auto"/>
              </w:rPr>
            </w:pPr>
          </w:p>
        </w:tc>
      </w:tr>
      <w:tr>
        <w:trPr>
          <w:trHeight w:val="18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18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earnings of unconsolidated affiliates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attributable to BKFC</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r>
    </w:tbl>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CSI</w:t>
      </w:r>
    </w:p>
    <w:p>
      <w:pPr>
        <w:spacing w:after="0" w:line="9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report our equity in earnings or loss of BGPT Catalyst, L.P. ("CSI LP") on a three-month lag. Accordingly, our net loss for the year ended December 31, 2024 includes our equity in CSI LP’s net loss for the period from October 1, 2023 through September 30, 2024. For the year ended September 30, 2024, CSI LP had net investment loss of $1.1 million, net realized and unrealized gain from investments of $127.3 million, and total net increase in partners' capital from operations of $126.2 million. As of September 30, 2024 and 2023, CSI LP had total assets of $273.3 million and $260.3 million, respectively, and total partners' capital of $273.2 million and $259.9 million,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Sightline</w:t>
      </w:r>
    </w:p>
    <w:p>
      <w:pPr>
        <w:spacing w:after="0" w:line="8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As of June 30, 2024, the carrying value of our ownership of Sightline equity prior to recording impairment was $154.7 million. Based on a valuation using a hybrid discounted cash flow and market comparison approach and adjusted for the risk of a capital shortfall at the business, the aggregate fair market value of our ownership of Sightline equity was approximately $13.7 million as of June 30, 2024 and management determined the decrease in value of our investment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Sightline was other-than-temporary. The fair value measurement is considered a level 3 fair value measure. The primary inputs in the valuation were the forecasted results of operations of Sightline, the discount rate used in the discounted cash flow analysis and the adjustment for the risk of a capital shortfall. The primary significant unobservable input used was the 35% discount rate used in the discounted cash flow analysis and the 50% adjustment for the risk of capital shortfall.</w:t>
      </w:r>
    </w:p>
    <w:p>
      <w:pPr>
        <w:spacing w:after="0" w:line="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As of December 31, 2024, management determined that the remaining investment in Sightline was impaired due to Sightline's inability to raise any additional capital to fund operations and as such we wrote down the investment to zero.</w:t>
      </w:r>
    </w:p>
    <w:p>
      <w:pPr>
        <w:spacing w:after="0" w:line="40"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In the year ended December 31, 2024, we recorded an impairment to our interest in Sightline of $149.5 million which is included in Recognized losses, net, on our Consolidated Statement of Operations. The investment was determined to be impaired due to the quantum of the decrease in the fair market value of our ownership interest subsequent to our acquisition, declines in the forecasted results of operations and liquidity of Sightline, and the uncertainty of the ability of Sightline to raise new capital.</w:t>
      </w:r>
    </w:p>
    <w:p>
      <w:pPr>
        <w:spacing w:after="0" w:line="57"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Prior to impairment, there was a difference between the amount of our recorded ownership interest in Sightline and the amount of the Company's ratable portion of the underlying equity in net assets of Sightline. Such basis difference was allocated to customer relationships, developed technology, tradenames, and deferred tax liabilities. Customer relationships were amortized over ten years and developed technology and tradenames are amortized over five years. Amortization expense of $2.9 million and $7.3 million is included in our equity in losses of Sightline for the year ended December 31, 2024 and 2023,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Gains (losses) on equity securities included in Recognized losses, net on the Consolidated Statements of Operations consisted of the following for the years ended December 31, 2024, 2023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70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(losses) recognized during the period on equity securities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r>
      <w:tr>
        <w:trPr>
          <w:trHeight w:val="18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(losses) gains recognized during the period on equity securities sold or transferred during the period</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recognized during the reporting period on equity securities still held at the reporting date</w:t>
            </w: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Security Investments Without Readily Determinable Fair Values</w:t>
      </w:r>
    </w:p>
    <w:p>
      <w:pPr>
        <w:spacing w:after="0" w:line="9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account for our investments in AmeriLife and certain other investments at cost less impairment, if any, plus or minus changes resulting from observable price changes in orderly market transactions. As of December 31, 2024 and 2023, we had $159.9 million and $121.9 million, respectively, recorded for such investments, which is included in Other long-term investments and non-current assets on our Consolidated Balance Sheets.</w:t>
      </w:r>
    </w:p>
    <w:p>
      <w:pPr>
        <w:spacing w:after="0" w:line="6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During the year ended December 31, 2024, we recorded a $14.0 million increase in fair value to certain of our equity ownership interests without readily determinable fair values. The amount of the increase was determined based on an observable price change in an orderly transaction for the identical investment of the same issuer. During the year ended December 31, 2023, we recorded an impairment of $9.0 million to certain of our equity ownership interests without readily determinable fair values. The amount of the increase amount of the impairments was determined based on the valuation of the investee implied by actual or contemplated sales to a third party.</w:t>
      </w:r>
    </w:p>
    <w:p>
      <w:pPr>
        <w:spacing w:after="0" w:line="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C.</w:t>
        <w:tab/>
        <w:t>Fair Value Measurements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Financial assets and liabilities whose values are based on unadjusted quoted prices for identical assets or liabilities in an active market that we have the ability to access.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Financial assets and liabilities whose values are based on quoted prices in markets that are not active or model inputs that are observable either directly or indirectly for substantially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 term of the asset or liability.</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Financial assets and liabilities whose values are based on model inputs that are unobservable.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also include cash, cash equivalents, receivables and accounts payable. The carrying values of these financial instruments approximate the fair values as maturities are less than three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following table presents our fair value hierarchy for those assets and liabilities measured at fair value on a recurring basis as of December 31, 2024 and 2023,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55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3"/>
          </w:tcPr>
          <w:p>
            <w:pPr>
              <w:jc w:val="center"/>
              <w:ind w:right="49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tcPr>
          <w:p>
            <w:pPr>
              <w:spacing w:after="0"/>
              <w:rPr>
                <w:sz w:val="15"/>
                <w:szCs w:val="15"/>
                <w:color w:val="auto"/>
              </w:rPr>
            </w:pP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Paysafe</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80"/>
        </w:trPr>
        <w:tc>
          <w:tcPr>
            <w:tcW w:w="5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71"/>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equity securities</w:t>
            </w: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171"/>
        </w:trPr>
        <w:tc>
          <w:tcPr>
            <w:tcW w:w="5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20"/>
        </w:trPr>
        <w:tc>
          <w:tcPr>
            <w:tcW w:w="5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3"/>
        </w:trPr>
        <w:tc>
          <w:tcPr>
            <w:tcW w:w="55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54"/>
        </w:trPr>
        <w:tc>
          <w:tcPr>
            <w:tcW w:w="55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5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3"/>
          </w:tcPr>
          <w:p>
            <w:pPr>
              <w:jc w:val="center"/>
              <w:ind w:right="49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80" w:type="dxa"/>
            <w:vAlign w:val="bottom"/>
          </w:tcPr>
          <w:p>
            <w:pPr>
              <w:spacing w:after="0"/>
              <w:rPr>
                <w:sz w:val="15"/>
                <w:szCs w:val="15"/>
                <w:color w:val="auto"/>
              </w:rPr>
            </w:pP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r>
      <w:tr>
        <w:trPr>
          <w:trHeight w:val="18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0"/>
        </w:trPr>
        <w:tc>
          <w:tcPr>
            <w:tcW w:w="5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Dayforce</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80"/>
        </w:trPr>
        <w:tc>
          <w:tcPr>
            <w:tcW w:w="5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Paysafe</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71"/>
        </w:trPr>
        <w:tc>
          <w:tcPr>
            <w:tcW w:w="5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equity securities</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171"/>
        </w:trPr>
        <w:tc>
          <w:tcPr>
            <w:tcW w:w="5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w:t>
            </w:r>
          </w:p>
        </w:tc>
      </w:tr>
      <w:tr>
        <w:trPr>
          <w:trHeight w:val="20"/>
        </w:trPr>
        <w:tc>
          <w:tcPr>
            <w:tcW w:w="5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had no material assets or liabilities valued on a recurring basis using Level 3 inputs as of December 31, 2024 and 2023.</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Additional information regarding the fair value of our investment portfolio is included in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carrying amounts of trade receivables and notes receivable approximate fair value due to their short-term nature. The fair value of our notes payable is included in Note K -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D.</w:t>
        <w:tab/>
        <w:t>Variable Interest Entities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2024, 2023 and 2022, we are not the primary beneficiary of any VIEs.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Unconsolidated VIEs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select information related to variable interests held by the Company as of December 31, 2024 and 2023, of which we are not the primary beneficiary: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20" w:type="dxa"/>
            <w:vAlign w:val="bottom"/>
            <w:tcBorders>
              <w:top w:val="single" w:sz="8" w:color="auto"/>
              <w:bottom w:val="single" w:sz="8" w:color="auto"/>
            </w:tcBorders>
          </w:tcPr>
          <w:p>
            <w:pPr>
              <w:spacing w:after="0"/>
              <w:rPr>
                <w:sz w:val="14"/>
                <w:szCs w:val="14"/>
                <w:color w:val="auto"/>
              </w:rPr>
            </w:pPr>
          </w:p>
        </w:tc>
      </w:tr>
      <w:tr>
        <w:trPr>
          <w:trHeight w:val="150"/>
        </w:trPr>
        <w:tc>
          <w:tcPr>
            <w:tcW w:w="55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Maximum Exposure</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Maximum Exposure</w:t>
            </w:r>
          </w:p>
        </w:tc>
      </w:tr>
      <w:tr>
        <w:trPr>
          <w:trHeight w:val="144"/>
        </w:trPr>
        <w:tc>
          <w:tcPr>
            <w:tcW w:w="5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 and non-current assets</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Unconsolidated Affiliates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we held variable interests in certain unconsolidated affiliates, which are primarily comprised of our ownership interests in BKFC, CSI and Minden Mill.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Cannae does not have the power to direct the activities that most significantly impact the economic performance of these unconsolidated affiliates; therefore, we are not the primary beneficiary.</w:t>
      </w:r>
    </w:p>
    <w:p>
      <w:pPr>
        <w:spacing w:after="0" w:line="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of between approximately $38.3 million and $69.6 million as of December 31, 2024. These obligations are potentially payable at various increments over the next three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our VIEs.</w:t>
      </w:r>
    </w:p>
    <w:p>
      <w:pPr>
        <w:spacing w:after="0" w:line="5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assets are included in Investments in unconsolidated affiliates on the Consolidated Balance Sheets and accounted for under the equity method of accounting. See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our accounting for investments in unconsolidated affiliates.</w:t>
      </w:r>
    </w:p>
    <w:p>
      <w:pPr>
        <w:spacing w:after="0" w:line="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Note E.</w:t>
        <w:tab/>
        <w:t>Segment Information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Accounting Standards Update ("ASU")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This guidance is also to be applied retrospectively to all prior periods presented in the financial statements. For public companies, the guidance is effective for fiscal years beginning after December 15, 2023, and interim periods within fiscal years beginning after December 15, 2024.</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adopted this ASU and as a result, we have disclosed those expenses for each reportable segment that are (1) regularly provided to the chief operating decision maker ("CODM"); (2) included in each reported measure of segment profit and loss; and (3) considered significant, including categories of expense and amounts. In addition, the segment tables for the years ended December 31, 2023 and 2022 have been retrospectively revised to incorporate the additional information for reportable segments.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Cannae’s CODM consists of the Company’s Chairman and CEO as well as its President, as they both oversee all of the Company’s investments and are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As of December 31, 2024, Cannae has identified four reportable segments: Restaurant Group, Dun &amp; Bradstreet, Alight, and BKFC. The tables below provide information about the Company's segments, as well as an aggregation of all other non-reportable operating segments within the Corporate and Other category. For D&amp;B, Alight and BKFC,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certain summarized gross amounts of the results of operations and balance sheets of these unconsolidated affiliates.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6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Corporate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2"/>
        </w:trPr>
        <w:tc>
          <w:tcPr>
            <w:tcW w:w="4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Restaurant Group</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Dun &amp; Bradstreet</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Alight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color w:val="auto"/>
              </w:rPr>
              <w:t>BKFC</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color w:val="auto"/>
              </w:rPr>
              <w:t>Segments</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color w:val="auto"/>
              </w:rPr>
              <w:t>and Other</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99"/>
              </w:rPr>
              <w:t>Total Consolidated</w:t>
            </w:r>
          </w:p>
        </w:tc>
      </w:tr>
      <w:tr>
        <w:trPr>
          <w:trHeight w:val="151"/>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419.6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r>
      <w:tr>
        <w:trPr>
          <w:trHeight w:val="153"/>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56"/>
        </w:trPr>
        <w:tc>
          <w:tcPr>
            <w:tcW w:w="4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419.6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419.6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452.5</w:t>
            </w:r>
          </w:p>
        </w:tc>
      </w:tr>
      <w:tr>
        <w:trPr>
          <w:trHeight w:val="153"/>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371.2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4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4"/>
                <w:szCs w:val="14"/>
                <w:color w:val="auto"/>
                <w:vertAlign w:val="superscript"/>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45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w w:val="97"/>
              </w:rPr>
              <w:t>(15.5)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6"/>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97"/>
              </w:rPr>
              <w:t>(15.5)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(310.1)</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274.8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691.9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374.0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108.3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1,449.0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779.9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2,228.9</w:t>
            </w:r>
          </w:p>
        </w:tc>
      </w:tr>
      <w:tr>
        <w:trPr>
          <w:trHeight w:val="147"/>
        </w:trPr>
        <w:tc>
          <w:tcPr>
            <w:tcW w:w="4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8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6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Corporate</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2"/>
        </w:trPr>
        <w:tc>
          <w:tcPr>
            <w:tcW w:w="4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Restaurant Group</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Dun &amp; Bradstreet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Alight</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color w:val="auto"/>
              </w:rPr>
              <w:t>BKFC</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color w:val="auto"/>
              </w:rPr>
              <w:t>Segments</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color w:val="auto"/>
              </w:rPr>
              <w:t>and Other</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99"/>
              </w:rPr>
              <w:t>Total Consolidated</w:t>
            </w:r>
          </w:p>
        </w:tc>
      </w:tr>
      <w:tr>
        <w:trPr>
          <w:trHeight w:val="151"/>
        </w:trPr>
        <w:tc>
          <w:tcPr>
            <w:tcW w:w="4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536.0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536.0</w:t>
            </w:r>
          </w:p>
        </w:tc>
      </w:tr>
      <w:tr>
        <w:trPr>
          <w:trHeight w:val="153"/>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r>
      <w:tr>
        <w:trPr>
          <w:trHeight w:val="156"/>
        </w:trPr>
        <w:tc>
          <w:tcPr>
            <w:tcW w:w="45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536.0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536.0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w:t>
            </w:r>
          </w:p>
        </w:tc>
      </w:tr>
      <w:tr>
        <w:trPr>
          <w:trHeight w:val="153"/>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474.9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474.9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4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14"/>
                <w:szCs w:val="14"/>
                <w:color w:val="auto"/>
                <w:vertAlign w:val="superscript"/>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4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60" w:type="dxa"/>
            <w:vAlign w:val="bottom"/>
          </w:tcPr>
          <w:p>
            <w:pPr>
              <w:spacing w:after="0"/>
              <w:rPr>
                <w:sz w:val="13"/>
                <w:szCs w:val="13"/>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6"/>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(324.1)</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827.7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507.2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112.3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1,737.6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2,686.7</w:t>
            </w:r>
          </w:p>
        </w:tc>
      </w:tr>
      <w:tr>
        <w:trPr>
          <w:trHeight w:val="147"/>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7"/>
              </w:rPr>
              <w:t>Total Reportable</w:t>
            </w:r>
          </w:p>
        </w:tc>
        <w:tc>
          <w:tcPr>
            <w:tcW w:w="16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Corporate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4"/>
        </w:trPr>
        <w:tc>
          <w:tcPr>
            <w:tcW w:w="5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Restaurant Group</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Dun &amp; Bradstreet</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color w:val="auto"/>
              </w:rPr>
              <w:t>Alight</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color w:val="auto"/>
              </w:rPr>
              <w:t>Segments</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color w:val="auto"/>
              </w:rPr>
              <w:t>and Other</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color w:val="auto"/>
                <w:w w:val="96"/>
              </w:rPr>
              <w:t>Total Consolidated</w:t>
            </w:r>
          </w:p>
        </w:tc>
      </w:tr>
      <w:tr>
        <w:trPr>
          <w:trHeight w:val="151"/>
        </w:trPr>
        <w:tc>
          <w:tcPr>
            <w:tcW w:w="5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Restaurant revenues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630.6</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r>
      <w:tr>
        <w:trPr>
          <w:trHeight w:val="156"/>
        </w:trPr>
        <w:tc>
          <w:tcPr>
            <w:tcW w:w="5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630.6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662.1</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571.4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5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Other segment items </w:t>
            </w:r>
            <w:r>
              <w:rPr>
                <w:rFonts w:ascii="Times New Roman" w:cs="Times New Roman" w:eastAsia="Times New Roman" w:hAnsi="Times New Roman"/>
                <w:sz w:val="7"/>
                <w:szCs w:val="7"/>
                <w:color w:val="auto"/>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5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losses of unconsolidated affiliates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1,727.7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1,397.8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3,125.5</w:t>
            </w:r>
          </w:p>
        </w:tc>
      </w:tr>
      <w:tr>
        <w:trPr>
          <w:trHeight w:val="147"/>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i w:val="1"/>
          <w:iCs w:val="1"/>
          <w:color w:val="auto"/>
        </w:rPr>
        <w:t>_____________________________________</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Other segment items includes restaurant corporate personnel costs, advertising, professional fees and recognized gains and losses, net.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activities in our segments include the following:</w:t>
      </w:r>
    </w:p>
    <w:p>
      <w:pPr>
        <w:spacing w:after="0" w:line="92" w:lineRule="exact"/>
        <w:rPr>
          <w:sz w:val="20"/>
          <w:szCs w:val="20"/>
          <w:color w:val="auto"/>
        </w:rPr>
      </w:pPr>
    </w:p>
    <w:p>
      <w:pPr>
        <w:ind w:left="520" w:hanging="260"/>
        <w:spacing w:after="0" w:line="290" w:lineRule="auto"/>
        <w:tabs>
          <w:tab w:leader="none" w:pos="516"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Restaurant Group. </w:t>
      </w:r>
      <w:r>
        <w:rPr>
          <w:rFonts w:ascii="Times New Roman" w:cs="Times New Roman" w:eastAsia="Times New Roman" w:hAnsi="Times New Roman"/>
          <w:sz w:val="14"/>
          <w:szCs w:val="14"/>
          <w:color w:val="auto"/>
        </w:rPr>
        <w:t>This segment consists primarily of the operations of O'Charley's and 99 Restaurants in which we have 65.4% and 88.5% ownership interests, respectively. O'Charley's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99 Restaurants and their affiliates are the owners and operators of the O'Charley's and Ninety Nine Restaurants restaurant concepts, respectively.</w:t>
      </w:r>
    </w:p>
    <w:p>
      <w:pPr>
        <w:spacing w:after="0" w:line="24" w:lineRule="exact"/>
        <w:rPr>
          <w:rFonts w:ascii="Times New Roman" w:cs="Times New Roman" w:eastAsia="Times New Roman" w:hAnsi="Times New Roman"/>
          <w:sz w:val="14"/>
          <w:szCs w:val="14"/>
          <w:i w:val="1"/>
          <w:iCs w:val="1"/>
          <w:color w:val="auto"/>
        </w:rPr>
      </w:pPr>
    </w:p>
    <w:p>
      <w:pPr>
        <w:jc w:val="both"/>
        <w:ind w:left="520" w:hanging="260"/>
        <w:spacing w:after="0" w:line="24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Dun &amp; Bradstreet. </w:t>
      </w:r>
      <w:r>
        <w:rPr>
          <w:rFonts w:ascii="Times New Roman" w:cs="Times New Roman" w:eastAsia="Times New Roman" w:hAnsi="Times New Roman"/>
          <w:sz w:val="14"/>
          <w:szCs w:val="14"/>
          <w:color w:val="auto"/>
        </w:rPr>
        <w:t>This segment consists of our 15.6% ownership interest in Dun &amp; Bradstreet. Dun &amp; Bradstreet is a leading global provider of business decisioning data and analytics.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Clients embed D&amp;B's trusted, end-to-end solutions into their daily workflows to </w:t>
      </w:r>
      <w:r>
        <w:rPr>
          <w:rFonts w:ascii="Times New Roman" w:cs="Times New Roman" w:eastAsia="Times New Roman" w:hAnsi="Times New Roman"/>
          <w:sz w:val="14"/>
          <w:szCs w:val="14"/>
          <w:color w:val="181717"/>
        </w:rPr>
        <w:t>inform commercial credit decisions, evaluate whether suppliers and other third parties are financially viable,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reputable, compliant and resilient, enhance salesforce productivity and gain visibility into key markets</w:t>
      </w:r>
      <w:r>
        <w:rPr>
          <w:rFonts w:ascii="Times New Roman" w:cs="Times New Roman" w:eastAsia="Times New Roman" w:hAnsi="Times New Roman"/>
          <w:sz w:val="14"/>
          <w:szCs w:val="14"/>
          <w:color w:val="000000"/>
        </w:rPr>
        <w:t>. Dun &amp; Bradstreet's solutions support its clients’ mission critical business operations</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by providing proprietary and curated data and analytics to help drive informed decisions and improved outcomes. Dun &amp; Bradstreet's global commercial database contained comprehensive information on hundreds of millions of organizations. Our chief operating decision maker reviews the financial results of Dun &amp; Bradstreet for purposes of assessing performance and allocating resources. Thus, we consider Dun &amp; Bradstreet an operating segment. We account for Dun &amp; Bradstreet using the equity method of accounting; therefore, its results do not consolidate into ours.</w:t>
      </w:r>
    </w:p>
    <w:p>
      <w:pPr>
        <w:spacing w:after="0" w:line="47" w:lineRule="exact"/>
        <w:rPr>
          <w:rFonts w:ascii="Times New Roman" w:cs="Times New Roman" w:eastAsia="Times New Roman" w:hAnsi="Times New Roman"/>
          <w:sz w:val="14"/>
          <w:szCs w:val="14"/>
          <w:color w:val="auto"/>
        </w:rPr>
      </w:pPr>
    </w:p>
    <w:p>
      <w:pPr>
        <w:jc w:val="both"/>
        <w:ind w:left="520" w:hanging="260"/>
        <w:spacing w:after="0" w:line="24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Alight</w:t>
      </w:r>
      <w:r>
        <w:rPr>
          <w:rFonts w:ascii="Times New Roman" w:cs="Times New Roman" w:eastAsia="Times New Roman" w:hAnsi="Times New Roman"/>
          <w:sz w:val="14"/>
          <w:szCs w:val="14"/>
          <w:color w:val="auto"/>
        </w:rPr>
        <w:t>. This segment consists of our 7.6% ownership interest in Alight. Alight is a technology-enabled services company delivering human capital management solutions to many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spacing w:after="0" w:line="57" w:lineRule="exact"/>
        <w:rPr>
          <w:rFonts w:ascii="Times New Roman" w:cs="Times New Roman" w:eastAsia="Times New Roman" w:hAnsi="Times New Roman"/>
          <w:sz w:val="14"/>
          <w:szCs w:val="14"/>
          <w:color w:val="auto"/>
        </w:rPr>
      </w:pPr>
    </w:p>
    <w:p>
      <w:pPr>
        <w:jc w:val="both"/>
        <w:ind w:left="520" w:hanging="260"/>
        <w:spacing w:after="0"/>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Black Knight Football and Entertainment. </w:t>
      </w:r>
      <w:r>
        <w:rPr>
          <w:rFonts w:ascii="Times New Roman" w:cs="Times New Roman" w:eastAsia="Times New Roman" w:hAnsi="Times New Roman"/>
          <w:sz w:val="14"/>
          <w:szCs w:val="14"/>
          <w:color w:val="auto"/>
        </w:rPr>
        <w:t>This segment consists of our 47.2% ownership interest in BKFC. BKFC is a partnership led by Bill Foley that owns and operates AFC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Bournemouth ("AFCB"), an English Premier League ("EPL" or the "Premier League") football club founded in 1899, and a significant minority interest in FC Lorient ("FCL"), a French Ligue 1 football club founded in 1926. On February 28, 2024, BKFC entered into a strategic partnership with, and acquired a minority ownership interest in, The Hibernian Football Club Limited, a Scottish Premiership football club founded in 1875.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therefore, its results of operations do not consolidate into ours. We report our equity in earnings or loss of BKFC on a three-month lag and we acquired our initial interest in BKFC on December 13, 2022. Accordingly, our segment tables above for the years ended December 31, 2024 and 2023 includes our equity in losses of BKFC for the period from October 1, 2023 through September 30, 2024, and December 13, 2022 through September 30, 2023, respectively.</w:t>
      </w:r>
    </w:p>
    <w:p>
      <w:pPr>
        <w:spacing w:after="0" w:line="70"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aggregation of nonreportable segments consists of our revenue and net earnings or loss for the operations of certain controlled portfolio companies, other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and the corporate holding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F.</w:t>
            </w:r>
          </w:p>
        </w:tc>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 Recognition</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5"/>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4"/>
        </w:trPr>
        <w:tc>
          <w:tcPr>
            <w:tcW w:w="5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Our revenue consists of the following:</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3"/>
        </w:trPr>
        <w:tc>
          <w:tcPr>
            <w:tcW w:w="6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60"/>
        </w:trPr>
        <w:tc>
          <w:tcPr>
            <w:tcW w:w="6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00" w:type="dxa"/>
            <w:vAlign w:val="bottom"/>
          </w:tcPr>
          <w:p>
            <w:pPr>
              <w:spacing w:after="0"/>
              <w:rPr>
                <w:sz w:val="14"/>
                <w:szCs w:val="14"/>
                <w:color w:val="auto"/>
              </w:rPr>
            </w:pPr>
          </w:p>
        </w:tc>
        <w:tc>
          <w:tcPr>
            <w:tcW w:w="4520" w:type="dxa"/>
            <w:vAlign w:val="bottom"/>
            <w:gridSpan w:val="2"/>
          </w:tcPr>
          <w:p>
            <w:pPr>
              <w:ind w:left="1480"/>
              <w:spacing w:after="0"/>
              <w:rPr>
                <w:sz w:val="20"/>
                <w:szCs w:val="20"/>
                <w:color w:val="auto"/>
              </w:rPr>
            </w:pPr>
            <w:r>
              <w:rPr>
                <w:rFonts w:ascii="Times New Roman" w:cs="Times New Roman" w:eastAsia="Times New Roman" w:hAnsi="Times New Roman"/>
                <w:sz w:val="13"/>
                <w:szCs w:val="13"/>
                <w:b w:val="1"/>
                <w:bCs w:val="1"/>
                <w:color w:val="auto"/>
              </w:rPr>
              <w:t>Revenue Stream</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 Revenue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Restaurant revenue:</w:t>
            </w:r>
          </w:p>
        </w:tc>
        <w:tc>
          <w:tcPr>
            <w:tcW w:w="80" w:type="dxa"/>
            <w:vAlign w:val="bottom"/>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180"/>
        </w:trPr>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Restaurant sales</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Restaurant Group</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r>
      <w:tr>
        <w:trPr>
          <w:trHeight w:val="180"/>
        </w:trPr>
        <w:tc>
          <w:tcPr>
            <w:tcW w:w="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Restaurant Group</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1"/>
        </w:trPr>
        <w:tc>
          <w:tcPr>
            <w:tcW w:w="5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restaurant revenue</w:t>
            </w: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r>
      <w:tr>
        <w:trPr>
          <w:trHeight w:val="180"/>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operating revenue:</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 and resort</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0"/>
        </w:trPr>
        <w:tc>
          <w:tcPr>
            <w:tcW w:w="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Corporate and Other</w:t>
            </w: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71"/>
        </w:trPr>
        <w:tc>
          <w:tcPr>
            <w:tcW w:w="51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operating revenue</w:t>
            </w: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71"/>
        </w:trPr>
        <w:tc>
          <w:tcPr>
            <w:tcW w:w="51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Total operating revenue</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662.1</w:t>
            </w:r>
          </w:p>
        </w:tc>
      </w:tr>
      <w:tr>
        <w:trPr>
          <w:trHeight w:val="20"/>
        </w:trPr>
        <w:tc>
          <w:tcPr>
            <w:tcW w:w="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Restaurant revenue consists of restaurant sales and, to a lesser extent, franchise revenue and other revenue. Restaurant sales include food and beverage sales, are net of applicable state and local sales taxes and discounts, and are recognized at a point in time as services are performed and goods are provided.</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of our revenues are generated in the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receivables and deferred revenue: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122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8.1</w:t>
            </w:r>
          </w:p>
        </w:tc>
        <w:tc>
          <w:tcPr>
            <w:tcW w:w="6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22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16.2</w:t>
            </w:r>
          </w:p>
        </w:tc>
        <w:tc>
          <w:tcPr>
            <w:tcW w:w="6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r>
    </w:tbl>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Trade receivables, net are included in Other current assets on our Consolidated Balance Sheets.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Deferred revenue is recorded primarily for restaurant gift card sales. The unrecognized portion of such revenue is recorded as Deferred revenue in the Consolidated Balance Sheets. Revenue of $9.4 million and $11.2 million was recognized in the years ended December 31, 2024 and 2023, respectively, which was included in Deferred revenue at the beginning of the period.</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no impairment related to contract balances.</w:t>
      </w:r>
    </w:p>
    <w:p>
      <w:pPr>
        <w:spacing w:after="0" w:line="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Note G.</w:t>
      </w:r>
      <w:r>
        <w:rPr>
          <w:sz w:val="20"/>
          <w:szCs w:val="20"/>
          <w:color w:val="auto"/>
        </w:rPr>
        <w:tab/>
      </w: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2024 and 2023.</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material operating leases range in term from one year to sixteen years. As of December 31, 2024 and 2023,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lease agreements do not contain any material buyout options, residual value guarantees or restrictive covenants.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Excluding certain immaterial classes of leases in our Restaurant Group, we do not separate lease components from non-lease components for any of our right of use assets.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2024 and 2023, the weighted-average discount rate used to determine our operating lease liabilities was 7.43%.</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lease costs are directly attributable to restaurant operations, primarily for real estate and to a lesser extent certain restaurant equipment. Operating lease costs of $25.9 million, $30.5 million and $36.4 million are included in Cost of restaurant revenue on the Consolidated Statement of Operations for the years ended December 31, 2024, 2023 and 2022, respectively.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assets are reviewed for impairment when events or circumstances indicate that the carrying amounts may not be recoverable.</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year ended December 31, 2024, 2023 and 2022, we recorded $0.3 million, $24.6 million and $1.5 million, respectively, of impairment to Lease assets. The impairments relate primarily to our Restaurant Group for O'Charley's stores that have closed in the year ended December 31, 2023. All such impairments are included in Other operating expenses in our Consolidated Statements of Operations.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Future payments under operating lease arrangements accounted for under ASC Topic 842 as of December 31, 2024 are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6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 undiscounted</w:t>
            </w:r>
          </w:p>
        </w:tc>
        <w:tc>
          <w:tcPr>
            <w:tcW w:w="5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discount</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liability as of December 31, 2024, at present value</w:t>
            </w:r>
          </w:p>
        </w:tc>
        <w:tc>
          <w:tcPr>
            <w:tcW w:w="52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operating lease liability as of December 31, 2024, current</w:t>
            </w:r>
          </w:p>
        </w:tc>
        <w:tc>
          <w:tcPr>
            <w:tcW w:w="5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as of December 31, 2024, long-term</w:t>
            </w:r>
          </w:p>
        </w:tc>
        <w:tc>
          <w:tcPr>
            <w:tcW w:w="5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4229"/>
              <w:spacing w:after="0"/>
              <w:rPr>
                <w:sz w:val="20"/>
                <w:szCs w:val="20"/>
                <w:color w:val="auto"/>
              </w:rPr>
            </w:pPr>
            <w:r>
              <w:rPr>
                <w:rFonts w:ascii="Times New Roman" w:cs="Times New Roman" w:eastAsia="Times New Roman" w:hAnsi="Times New Roman"/>
                <w:sz w:val="14"/>
                <w:szCs w:val="14"/>
                <w:color w:val="auto"/>
              </w:rPr>
              <w:t>67</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5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H.</w:t>
        <w:tab/>
        <w:t>Property and Equipment</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Property and equipment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r>
      <w:tr>
        <w:trPr>
          <w:trHeight w:val="171"/>
        </w:trPr>
        <w:tc>
          <w:tcPr>
            <w:tcW w:w="76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on property and equipment was $11.2 million, $16.3 million, and $19.3 million for the years ended December 31, 2024, 2023 and 2022,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I.</w:t>
            </w:r>
          </w:p>
        </w:tc>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Intangible Assets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5"/>
        </w:trPr>
        <w:tc>
          <w:tcPr>
            <w:tcW w:w="7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intangible assets consist of the following:</w:t>
            </w: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89"/>
        </w:trPr>
        <w:tc>
          <w:tcPr>
            <w:tcW w:w="58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1"/>
        </w:trPr>
        <w:tc>
          <w:tcPr>
            <w:tcW w:w="5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8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r>
      <w:tr>
        <w:trPr>
          <w:trHeight w:val="18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tradenames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7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Franchise rights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58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80"/>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96"/>
        </w:trPr>
        <w:tc>
          <w:tcPr>
            <w:tcW w:w="580" w:type="dxa"/>
            <w:vAlign w:val="bottom"/>
            <w:tcBorders>
              <w:bottom w:val="single" w:sz="8" w:color="CCEEFF"/>
            </w:tcBorders>
            <w:shd w:val="clear" w:color="auto" w:fill="CCEEFF"/>
          </w:tcPr>
          <w:p>
            <w:pPr>
              <w:spacing w:after="0"/>
              <w:rPr>
                <w:sz w:val="16"/>
                <w:szCs w:val="16"/>
                <w:color w:val="auto"/>
              </w:rPr>
            </w:pPr>
          </w:p>
        </w:tc>
        <w:tc>
          <w:tcPr>
            <w:tcW w:w="7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for amortizable intangible assets was $2.1 million, $2.7 million, and $3.5 million for the years ended December 31, 2024, 2023 and 2022, respectively. Estimated amortization expense for the next five years for assets owned at December 31, 2024, is $1.9 million in 2025, $1.8 million in 2026, $1.8 million in 2027, $1.3 million in 2028 and $1.3 million in 2029.</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J.</w:t>
        <w:tab/>
        <w:t>Accounts Payable and Other Accrued Liabilities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current,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employee benefits</w:t>
            </w:r>
          </w:p>
        </w:tc>
        <w:tc>
          <w:tcPr>
            <w:tcW w:w="4760" w:type="dxa"/>
            <w:vAlign w:val="bottom"/>
            <w:gridSpan w:val="2"/>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Manager Fees payable</w:t>
            </w:r>
          </w:p>
        </w:tc>
        <w:tc>
          <w:tcPr>
            <w:tcW w:w="3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casualty self-insurance expenses</w:t>
            </w:r>
          </w:p>
        </w:tc>
        <w:tc>
          <w:tcPr>
            <w:tcW w:w="3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liabilities, excluding income taxes payable</w:t>
            </w:r>
          </w:p>
        </w:tc>
        <w:tc>
          <w:tcPr>
            <w:tcW w:w="3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35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1869"/>
              <w:spacing w:after="0"/>
              <w:rPr>
                <w:sz w:val="20"/>
                <w:szCs w:val="20"/>
                <w:color w:val="auto"/>
              </w:rPr>
            </w:pPr>
            <w:r>
              <w:rPr>
                <w:rFonts w:ascii="Times New Roman" w:cs="Times New Roman" w:eastAsia="Times New Roman" w:hAnsi="Times New Roman"/>
                <w:sz w:val="14"/>
                <w:szCs w:val="14"/>
                <w:color w:val="auto"/>
              </w:rPr>
              <w:t>68</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1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2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long-term,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7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Group financing obligations</w:t>
            </w:r>
          </w:p>
        </w:tc>
        <w:tc>
          <w:tcPr>
            <w:tcW w:w="120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K.   Notes Payable</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Notes payable consists of the following:</w:t>
            </w: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660" w:type="dxa"/>
            <w:vAlign w:val="bottom"/>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7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Margin Facility</w:t>
            </w:r>
          </w:p>
        </w:tc>
        <w:tc>
          <w:tcPr>
            <w:tcW w:w="1200" w:type="dxa"/>
            <w:vAlign w:val="bottom"/>
            <w:shd w:val="clear" w:color="auto" w:fill="CCEEFF"/>
          </w:tcPr>
          <w:p>
            <w:pPr>
              <w:jc w:val="right"/>
              <w:ind w:right="10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FNF Revolver</w:t>
            </w:r>
          </w:p>
        </w:tc>
        <w:tc>
          <w:tcPr>
            <w:tcW w:w="1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total</w:t>
            </w:r>
          </w:p>
        </w:tc>
        <w:tc>
          <w:tcPr>
            <w:tcW w:w="1200" w:type="dxa"/>
            <w:vAlign w:val="bottom"/>
          </w:tcPr>
          <w:p>
            <w:pPr>
              <w:jc w:val="right"/>
              <w:ind w:right="10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Notes payable, current</w:t>
            </w:r>
          </w:p>
        </w:tc>
        <w:tc>
          <w:tcPr>
            <w:tcW w:w="1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120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December 31, 2024, the carrying value of our outstanding notes payable approximates fair value and are considered Level 2 financial liabilities.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2020 Margin Facility</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spacing w:after="0" w:line="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2020 Margin Facility, as amended, the Borrowers may borrow up to $150.0 million in revolving loans and, subject to certain terms and conditions, may enter into an amendment to the 2020 Margin Facility to borrow up to $500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D&amp;B and Alight shares). In the event the Borrowers fail to maintain such loan-to-value ratio, the Borrowers must post additional cash collateral under the Loan Agreement and/or elect to repay a portion of the revolving loans thereunder, or sell the D&amp;B and/or Alight shares and use the proceeds from such sale to prepay a portion of the revolving loans thereunder.</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a $101.0 million outstanding balance under the 2020 Margin Facility which incurred interest at 7.95%, $49.0 million of unused capacity with an option to increase the capacity to $500 million upon amendment, and 35 million shares of D&amp;B and 40 million shares of Alight were pledged as collateral for borrowings.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FNF Revolver</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November 17, 2017,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Revolver"). The FNF Revolver accrued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 accordingly, there is no incremental borrowing capacity available under the FNF Revolver.</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January 29, 2024, the FNF Revolver was amended to (i) reduce the borrowing capacity to $60.0 million and (ii) change the interest rate to a fixed rate of 7.0% per annum. The Company also repaid $25.0 million of outstanding principal under the FNF Revolver resulting in an outstanding principal balance of $59.7 million.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of December 31, 2024, there was a $59.7 million outstanding principal balance under the FNF Revolver which incurred interest at 7.0%.</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83"/>
        </w:trPr>
        <w:tc>
          <w:tcPr>
            <w:tcW w:w="9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Gross principal maturities of notes payable at December 31, 2024 are as follows (in millions):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4"/>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81"/>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7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952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
        </w:trPr>
        <w:tc>
          <w:tcPr>
            <w:tcW w:w="9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December 31, 2024, the carrying value of our outstanding notes payable approximate fair value and are considered Level 2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L.</w:t>
            </w: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Income tax benefit consists of the following:</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(benefit) expense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6"/>
              </w:rPr>
              <w:t>(8.3)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80"/>
        </w:trPr>
        <w:tc>
          <w:tcPr>
            <w:tcW w:w="5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Deferred expense (benefit)</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6"/>
                <w:szCs w:val="16"/>
                <w:color w:val="auto"/>
              </w:rPr>
            </w:pPr>
          </w:p>
        </w:tc>
        <w:tc>
          <w:tcPr>
            <w:tcW w:w="49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6"/>
              </w:rPr>
              <w:t>(0.4)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A reconciliation of the federal statutory rate to our effective tax rate is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8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 w:type="dxa"/>
            <w:vAlign w:val="bottom"/>
            <w:tcBorders>
              <w:bottom w:val="single" w:sz="8" w:color="CCEEFF"/>
            </w:tcBorders>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rate</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360" w:type="dxa"/>
            <w:vAlign w:val="bottom"/>
          </w:tcPr>
          <w:p>
            <w:pPr>
              <w:spacing w:after="0"/>
              <w:rPr>
                <w:sz w:val="15"/>
                <w:szCs w:val="15"/>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rPr>
              <w:t>Tax credits</w:t>
            </w:r>
          </w:p>
        </w:tc>
        <w:tc>
          <w:tcPr>
            <w:tcW w:w="4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60" w:type="dxa"/>
            <w:vAlign w:val="bottom"/>
          </w:tcPr>
          <w:p>
            <w:pPr>
              <w:spacing w:after="0"/>
              <w:rPr>
                <w:sz w:val="15"/>
                <w:szCs w:val="15"/>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360" w:type="dxa"/>
            <w:vAlign w:val="bottom"/>
          </w:tcPr>
          <w:p>
            <w:pPr>
              <w:spacing w:after="0"/>
              <w:rPr>
                <w:sz w:val="15"/>
                <w:szCs w:val="15"/>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received deduction</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60" w:type="dxa"/>
            <w:vAlign w:val="bottom"/>
          </w:tcPr>
          <w:p>
            <w:pPr>
              <w:spacing w:after="0"/>
              <w:rPr>
                <w:sz w:val="15"/>
                <w:szCs w:val="15"/>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Basis difference in investments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Unconsolidated affiliate stock-based compensation</w:t>
            </w:r>
          </w:p>
        </w:tc>
        <w:tc>
          <w:tcPr>
            <w:tcW w:w="360" w:type="dxa"/>
            <w:vAlign w:val="bottom"/>
          </w:tcPr>
          <w:p>
            <w:pPr>
              <w:spacing w:after="0"/>
              <w:rPr>
                <w:sz w:val="15"/>
                <w:szCs w:val="15"/>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9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Effective tax rate excluding equity investments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15.3 %</w:t>
            </w:r>
          </w:p>
        </w:tc>
        <w:tc>
          <w:tcPr>
            <w:tcW w:w="0" w:type="dxa"/>
            <w:vAlign w:val="bottom"/>
          </w:tcPr>
          <w:p>
            <w:pPr>
              <w:spacing w:after="0"/>
              <w:rPr>
                <w:sz w:val="1"/>
                <w:szCs w:val="1"/>
                <w:color w:val="auto"/>
              </w:rPr>
            </w:pPr>
          </w:p>
        </w:tc>
      </w:tr>
      <w:tr>
        <w:trPr>
          <w:trHeight w:val="18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1"/>
        </w:trPr>
        <w:tc>
          <w:tcPr>
            <w:tcW w:w="5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Effective tax rate</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8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66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The significant components of deferred tax assets and liabilities at December 31, 2024 and 2023 consist of the following:</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5"/>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Partnerships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0"/>
        </w:trPr>
        <w:tc>
          <w:tcPr>
            <w:tcW w:w="5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0"/>
        </w:trPr>
        <w:tc>
          <w:tcPr>
            <w:tcW w:w="5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gross deferred tax asset</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80"/>
        </w:trPr>
        <w:tc>
          <w:tcPr>
            <w:tcW w:w="5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1"/>
        </w:trPr>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deferred tax asset</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Company’s deferred taxes are primarily reflected as the book to tax difference in the Company's ownership of Cannae LLC. The Company, through its direct and indirect interests, holds a 100% ownership percentage of Cannae LLC.</w:t>
      </w:r>
    </w:p>
    <w:p>
      <w:pPr>
        <w:spacing w:after="0" w:line="5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decrease in our net deferred tax asset as of December 31, 2024 from 2023 is primarily attributable to the recording of a valuation allowance on our federal net operating loss ("NOL") carryforwards and tax losses realized on sales of D&amp;B, Alight and Paysafe shares, partially offset by equity in losses of unconsolidated affiliates and impairments of investments in unconsolidated affiliates.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gross federal and state NOL carryforwards were $244.9 million and $258.6 million at December 31, 2024 and 2023, respectively. The federal NOLs carryforward indefinitely and state NOLs expire in various tax years through 2043.</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In the year ended December 31, 2024, we recorded an additional valuation allowance of $47.7 million on the Company's federal NOL carryforwards and certain deferred taxes related to our consolidated partnerships. As of December 31, 2024 and 2023, the Company recorded a valuation allowance of $52.8 million and $4.6 million, respectively, related to federal and state NOLs for the tax year ended December 31, 2024 and state NOLs for the tax year ended December 31, 2023, as it is more likely than not that the tax benefit of certain state NOLs will not be realized before the NOLs expire.</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2024, 2023 or 2022.</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federal and state income tax returns for the tax years ended December 31, 2024, 2023, 2022 and 2021 remain subject to examination.</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Note M.</w:t>
        <w:tab/>
        <w:t>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Contingencies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December 31, 2024 and 2023,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Unconditional Purchase Obligations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certain unconditional purchase obligations, primarily in our Restaurant Group segment. These purchase obligations are with various vendors and primarily related to food and beverage obligations with fixed commitments in regard to the time period of the contract and the quantities purchased with annual price adjustments that can fluctuate. We used both historical and projected volume and pricing as of December 31, 2024 to determine the amount of the obligations.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obligations as of December 31, 2024 are as follows (in millions):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07"/>
        </w:trPr>
        <w:tc>
          <w:tcPr>
            <w:tcW w:w="9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N.</w:t>
      </w:r>
      <w:r>
        <w:rPr>
          <w:sz w:val="20"/>
          <w:szCs w:val="20"/>
          <w:color w:val="auto"/>
        </w:rPr>
        <w:tab/>
      </w:r>
      <w:r>
        <w:rPr>
          <w:rFonts w:ascii="Times New Roman" w:cs="Times New Roman" w:eastAsia="Times New Roman" w:hAnsi="Times New Roman"/>
          <w:sz w:val="13"/>
          <w:szCs w:val="13"/>
          <w:b w:val="1"/>
          <w:bCs w:val="1"/>
          <w:color w:val="auto"/>
        </w:rPr>
        <w:t>Concentration of Risk</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place cash equivalents with high credit quality financial institutions and, by policy, limit the amount of credit exposure with any one financial institution.</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Note O.</w:t>
      </w:r>
      <w:r>
        <w:rPr>
          <w:sz w:val="20"/>
          <w:szCs w:val="20"/>
          <w:color w:val="auto"/>
        </w:rPr>
        <w:tab/>
      </w:r>
      <w:r>
        <w:rPr>
          <w:rFonts w:ascii="Times New Roman" w:cs="Times New Roman" w:eastAsia="Times New Roman" w:hAnsi="Times New Roman"/>
          <w:sz w:val="13"/>
          <w:szCs w:val="13"/>
          <w:b w:val="1"/>
          <w:bCs w:val="1"/>
          <w:color w:val="auto"/>
        </w:rPr>
        <w:t>Related 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Trasimene</w:t>
      </w:r>
    </w:p>
    <w:p>
      <w:pPr>
        <w:spacing w:after="0" w:line="9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During the year ended December 31, 2024, we incurred $22.0 million of management fee expenses, no carried interest expense related to sales of and distributions from Company investments and $10.1 million of termination fee expenses with our Manager. During the year ended December 31, 2023, we incurred $37.7 million of management fee expenses and no termination fee expenses nor carried interest expenses related to sales of and distributions from Company investments. During the year ended December 31, 2022, we incurred $40.1 million of management fee expenses to our Manager and incurred $49.3 million of carried interest expense related to sales of and distributions from Company investments, and no termination fee expense. Such management fees, carried interest expense and termination fees are recorded in Other operating expenses and transaction fee income is recorded in Interest, investment and other income on our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9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Minden Mill, through its wholly-owned subsidiaries, owns and operates an estate distillery and related hospitality venues. Entities affiliated with our Chief Executive Officer, Chief Investment Officer and Chairman of our Board, Bill Foley, are the general partner of Minden Mill and manage all aspects of its operation on behalf of the Company. In the year ended December 31, 2023, we invested $52.1 million in Minden Mill for an 89% ownership interest. In the year ended December 31, 2024, we invested an additional $4.4 million through a note receivable which bears interest at a rate of 7.0% per annum.</w:t>
      </w:r>
    </w:p>
    <w:p>
      <w:pPr>
        <w:spacing w:after="0" w:line="53"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BKFC is a partnership led by its general partner Bill Foley, our Chief Executive Officer, Chief Investment Officer and Chairman of our Board. Through Mr. Foley and other Company executives, we are extensively engaged in oversight of and working with BKFC management in helping BKFC implement its strategy. BKFC owns and operates AFCB in the English Premier League and owns a significant minority interest in FC Lorient, a French Ligue 1 football club. In the years ended December 31, 2024 and 2023, we invested $36.8 million and $109.8 million, respectively, in BKFC. BKFC used the proceeds from investments from Cannae and others to acquire its interests in football clubs and further invest in its infrastructure and playing squads.</w:t>
      </w:r>
    </w:p>
    <w:p>
      <w:pPr>
        <w:spacing w:after="0" w:line="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CSI LP is managed by entities affiliated with Frank Martire, a member of our Board, and is part of a consortium of investors who acquired CSI. On December 28, 2023, we received a distribution of $36.8 million from CSI LP, the entity through which we own our interest in CSI. The distribution resulted from CSI LP's sale of a portion of CSI to a third party.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CANNAE HOLDINGS,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Note P.</w:t>
        <w:tab/>
        <w:t>Supplementary Cash Flow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supplemental cash flow information is provided with respect to interest and tax payments, as well as certain non-cash investing and financing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5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year:</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270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13.6</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0.9</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25.1</w:t>
            </w:r>
          </w:p>
        </w:tc>
        <w:tc>
          <w:tcPr>
            <w:tcW w:w="300" w:type="dxa"/>
            <w:vAlign w:val="bottom"/>
          </w:tcPr>
          <w:p>
            <w:pPr>
              <w:spacing w:after="0"/>
              <w:rPr>
                <w:sz w:val="15"/>
                <w:szCs w:val="15"/>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33.1</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D&amp;B shares received as partial consideration for the Optimal Blue Disposition</w:t>
            </w:r>
          </w:p>
        </w:tc>
        <w:tc>
          <w:tcPr>
            <w:tcW w:w="270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w:t>
            </w:r>
          </w:p>
        </w:tc>
      </w:tr>
      <w:tr>
        <w:trPr>
          <w:trHeight w:val="18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shares received as consideration for note receivable from QOMPLX</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of directly held Alight warrants for Alight common stock</w:t>
            </w: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assets recognized in exchange for lease liabilities</w:t>
            </w: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32.8</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795"/>
        </w:trPr>
        <w:tc>
          <w:tcPr>
            <w:tcW w:w="5080" w:type="dxa"/>
            <w:vAlign w:val="bottom"/>
          </w:tcPr>
          <w:p>
            <w:pPr>
              <w:spacing w:after="0"/>
              <w:rPr>
                <w:sz w:val="24"/>
                <w:szCs w:val="24"/>
                <w:color w:val="auto"/>
              </w:rPr>
            </w:pPr>
          </w:p>
        </w:tc>
        <w:tc>
          <w:tcPr>
            <w:tcW w:w="172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rPr>
              <w:t>74</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the end of the year covered by this Annual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Exchange Act is: (a) recorded, processed, summarized and reported, within the time periods specified in the SEC’s rules and forms; and</w:t>
      </w:r>
    </w:p>
    <w:p>
      <w:pPr>
        <w:spacing w:after="0" w:line="1" w:lineRule="exact"/>
        <w:rPr>
          <w:sz w:val="20"/>
          <w:szCs w:val="20"/>
          <w:color w:val="auto"/>
        </w:rPr>
      </w:pPr>
    </w:p>
    <w:p>
      <w:pPr>
        <w:ind w:right="580"/>
        <w:spacing w:after="0" w:line="368" w:lineRule="auto"/>
        <w:rPr>
          <w:sz w:val="20"/>
          <w:szCs w:val="20"/>
          <w:color w:val="auto"/>
        </w:rPr>
      </w:pPr>
      <w:r>
        <w:rPr>
          <w:rFonts w:ascii="Times New Roman" w:cs="Times New Roman" w:eastAsia="Times New Roman" w:hAnsi="Times New Roman"/>
          <w:sz w:val="14"/>
          <w:szCs w:val="14"/>
          <w:color w:val="auto"/>
        </w:rPr>
        <w:t xml:space="preserve">(b) accumulated and communicated to management, including our principal executive and principal financial officers, as appropriate to allow timely decisions regarding required disclosure. </w:t>
      </w: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as such term is defined in Exchange Act Rule 13a-15(f) or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2024.</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2024 has been audited by Deloitte &amp; Touche LLP, an independent registered public accounting firm, as stated in their report, which is included herein.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8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10-14.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 of Ethics</w:t>
      </w:r>
    </w:p>
    <w:p>
      <w:pPr>
        <w:spacing w:after="0" w:line="85"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Our board of directors has adopted a Code of Ethics for Senior Financial Officers, which is applicable to our Chief Executive Officer, our President, our Chief Financial Officer and our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the Investor Relations page of our website at https://www.cannaeholdings.com.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Prohibiting Insider Trading and Related Procedures</w:t>
      </w:r>
    </w:p>
    <w:p>
      <w:pPr>
        <w:spacing w:after="0" w:line="8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Our board of directors has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their immediate family, and any entities controlled by them who have regular access to MNPI. A copy of the insider trading policy is filed as an exhibit to this Annual Report.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10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r>
      <w:tr>
        <w:trPr>
          <w:trHeight w:val="616"/>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40" w:type="dxa"/>
            <w:vAlign w:val="bottom"/>
          </w:tcPr>
          <w:p>
            <w:pPr>
              <w:spacing w:after="0"/>
              <w:rPr>
                <w:sz w:val="24"/>
                <w:szCs w:val="24"/>
                <w:color w:val="auto"/>
              </w:rPr>
            </w:pPr>
          </w:p>
        </w:tc>
      </w:tr>
      <w:tr>
        <w:trPr>
          <w:trHeight w:val="244"/>
        </w:trPr>
        <w:tc>
          <w:tcPr>
            <w:tcW w:w="110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Financial Statement Schedules and Reports on Form 8-K</w:t>
            </w:r>
          </w:p>
        </w:tc>
        <w:tc>
          <w:tcPr>
            <w:tcW w:w="14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11060" w:type="dxa"/>
            <w:vAlign w:val="bottom"/>
            <w:gridSpan w:val="10"/>
          </w:tcPr>
          <w:p>
            <w:pPr>
              <w:ind w:left="240"/>
              <w:spacing w:after="0"/>
              <w:rPr>
                <w:sz w:val="20"/>
                <w:szCs w:val="20"/>
                <w:color w:val="auto"/>
              </w:rPr>
            </w:pPr>
            <w:r>
              <w:rPr>
                <w:rFonts w:ascii="Times New Roman" w:cs="Times New Roman" w:eastAsia="Times New Roman" w:hAnsi="Times New Roman"/>
                <w:sz w:val="14"/>
                <w:szCs w:val="14"/>
                <w:color w:val="auto"/>
              </w:rPr>
              <w:t xml:space="preserve">(a)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xml:space="preserve"> The following is a list of the Consolidated Financial Statements of Cannae Holdings, Inc. and its subsidiaries included in Item 8 of Part II:</w:t>
            </w:r>
          </w:p>
        </w:tc>
        <w:tc>
          <w:tcPr>
            <w:tcW w:w="140" w:type="dxa"/>
            <w:vAlign w:val="bottom"/>
          </w:tcPr>
          <w:p>
            <w:pPr>
              <w:spacing w:after="0"/>
              <w:rPr>
                <w:sz w:val="20"/>
                <w:szCs w:val="20"/>
                <w:color w:val="auto"/>
              </w:rPr>
            </w:pPr>
          </w:p>
        </w:tc>
      </w:tr>
      <w:tr>
        <w:trPr>
          <w:trHeight w:val="170"/>
        </w:trPr>
        <w:tc>
          <w:tcPr>
            <w:tcW w:w="20" w:type="dxa"/>
            <w:vAlign w:val="bottom"/>
          </w:tcPr>
          <w:p>
            <w:pPr>
              <w:spacing w:after="0"/>
              <w:rPr>
                <w:sz w:val="14"/>
                <w:szCs w:val="14"/>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41</w:t>
            </w:r>
          </w:p>
        </w:tc>
      </w:tr>
      <w:tr>
        <w:trPr>
          <w:trHeight w:val="160"/>
        </w:trPr>
        <w:tc>
          <w:tcPr>
            <w:tcW w:w="20" w:type="dxa"/>
            <w:vAlign w:val="bottom"/>
          </w:tcPr>
          <w:p>
            <w:pPr>
              <w:spacing w:after="0"/>
              <w:rPr>
                <w:sz w:val="13"/>
                <w:szCs w:val="13"/>
                <w:color w:val="auto"/>
              </w:rPr>
            </w:pPr>
          </w:p>
        </w:tc>
        <w:tc>
          <w:tcPr>
            <w:tcW w:w="6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Consolidated Financial Statements</w:t>
            </w:r>
          </w:p>
        </w:tc>
        <w:tc>
          <w:tcPr>
            <w:tcW w:w="4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42</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2024 and 2023</w:t>
            </w:r>
          </w:p>
        </w:tc>
        <w:tc>
          <w:tcPr>
            <w:tcW w:w="1820" w:type="dxa"/>
            <w:vAlign w:val="bottom"/>
            <w:tcBorders>
              <w:top w:val="single" w:sz="8" w:color="0000FF"/>
            </w:tcBorders>
            <w:gridSpan w:val="4"/>
          </w:tcPr>
          <w:p>
            <w:pPr>
              <w:spacing w:after="0"/>
              <w:rPr>
                <w:sz w:val="13"/>
                <w:szCs w:val="13"/>
                <w:color w:val="auto"/>
              </w:rPr>
            </w:pPr>
          </w:p>
        </w:tc>
        <w:tc>
          <w:tcPr>
            <w:tcW w:w="5580" w:type="dxa"/>
            <w:vAlign w:val="bottom"/>
            <w:gridSpan w:val="3"/>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46</w:t>
            </w:r>
          </w:p>
        </w:tc>
      </w:tr>
      <w:tr>
        <w:trPr>
          <w:trHeight w:val="160"/>
        </w:trPr>
        <w:tc>
          <w:tcPr>
            <w:tcW w:w="20" w:type="dxa"/>
            <w:vAlign w:val="bottom"/>
          </w:tcPr>
          <w:p>
            <w:pPr>
              <w:spacing w:after="0"/>
              <w:rPr>
                <w:sz w:val="13"/>
                <w:szCs w:val="13"/>
                <w:color w:val="auto"/>
              </w:rPr>
            </w:pPr>
          </w:p>
        </w:tc>
        <w:tc>
          <w:tcPr>
            <w:tcW w:w="5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2024, 2023, and 2022</w:t>
            </w:r>
          </w:p>
        </w:tc>
        <w:tc>
          <w:tcPr>
            <w:tcW w:w="5640" w:type="dxa"/>
            <w:vAlign w:val="bottom"/>
            <w:gridSpan w:val="5"/>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47</w:t>
            </w:r>
          </w:p>
        </w:tc>
      </w:tr>
      <w:tr>
        <w:trPr>
          <w:trHeight w:val="160"/>
        </w:trPr>
        <w:tc>
          <w:tcPr>
            <w:tcW w:w="20" w:type="dxa"/>
            <w:vAlign w:val="bottom"/>
          </w:tcPr>
          <w:p>
            <w:pPr>
              <w:spacing w:after="0"/>
              <w:rPr>
                <w:sz w:val="13"/>
                <w:szCs w:val="13"/>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2024, 2023, and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48</w:t>
            </w:r>
          </w:p>
        </w:tc>
      </w:tr>
      <w:tr>
        <w:trPr>
          <w:trHeight w:val="160"/>
        </w:trPr>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2024, 2023, and 2022</w:t>
            </w:r>
          </w:p>
        </w:tc>
        <w:tc>
          <w:tcPr>
            <w:tcW w:w="1040" w:type="dxa"/>
            <w:vAlign w:val="bottom"/>
            <w:tcBorders>
              <w:top w:val="single" w:sz="8" w:color="0000FF"/>
            </w:tcBorders>
            <w:gridSpan w:val="4"/>
          </w:tcPr>
          <w:p>
            <w:pPr>
              <w:spacing w:after="0"/>
              <w:rPr>
                <w:sz w:val="13"/>
                <w:szCs w:val="13"/>
                <w:color w:val="auto"/>
              </w:rPr>
            </w:pPr>
          </w:p>
        </w:tc>
        <w:tc>
          <w:tcPr>
            <w:tcW w:w="484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49</w:t>
            </w:r>
          </w:p>
        </w:tc>
      </w:tr>
      <w:tr>
        <w:trPr>
          <w:trHeight w:val="160"/>
        </w:trPr>
        <w:tc>
          <w:tcPr>
            <w:tcW w:w="20" w:type="dxa"/>
            <w:vAlign w:val="bottom"/>
          </w:tcPr>
          <w:p>
            <w:pPr>
              <w:spacing w:after="0"/>
              <w:rPr>
                <w:sz w:val="13"/>
                <w:szCs w:val="13"/>
                <w:color w:val="auto"/>
              </w:rPr>
            </w:pPr>
          </w:p>
        </w:tc>
        <w:tc>
          <w:tcPr>
            <w:tcW w:w="110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2023, and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50</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tcBorders>
              <w:top w:val="single" w:sz="8" w:color="0000FF"/>
            </w:tcBorders>
            <w:gridSpan w:val="4"/>
          </w:tcPr>
          <w:p>
            <w:pPr>
              <w:spacing w:after="0"/>
              <w:rPr>
                <w:sz w:val="13"/>
                <w:szCs w:val="13"/>
                <w:color w:val="auto"/>
              </w:rPr>
            </w:pPr>
          </w:p>
        </w:tc>
        <w:tc>
          <w:tcPr>
            <w:tcW w:w="5600" w:type="dxa"/>
            <w:vAlign w:val="bottom"/>
            <w:gridSpan w:val="4"/>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51</w:t>
            </w:r>
          </w:p>
        </w:tc>
      </w:tr>
    </w:tbl>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(2) The following exhibits are incorporated by reference or are set forth on pages to this Form 10-K:</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760" w:type="dxa"/>
            <w:vAlign w:val="bottom"/>
            <w:gridSpan w:val="30"/>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112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760" w:type="dxa"/>
            <w:vAlign w:val="bottom"/>
            <w:gridSpan w:val="3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18"/>
                <w:szCs w:val="18"/>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Plan of Conversion (incorporated by reference to Exhibit 2.1 to the Company’s Current Report on Form 8-K, filed June 20, 2024).</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13"/>
                <w:szCs w:val="13"/>
                <w:color w:val="auto"/>
              </w:rPr>
            </w:pPr>
          </w:p>
        </w:tc>
        <w:tc>
          <w:tcPr>
            <w:tcW w:w="91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Articles of Incorporation of Cannae Holdings, Inc. (incorporated by reference to Exhibit 3.1 to the Company’s Current Report on Form 8-K, filed June 20, 2024).</w:t>
              </w:r>
            </w:hyperlink>
          </w:p>
        </w:tc>
        <w:tc>
          <w:tcPr>
            <w:tcW w:w="12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3"/>
                <w:szCs w:val="13"/>
                <w:color w:val="auto"/>
              </w:rPr>
            </w:pPr>
          </w:p>
        </w:tc>
        <w:tc>
          <w:tcPr>
            <w:tcW w:w="81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Bylaws of Cannae Holdings, Inc. (incorporated by reference to Exhibit 3.2 to the Company’s Current Report on Form 8-K, filed June 20, 2024).</w:t>
              </w:r>
            </w:hyperlink>
          </w:p>
        </w:tc>
        <w:tc>
          <w:tcPr>
            <w:tcW w:w="22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13"/>
                <w:szCs w:val="13"/>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Specimen Certificate for shares of Common Stock (incorporated by reference to Exhibit 4.1 to Amendment No. 2 to the Company's Registration Statement on Form S-1 on Form</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S-4 (File No. 333-217-886), filed July 24, 2017)</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Description of Common Stock (filed as Exhibit 4.2 to the Company’s Annual Report on Form 10-K for the year ended December 31, 2019, filed March 2, 2020)</w:t>
              </w:r>
            </w:hyperlink>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10.1</w:t>
            </w:r>
          </w:p>
        </w:tc>
        <w:tc>
          <w:tcPr>
            <w:tcW w:w="320" w:type="dxa"/>
            <w:vAlign w:val="bottom"/>
          </w:tcPr>
          <w:p>
            <w:pPr>
              <w:spacing w:after="0"/>
              <w:rPr>
                <w:sz w:val="13"/>
                <w:szCs w:val="13"/>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Tax Matters Agreement, dated as of November 17, 2017, by and between Cannae Holdings, Inc. and Fidelity National Financial, Inc. (filed as Exhibit 10.2 to the Company’s</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Current Report on Form 8-K, filed November 20, 2017)</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10.2</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Amended and Restated 2017 Omnibus Incentive Plan (incorporated by reference to Exhibit 10.1 to the Company’s Current Report on Form 8-K, filed June 20, 2024).</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10.3</w:t>
            </w:r>
          </w:p>
        </w:tc>
        <w:tc>
          <w:tcPr>
            <w:tcW w:w="320" w:type="dxa"/>
            <w:vAlign w:val="bottom"/>
          </w:tcPr>
          <w:p>
            <w:pPr>
              <w:spacing w:after="0"/>
              <w:rPr>
                <w:sz w:val="13"/>
                <w:szCs w:val="13"/>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Amended and Restated Revolver Note, dated as of May 12, 2022, by and between Cannae Holdings, Inc. and Fidelity National Financial, Inc. (incorporated by reference to</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8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Exhibit 10.1 to the Company's Quarterly Report on Form 10-Q for the period ended June 30, 2022, filed August 8, 2022)</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10.4</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First Amendment to Amended and Restated Revolver Note, dated as of January 29, 2024, by and between Cannae Holdings, Inc. and Fidelity National Financial, Inc.</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90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(incorporated by reference to Exhibit 10.14 to the Company’s Annual Report on Form 10-K for the year ended December 31, 2023, filed February 29, 2024).</w:t>
              </w:r>
            </w:hyperlink>
          </w:p>
        </w:tc>
        <w:tc>
          <w:tcPr>
            <w:tcW w:w="148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10.5</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Amended and Restated Management Services Agreement, dated as of August 4, 2021, by and among Cannae Holdings, Inc., Cannae Holdings, LLC and Trasimene Capital</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4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Management, LLC (incorporated by reference to Exhibit 10.7 to the Company's Quarterly Report on Form 10-Q for the period ended June 30, 2021 filed August 6, 2021).</w:t>
              </w:r>
            </w:hyperlink>
          </w:p>
        </w:tc>
        <w:tc>
          <w:tcPr>
            <w:tcW w:w="68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10.6</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Second Amended and Restated Management Services Agreement, dated as of September 30, 2023 by and among Cannae Holdings, Inc., Cannae Holdings, LLC and Trasimene</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1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Capital Management, LLC (incorporated by reference to Exhibit 10.1 to the Company's Current Report on Form 8-K, filed October 4,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10.7</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Third Amended and Restated Management Services Agreement, dated February 26, 2024, by and among Cannae Holdings, Inc., Cannae Holdings, LLC, and Trasimene Capital</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Management, LLC (incorporated by reference to Exhibit 10.11 to the Company's Annual Report on Form 10-K for the year ended December 31, 2023, filed February 29, 2024).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60" w:type="dxa"/>
            <w:vAlign w:val="bottom"/>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10.8</w:t>
            </w:r>
          </w:p>
        </w:tc>
        <w:tc>
          <w:tcPr>
            <w:tcW w:w="320" w:type="dxa"/>
            <w:vAlign w:val="bottom"/>
          </w:tcPr>
          <w:p>
            <w:pPr>
              <w:spacing w:after="0"/>
              <w:rPr>
                <w:sz w:val="14"/>
                <w:szCs w:val="14"/>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Margin Loan Agreement, dated as of March 4, 2024 by and among Cannae Funding D, LLC, Cannae Funding A, LLC, the lenders from time to time parties thereto and Bank of</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120" w:type="dxa"/>
            <w:vAlign w:val="bottom"/>
            <w:tcBorders>
              <w:top w:val="single" w:sz="8" w:color="0000FF"/>
              <w:bottom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America, N.A. as administrative agent and calculation agent (incorporated by reference to Exhibit 10.7 to the Company's Quarterly Report on Form 10-Q for the period ended</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140" w:type="dxa"/>
            <w:vAlign w:val="bottom"/>
            <w:gridSpan w:val="21"/>
          </w:tcPr>
          <w:p>
            <w:pPr>
              <w:spacing w:after="0" w:line="12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March 31, 2024, filed May 9, 2024)</w:t>
              </w:r>
              <w:r>
                <w:rPr>
                  <w:rFonts w:ascii="Times New Roman" w:cs="Times New Roman" w:eastAsia="Times New Roman" w:hAnsi="Times New Roman"/>
                  <w:sz w:val="14"/>
                  <w:szCs w:val="14"/>
                  <w:u w:val="single" w:color="auto"/>
                  <w:color w:val="0000FF"/>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10.9</w:t>
            </w:r>
          </w:p>
        </w:tc>
        <w:tc>
          <w:tcPr>
            <w:tcW w:w="320" w:type="dxa"/>
            <w:vAlign w:val="bottom"/>
          </w:tcPr>
          <w:p>
            <w:pPr>
              <w:spacing w:after="0"/>
              <w:rPr>
                <w:sz w:val="13"/>
                <w:szCs w:val="13"/>
                <w:color w:val="auto"/>
              </w:rPr>
            </w:pP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Guaranty, dated as of November 30, 2020, of Cannae Holdings, Inc. (incorporated by reference to Exhibit 10.2 to the Company's Current Report on Form 8-K, filed December 2,</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2020).</w:t>
              </w:r>
            </w:hyperlink>
          </w:p>
        </w:tc>
        <w:tc>
          <w:tcPr>
            <w:tcW w:w="168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10.10†</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Form of Notice of Restricted Stock Award Agreement dated as of November 11, 2021 (incorporated by reference to Exhibit 10.27 to the Company’s Annual Report on Form 10-K</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34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for the year ended December 31, 2021, filed February 25, 2022).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10.11†</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Form of Notice of Restricted Stock Award Agreement dated as of March 15, 2023 (incorporated by reference to Exhibit 10.12 to the Company's Annual Report on Form 10-K for</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the year ended December 31, 2023, filed on February 29, 2024).</w:t>
              </w:r>
            </w:hyperlink>
          </w:p>
        </w:tc>
        <w:tc>
          <w:tcPr>
            <w:tcW w:w="658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10.12†</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Employment Agreement, dated February 26, 2024, by and between Cannae Holdings, Inc. and William P. Foley, II (incorporated by reference to Exhibit 10.15 to the Company’s</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Annual Report on Form 10-K for the year ended December 31, 2023, filed February 29, 2024).</w:t>
              </w:r>
            </w:hyperlink>
          </w:p>
        </w:tc>
        <w:tc>
          <w:tcPr>
            <w:tcW w:w="4840" w:type="dxa"/>
            <w:vAlign w:val="bottom"/>
            <w:tcBorders>
              <w:top w:val="single" w:sz="8" w:color="0000FF"/>
            </w:tcBorders>
            <w:gridSpan w:val="20"/>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10.13†</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Restricted Stock Unit Grant Agreement dated as of February 26, 2024, by and between Cannae Holdings, Inc. and William P. Foley, II (incorporated by reference to Exhibit 10.16</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to the Company’s Annual Report on Form 10-K for the year ended December 31, 2023, filed February 29, 2024).</w:t>
              </w:r>
            </w:hyperlink>
          </w:p>
        </w:tc>
        <w:tc>
          <w:tcPr>
            <w:tcW w:w="376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10.14†</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Employment Agreement, dated February 26, 2024, by and between Cannae Holdings, Inc. and Ryan R. Caswell (incorporated by reference to Exhibit 10.17 to the Company’s</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Annual Report on Form 10-K for the year ended December 31, 2023, filed February 29, 2024).</w:t>
              </w:r>
            </w:hyperlink>
          </w:p>
        </w:tc>
        <w:tc>
          <w:tcPr>
            <w:tcW w:w="4940" w:type="dxa"/>
            <w:vAlign w:val="bottom"/>
            <w:tcBorders>
              <w:top w:val="single" w:sz="8" w:color="0000FF"/>
            </w:tcBorders>
            <w:gridSpan w:val="2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10.15†</w:t>
            </w:r>
          </w:p>
        </w:tc>
        <w:tc>
          <w:tcPr>
            <w:tcW w:w="10420" w:type="dxa"/>
            <w:vAlign w:val="bottom"/>
            <w:gridSpan w:val="3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Restricted Stock Unit Grant Agreement dated as of February 26, 2024, by and between Cannae Holdings, Inc. and Ryan R. Caswell (incorporated by reference to Exhibit 10.18 to</w:t>
              </w:r>
            </w:hyperlink>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the Company’s Annual Report on Form 10-K for the year ended December 31, 2023, filed February 29, 2024).</w:t>
              </w:r>
            </w:hyperlink>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701"/>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tcBorders>
              <w:top w:val="single" w:sz="8" w:color="0000FF"/>
            </w:tcBorders>
            <w:gridSpan w:val="6"/>
          </w:tcPr>
          <w:p>
            <w:pPr>
              <w:ind w:left="4460"/>
              <w:spacing w:after="0"/>
              <w:rPr>
                <w:sz w:val="20"/>
                <w:szCs w:val="20"/>
                <w:color w:val="auto"/>
              </w:rPr>
            </w:pPr>
            <w:r>
              <w:rPr>
                <w:rFonts w:ascii="Times New Roman" w:cs="Times New Roman" w:eastAsia="Times New Roman" w:hAnsi="Times New Roman"/>
                <w:sz w:val="14"/>
                <w:szCs w:val="14"/>
                <w:color w:val="auto"/>
              </w:rPr>
              <w:t>78</w:t>
            </w:r>
          </w:p>
        </w:tc>
        <w:tc>
          <w:tcPr>
            <w:tcW w:w="7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6"/>
        </w:trPr>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1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11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6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8"/>
              </w:rPr>
              <w:t>10.16†</w:t>
            </w:r>
          </w:p>
        </w:tc>
        <w:tc>
          <w:tcPr>
            <w:tcW w:w="10140" w:type="dxa"/>
            <w:vAlign w:val="bottom"/>
            <w:gridSpan w:val="1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Employment Agreement, dated March 18, 2024, by and between Cannae Holdings, Inc. and Michael L. Gravelle (incorporated by reference to Exhibit 10.8 on the Company's</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1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Quarterly Report on Form 10-Q for the period ended March 31, 2024, filed May 9,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tcBorders>
              <w:top w:val="single" w:sz="8" w:color="0000FF"/>
            </w:tcBorders>
            <w:gridSpan w:val="10"/>
            <w:vMerge w:val="restart"/>
          </w:tcPr>
          <w:p>
            <w:pPr>
              <w:spacing w:after="0"/>
              <w:rPr>
                <w:sz w:val="20"/>
                <w:szCs w:val="20"/>
                <w:color w:val="auto"/>
              </w:rPr>
            </w:pPr>
            <w:r>
              <w:rPr>
                <w:rFonts w:ascii="Times New Roman" w:cs="Times New Roman" w:eastAsia="Times New Roman" w:hAnsi="Times New Roman"/>
                <w:sz w:val="14"/>
                <w:szCs w:val="14"/>
                <w:color w:val="0000FF"/>
              </w:rPr>
              <w:t>Code of Ethics for Senior Financial Officers</w:t>
            </w:r>
            <w:r>
              <w:rPr>
                <w:rFonts w:ascii="Times New Roman" w:cs="Times New Roman" w:eastAsia="Times New Roman" w:hAnsi="Times New Roman"/>
                <w:sz w:val="14"/>
                <w:szCs w:val="14"/>
                <w:color w:val="000000"/>
              </w:rPr>
              <w:t>.</w:t>
            </w:r>
          </w:p>
        </w:tc>
        <w:tc>
          <w:tcPr>
            <w:tcW w:w="5060" w:type="dxa"/>
            <w:vAlign w:val="bottom"/>
            <w:gridSpan w:val="9"/>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80" w:type="dxa"/>
            <w:vAlign w:val="bottom"/>
            <w:gridSpan w:val="10"/>
            <w:vMerge w:val="continue"/>
          </w:tcPr>
          <w:p>
            <w:pPr>
              <w:spacing w:after="0"/>
              <w:rPr>
                <w:sz w:val="4"/>
                <w:szCs w:val="4"/>
                <w:color w:val="auto"/>
              </w:rPr>
            </w:pPr>
          </w:p>
        </w:tc>
        <w:tc>
          <w:tcPr>
            <w:tcW w:w="50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14.2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4"/>
                <w:szCs w:val="14"/>
                <w:color w:val="0000FF"/>
              </w:rPr>
              <w:t>Code of Business Conduct and Ethics</w:t>
            </w:r>
          </w:p>
        </w:tc>
        <w:tc>
          <w:tcPr>
            <w:tcW w:w="360" w:type="dxa"/>
            <w:vAlign w:val="bottom"/>
            <w:tcBorders>
              <w:top w:val="single" w:sz="8" w:color="0000FF"/>
            </w:tcBorders>
            <w:vMerge w:val="restart"/>
          </w:tcPr>
          <w:p>
            <w:pPr>
              <w:spacing w:after="0"/>
              <w:rPr>
                <w:sz w:val="24"/>
                <w:szCs w:val="24"/>
                <w:color w:val="auto"/>
              </w:rPr>
            </w:pPr>
          </w:p>
        </w:tc>
        <w:tc>
          <w:tcPr>
            <w:tcW w:w="764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40" w:type="dxa"/>
            <w:vAlign w:val="bottom"/>
            <w:tcBorders>
              <w:bottom w:val="single" w:sz="8" w:color="0000FF"/>
            </w:tcBorders>
            <w:gridSpan w:val="3"/>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64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Insider Trading and Tipping Policy, with an effective date of February 4, 2019, as amended February 15, 2024.</w:t>
            </w:r>
          </w:p>
        </w:tc>
        <w:tc>
          <w:tcPr>
            <w:tcW w:w="386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List of Subsidiaries</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Consent of Deloitte &amp; Touche LLP.</w:t>
            </w:r>
          </w:p>
        </w:tc>
        <w:tc>
          <w:tcPr>
            <w:tcW w:w="81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Consent of KPMG LLP with respect to report related to Dun &amp; Bradstreet Holdings, Inc.</w:t>
            </w:r>
          </w:p>
        </w:tc>
        <w:tc>
          <w:tcPr>
            <w:tcW w:w="51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Consent of Ernst &amp; Young LLP with respect to report related to Alight, Inc.</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31.1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44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32.1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of Periodic Financial Reports pursuant to Section 906 of the Sarbanes-Oxley Act of 2002, 18 U.S.C. Section 1350</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32.2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of Periodic Financial Reports pursuant to Section 906 of the Sarbanes-Oxley Act of 2002, 18 U.S.C. Section 1350.</w:t>
            </w:r>
          </w:p>
        </w:tc>
        <w:tc>
          <w:tcPr>
            <w:tcW w:w="20" w:type="dxa"/>
            <w:vAlign w:val="bottom"/>
            <w:tcBorders>
              <w:top w:val="single" w:sz="8" w:color="0000FF"/>
            </w:tcBorders>
          </w:tcPr>
          <w:p>
            <w:pPr>
              <w:spacing w:after="0"/>
              <w:rPr>
                <w:sz w:val="13"/>
                <w:szCs w:val="13"/>
                <w:color w:val="auto"/>
              </w:rPr>
            </w:pPr>
          </w:p>
        </w:tc>
        <w:tc>
          <w:tcPr>
            <w:tcW w:w="1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97.1†</w:t>
            </w:r>
          </w:p>
        </w:tc>
        <w:tc>
          <w:tcPr>
            <w:tcW w:w="10140" w:type="dxa"/>
            <w:vAlign w:val="bottom"/>
            <w:gridSpan w:val="1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Incentive-Based Compensation Recovery Policy, with an effective date of October 3, 2023 (incorporated by reference to Exhibit 10.13 to the Company's Annual Report on Form</w:t>
              </w:r>
            </w:hyperlink>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1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10-K for the year ended December 31, 2023, filed February 29, 2024).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rPr>
              <w:t>99.1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Audited Financial Statements of Dun &amp; Bradstreet Holdings, Inc.</w:t>
            </w:r>
          </w:p>
        </w:tc>
        <w:tc>
          <w:tcPr>
            <w:tcW w:w="260" w:type="dxa"/>
            <w:vAlign w:val="bottom"/>
            <w:tcBorders>
              <w:top w:val="single" w:sz="8" w:color="0000FF"/>
            </w:tcBorders>
          </w:tcPr>
          <w:p>
            <w:pPr>
              <w:spacing w:after="0"/>
              <w:rPr>
                <w:sz w:val="14"/>
                <w:szCs w:val="14"/>
                <w:color w:val="auto"/>
              </w:rPr>
            </w:pPr>
          </w:p>
        </w:tc>
        <w:tc>
          <w:tcPr>
            <w:tcW w:w="61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9"/>
              </w:rPr>
              <w:t>101.INS*</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0" w:type="dxa"/>
            <w:vAlign w:val="bottom"/>
          </w:tcPr>
          <w:p>
            <w:pPr>
              <w:spacing w:after="0"/>
              <w:rPr>
                <w:sz w:val="1"/>
                <w:szCs w:val="1"/>
                <w:color w:val="auto"/>
              </w:rPr>
            </w:pPr>
          </w:p>
        </w:tc>
      </w:tr>
      <w:tr>
        <w:trPr>
          <w:trHeight w:val="180"/>
        </w:trPr>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101.SCH</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101.CAL</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8"/>
              </w:rPr>
              <w:t>101.DEF</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101.LAB</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bl>
    <w:p>
      <w:pPr>
        <w:ind w:left="1140" w:hanging="679"/>
        <w:spacing w:after="0"/>
        <w:tabs>
          <w:tab w:leader="none" w:pos="11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Inline XBRL and contained in Exhibit 101.</w:t>
      </w:r>
    </w:p>
    <w:p>
      <w:pPr>
        <w:spacing w:after="0" w:line="270" w:lineRule="exact"/>
        <w:rPr>
          <w:rFonts w:ascii="Times New Roman" w:cs="Times New Roman" w:eastAsia="Times New Roman" w:hAnsi="Times New Roman"/>
          <w:sz w:val="14"/>
          <w:szCs w:val="14"/>
          <w:color w:val="auto"/>
        </w:rPr>
      </w:pPr>
    </w:p>
    <w:p>
      <w:pPr>
        <w:jc w:val="center"/>
        <w:ind w:right="3260" w:firstLine="5"/>
        <w:spacing w:after="0" w:line="287" w:lineRule="auto"/>
        <w:tabs>
          <w:tab w:leader="none" w:pos="10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15(b) of Form 10-K * The instance document does not appear in the interactive data file because its XBRL tags are embedded within the inline XBRL document.</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8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Cannae Holdings, Inc.</w:t>
      </w:r>
    </w:p>
    <w:p>
      <w:pPr>
        <w:spacing w:after="0" w:line="23" w:lineRule="exact"/>
        <w:rPr>
          <w:sz w:val="20"/>
          <w:szCs w:val="20"/>
          <w:color w:val="auto"/>
        </w:rPr>
      </w:pPr>
    </w:p>
    <w:p>
      <w:pPr>
        <w:ind w:left="6680"/>
        <w:spacing w:after="0"/>
        <w:tabs>
          <w:tab w:leader="none" w:pos="84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12700</wp:posOffset>
            </wp:positionV>
            <wp:extent cx="21018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color w:val="auto"/>
        </w:rPr>
        <w:t>Ryan R. Caswell</w:t>
      </w:r>
    </w:p>
    <w:p>
      <w:pPr>
        <w:spacing w:after="0" w:line="1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color w:val="auto"/>
        </w:rPr>
        <w:t>President</w:t>
      </w:r>
    </w:p>
    <w:p>
      <w:pPr>
        <w:jc w:val="center"/>
        <w:ind w:left="66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2025</w:t>
      </w:r>
    </w:p>
    <w:p>
      <w:pPr>
        <w:spacing w:after="0" w:line="104" w:lineRule="exact"/>
        <w:rPr>
          <w:sz w:val="20"/>
          <w:szCs w:val="20"/>
          <w:color w:val="auto"/>
        </w:rPr>
      </w:pPr>
    </w:p>
    <w:p>
      <w:pPr>
        <w:ind w:left="40" w:right="80" w:firstLine="212"/>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200" w:type="dxa"/>
            <w:vAlign w:val="bottom"/>
          </w:tcPr>
          <w:p>
            <w:pPr>
              <w:spacing w:after="0"/>
              <w:rPr>
                <w:sz w:val="11"/>
                <w:szCs w:val="11"/>
                <w:color w:val="auto"/>
              </w:rPr>
            </w:pP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440" w:type="dxa"/>
            <w:vAlign w:val="bottom"/>
          </w:tcPr>
          <w:p>
            <w:pPr>
              <w:spacing w:after="0"/>
              <w:rPr>
                <w:sz w:val="11"/>
                <w:szCs w:val="11"/>
                <w:color w:val="auto"/>
              </w:rPr>
            </w:pPr>
          </w:p>
        </w:tc>
        <w:tc>
          <w:tcPr>
            <w:tcW w:w="6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5"/>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Ryan R. Caswell</w:t>
            </w:r>
          </w:p>
        </w:tc>
        <w:tc>
          <w:tcPr>
            <w:tcW w:w="564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w w:val="99"/>
              </w:rPr>
              <w:t>President</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Ryan R. Caswell</w:t>
            </w:r>
          </w:p>
        </w:tc>
        <w:tc>
          <w:tcPr>
            <w:tcW w:w="564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Bryan D. Coy</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Bryan D. Coy</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/s/ William P. Foley, II</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rPr>
              <w:t>Chief Executive Officer, Chief Investment Officer,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William P. Foley, II</w:t>
            </w:r>
          </w:p>
        </w:tc>
        <w:tc>
          <w:tcPr>
            <w:tcW w:w="564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Douglas K. Ammerman</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Douglas K. Ammerman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Hugh R. Harris</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Hugh R. Harris</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 Malcolm Holland</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 Malcolm Holland</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Mark D. Linehan</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Mark D. Linehan</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Frank R. Martire</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Frank R. Martire</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Erika Meinhardt</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Erika Meinhardt</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/s/ Barry B. Moullet</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Barry B. Moullet</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James B. Stallings, Jr.</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James B. Stallings, Jr.</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9"/>
        </w:trPr>
        <w:tc>
          <w:tcPr>
            <w:tcW w:w="2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w w:val="98"/>
              </w:rPr>
              <w:t>/s/ Frank P. Willey</w:t>
            </w:r>
          </w:p>
        </w:tc>
        <w:tc>
          <w:tcPr>
            <w:tcW w:w="5640" w:type="dxa"/>
            <w:vAlign w:val="bottom"/>
            <w:gridSpan w:val="3"/>
          </w:tcPr>
          <w:p>
            <w:pPr>
              <w:jc w:val="center"/>
              <w:ind w:left="550"/>
              <w:spacing w:after="0"/>
              <w:rPr>
                <w:sz w:val="20"/>
                <w:szCs w:val="20"/>
                <w:color w:val="auto"/>
              </w:rPr>
            </w:pPr>
            <w:r>
              <w:rPr>
                <w:rFonts w:ascii="Times New Roman" w:cs="Times New Roman" w:eastAsia="Times New Roman" w:hAnsi="Times New Roman"/>
                <w:sz w:val="14"/>
                <w:szCs w:val="14"/>
                <w:color w:val="auto"/>
                <w:w w:val="98"/>
              </w:rPr>
              <w:t>Director</w:t>
            </w:r>
          </w:p>
        </w:tc>
        <w:tc>
          <w:tcPr>
            <w:tcW w:w="2060" w:type="dxa"/>
            <w:vAlign w:val="bottom"/>
            <w:gridSpan w:val="3"/>
          </w:tcPr>
          <w:p>
            <w:pPr>
              <w:jc w:val="center"/>
              <w:ind w:left="949"/>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75"/>
        </w:trPr>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Frank P. Willey</w:t>
            </w: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866"/>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403860</wp:posOffset>
            </wp:positionV>
            <wp:extent cx="4136390" cy="1158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4136390" cy="115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880" w:right="3020"/>
        <w:spacing w:after="0" w:line="322" w:lineRule="auto"/>
        <w:rPr>
          <w:sz w:val="20"/>
          <w:szCs w:val="20"/>
          <w:color w:val="auto"/>
        </w:rPr>
      </w:pPr>
      <w:r>
        <w:rPr>
          <w:rFonts w:ascii="Times New Roman" w:cs="Times New Roman" w:eastAsia="Times New Roman" w:hAnsi="Times New Roman"/>
          <w:sz w:val="51"/>
          <w:szCs w:val="51"/>
          <w:color w:val="365F91"/>
        </w:rPr>
        <w:t>CODE OF ETHICS FOR SENIOR FINANCIAL OFFICERS</w:t>
      </w:r>
    </w:p>
    <w:p>
      <w:pPr>
        <w:sectPr>
          <w:pgSz w:w="11900" w:h="16838" w:orient="portrait"/>
          <w:cols w:equalWidth="0" w:num="1">
            <w:col w:w="10140"/>
          </w:cols>
          <w:pgMar w:left="1440" w:top="114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3"/>
          <w:szCs w:val="23"/>
          <w:color w:val="365F91"/>
        </w:rPr>
        <w:t>Table of Contents</w:t>
      </w:r>
    </w:p>
    <w:p>
      <w:pPr>
        <w:spacing w:after="0" w:line="200" w:lineRule="exact"/>
        <w:rPr>
          <w:sz w:val="20"/>
          <w:szCs w:val="20"/>
          <w:color w:val="auto"/>
        </w:rPr>
      </w:pPr>
    </w:p>
    <w:p>
      <w:pPr>
        <w:spacing w:after="0" w:line="294" w:lineRule="exact"/>
        <w:rPr>
          <w:sz w:val="20"/>
          <w:szCs w:val="20"/>
          <w:color w:val="auto"/>
        </w:rPr>
      </w:pPr>
    </w:p>
    <w:p>
      <w:pPr>
        <w:ind w:left="660" w:hanging="502"/>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3</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8"/>
              </w:rPr>
              <w:t>2.</w:t>
            </w:r>
          </w:p>
        </w:tc>
        <w:tc>
          <w:tcPr>
            <w:tcW w:w="2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Act with Integrity  3</w:t>
            </w:r>
          </w:p>
        </w:tc>
      </w:tr>
      <w:tr>
        <w:trPr>
          <w:trHeight w:val="276"/>
        </w:trPr>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8"/>
              </w:rPr>
              <w:t>3.</w:t>
            </w:r>
          </w:p>
        </w:tc>
        <w:tc>
          <w:tcPr>
            <w:tcW w:w="2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Avoid Conflicts of Interest  3</w:t>
            </w:r>
          </w:p>
        </w:tc>
      </w:tr>
    </w:tbl>
    <w:p>
      <w:pPr>
        <w:spacing w:after="0" w:line="46" w:lineRule="exact"/>
        <w:rPr>
          <w:sz w:val="20"/>
          <w:szCs w:val="20"/>
          <w:color w:val="auto"/>
        </w:rPr>
      </w:pPr>
    </w:p>
    <w:p>
      <w:pPr>
        <w:ind w:left="660" w:hanging="50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4</w:t>
      </w:r>
    </w:p>
    <w:p>
      <w:pPr>
        <w:spacing w:after="0" w:line="90" w:lineRule="exact"/>
        <w:rPr>
          <w:rFonts w:ascii="Times New Roman" w:cs="Times New Roman" w:eastAsia="Times New Roman" w:hAnsi="Times New Roman"/>
          <w:sz w:val="17"/>
          <w:szCs w:val="17"/>
          <w:color w:val="auto"/>
        </w:rPr>
      </w:pPr>
    </w:p>
    <w:p>
      <w:pPr>
        <w:ind w:left="660" w:hanging="50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5</w:t>
      </w:r>
    </w:p>
    <w:p>
      <w:pPr>
        <w:spacing w:after="0" w:line="70" w:lineRule="exact"/>
        <w:rPr>
          <w:sz w:val="20"/>
          <w:szCs w:val="20"/>
          <w:color w:val="auto"/>
        </w:rPr>
      </w:pPr>
    </w:p>
    <w:p>
      <w:pPr>
        <w:ind w:left="160"/>
        <w:spacing w:after="0"/>
        <w:tabs>
          <w:tab w:leader="none" w:pos="640" w:val="left"/>
          <w:tab w:leader="none" w:pos="284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color w:val="auto"/>
        </w:rPr>
        <w:t>Reporting and Accountability</w:t>
      </w:r>
      <w:r>
        <w:rPr>
          <w:sz w:val="20"/>
          <w:szCs w:val="20"/>
          <w:color w:val="auto"/>
        </w:rPr>
        <w:tab/>
      </w:r>
      <w:r>
        <w:rPr>
          <w:rFonts w:ascii="Times New Roman" w:cs="Times New Roman" w:eastAsia="Times New Roman" w:hAnsi="Times New Roman"/>
          <w:sz w:val="16"/>
          <w:szCs w:val="16"/>
          <w:color w:val="auto"/>
        </w:rPr>
        <w:t>5</w:t>
      </w:r>
    </w:p>
    <w:p>
      <w:pPr>
        <w:sectPr>
          <w:pgSz w:w="11900" w:h="16838" w:orient="portrait"/>
          <w:cols w:equalWidth="0" w:num="1">
            <w:col w:w="11240"/>
          </w:cols>
          <w:pgMar w:left="300" w:top="11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Original Effective Date: November 2017</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Current Version Date: August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Last Review Date: November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Next Review Date: September 2025</w:t>
      </w:r>
    </w:p>
    <w:p>
      <w:pPr>
        <w:sectPr>
          <w:pgSz w:w="11900" w:h="16838" w:orient="portrait"/>
          <w:cols w:equalWidth="0" w:num="2">
            <w:col w:w="8060" w:space="720"/>
            <w:col w:w="2460"/>
          </w:cols>
          <w:pgMar w:left="300" w:top="1132" w:right="359" w:bottom="1440" w:gutter="0" w:footer="0" w:header="0"/>
          <w:type w:val="continuous"/>
        </w:sectPr>
      </w:pPr>
    </w:p>
    <w:bookmarkStart w:id="85" w:name="page86"/>
    <w:bookmarkEnd w:id="85"/>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Introduction</w:t>
      </w:r>
    </w:p>
    <w:p>
      <w:pPr>
        <w:spacing w:after="0" w:line="20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Board of Directors of Cannae Holdings, Inc. (together with its subsidiaries, the “Company”) has adopted this Code of Ethics for Senior Financial Officers (this “Code”) which is applicable to its Chief Executive Officer, President, Chief Financial Officer, and Chief Accounting Officer (the “Covered Officers”) to:</w:t>
      </w:r>
    </w:p>
    <w:p>
      <w:pPr>
        <w:spacing w:after="0" w:line="123" w:lineRule="exact"/>
        <w:rPr>
          <w:sz w:val="20"/>
          <w:szCs w:val="20"/>
          <w:color w:val="auto"/>
        </w:rPr>
      </w:pPr>
    </w:p>
    <w:p>
      <w:pPr>
        <w:ind w:left="500" w:hanging="240"/>
        <w:spacing w:after="0"/>
        <w:tabs>
          <w:tab w:leader="none" w:pos="5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honest and ethical conduct, including the ethical handling of conflicts of interest.</w:t>
      </w:r>
    </w:p>
    <w:p>
      <w:pPr>
        <w:spacing w:after="0" w:line="2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full, fair, accurate, timely and understandable disclosure.</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compliance with applicable laws and governmental rules and regulations.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 wrongdoing.</w:t>
      </w:r>
    </w:p>
    <w:p>
      <w:pPr>
        <w:spacing w:after="0" w:line="199" w:lineRule="exact"/>
        <w:rPr>
          <w:rFonts w:ascii="Times New Roman" w:cs="Times New Roman" w:eastAsia="Times New Roman" w:hAnsi="Times New Roman"/>
          <w:sz w:val="17"/>
          <w:szCs w:val="17"/>
          <w:color w:val="auto"/>
        </w:rPr>
      </w:pPr>
    </w:p>
    <w:p>
      <w:pPr>
        <w:ind w:left="340" w:hanging="335"/>
        <w:spacing w:after="0"/>
        <w:tabs>
          <w:tab w:leader="none" w:pos="34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Act with Integrity</w:t>
      </w:r>
    </w:p>
    <w:p>
      <w:pPr>
        <w:spacing w:after="0" w:line="21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Each Covered Officer owes a duty to the Company to act with integrity. Integrity requires, among other things, being honest and candid. Deceit and subordination of principle are inconsistent with integrity. Each Covered Officer must:</w:t>
      </w:r>
    </w:p>
    <w:p>
      <w:pPr>
        <w:spacing w:after="0" w:line="123" w:lineRule="exact"/>
        <w:rPr>
          <w:sz w:val="20"/>
          <w:szCs w:val="20"/>
          <w:color w:val="auto"/>
        </w:rPr>
      </w:pPr>
    </w:p>
    <w:p>
      <w:pPr>
        <w:ind w:left="520" w:hanging="260"/>
        <w:spacing w:after="0" w:line="264" w:lineRule="auto"/>
        <w:tabs>
          <w:tab w:leader="none" w:pos="51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with integrity, including being honest and candid while still maintaining the confidentiality of information where required or consistent with the Company’s policies.</w:t>
      </w:r>
    </w:p>
    <w:p>
      <w:pPr>
        <w:spacing w:after="0" w:line="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Observe both the form and spirit of laws and governmental rules and regulations, accounting standards and Company policies.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Adhere to a high standard of business ethics.</w:t>
      </w:r>
    </w:p>
    <w:p>
      <w:pPr>
        <w:spacing w:after="0" w:line="199" w:lineRule="exact"/>
        <w:rPr>
          <w:rFonts w:ascii="Times New Roman" w:cs="Times New Roman" w:eastAsia="Times New Roman" w:hAnsi="Times New Roman"/>
          <w:sz w:val="17"/>
          <w:szCs w:val="17"/>
          <w:color w:val="auto"/>
        </w:rPr>
      </w:pPr>
    </w:p>
    <w:p>
      <w:pPr>
        <w:ind w:left="340" w:hanging="335"/>
        <w:spacing w:after="0"/>
        <w:tabs>
          <w:tab w:leader="none" w:pos="34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Avoid Conflicts of Interest</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“conflict of interest” occurs when an individual’s private interest interferes or appears to interfere with the interests of the Company. A conflict of interest can arise when a Covered Officer takes actions or has interests that may make it difficult to perform his or her Company work objectively and effectively. For example, a conflict of interest would arise if a Covered Officer, or a member of his or her family, receives improper personal benefits because of his or her position in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to the Company should never be subordinated to personal gain or advantage. Each Covered Officer must:</w:t>
      </w:r>
    </w:p>
    <w:p>
      <w:pPr>
        <w:spacing w:after="0" w:line="186"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conflicts of interest wherever possible.</w:t>
      </w:r>
    </w:p>
    <w:p>
      <w:pPr>
        <w:spacing w:after="0" w:line="2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any material transaction or relationship that could reasonably be expected to give rise to a conflict of interest with the Company’s General Counsel.</w:t>
      </w:r>
    </w:p>
    <w:p>
      <w:pPr>
        <w:spacing w:after="0" w:line="16" w:lineRule="exact"/>
        <w:rPr>
          <w:rFonts w:ascii="Times New Roman" w:cs="Times New Roman" w:eastAsia="Times New Roman" w:hAnsi="Times New Roman"/>
          <w:sz w:val="17"/>
          <w:szCs w:val="17"/>
          <w:color w:val="auto"/>
        </w:rPr>
      </w:pPr>
    </w:p>
    <w:p>
      <w:pPr>
        <w:ind w:left="520" w:hanging="260"/>
        <w:spacing w:after="0" w:line="281"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Covered Officers, other than the Chief Executive Officer, obtain the prior written approval of the General Counsel for all material transactions or relationships that could reasonably be expected to give rise to a conflict of interest. The General Counsel</w:t>
      </w:r>
    </w:p>
    <w:p>
      <w:pPr>
        <w:sectPr>
          <w:pgSz w:w="11900" w:h="16838" w:orient="portrait"/>
          <w:cols w:equalWidth="0" w:num="1">
            <w:col w:w="11280"/>
          </w:cols>
          <w:pgMar w:left="300" w:top="1147" w:right="31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7"/>
          <w:szCs w:val="17"/>
          <w:color w:val="auto"/>
        </w:rPr>
        <w:t>will submit a list of those approvals to the Audit Committee for its review at its next regular meeting.</w:t>
      </w:r>
    </w:p>
    <w:p>
      <w:pPr>
        <w:spacing w:after="0" w:line="24" w:lineRule="exact"/>
        <w:rPr>
          <w:sz w:val="20"/>
          <w:szCs w:val="20"/>
          <w:color w:val="auto"/>
        </w:rPr>
      </w:pPr>
    </w:p>
    <w:p>
      <w:pPr>
        <w:ind w:left="520" w:hanging="260"/>
        <w:spacing w:after="0" w:line="281" w:lineRule="auto"/>
        <w:tabs>
          <w:tab w:leader="none" w:pos="5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Chief Executive Officer, obtain the prior written approval of the Audit Committee for all material transactions that could reasonably be expected to give rise to a conflict of interest.</w:t>
      </w:r>
    </w:p>
    <w:p>
      <w:pPr>
        <w:spacing w:after="0" w:line="1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Examples of clear conflict of interest situations that should always be approved by the General Counsel or, in the case of the Chief Executive Officer and President, the Audit Committee, if material, include the following:</w:t>
      </w:r>
    </w:p>
    <w:p>
      <w:pPr>
        <w:spacing w:after="0" w:line="123"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ownership interest in any supplier or customer.</w:t>
      </w:r>
    </w:p>
    <w:p>
      <w:pPr>
        <w:spacing w:after="0" w:line="2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consulting or employment relationship with any customer, supplier, or competitor.</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outside business activity that detracts from an individual’s ability to devote appropriate time and attention to his or her responsibilities with the Company.</w:t>
      </w:r>
    </w:p>
    <w:p>
      <w:pPr>
        <w:spacing w:after="0" w:line="2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non-nominal gifts or excessive entertainment from any company with which the Company has current or prospective business dealings.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in the position of supervising, reviewing, or having any influence on the job evaluation, pay or benefit of any immediate family member.</w:t>
      </w:r>
    </w:p>
    <w:p>
      <w:pPr>
        <w:spacing w:after="0" w:line="16" w:lineRule="exact"/>
        <w:rPr>
          <w:rFonts w:ascii="Times New Roman" w:cs="Times New Roman" w:eastAsia="Times New Roman" w:hAnsi="Times New Roman"/>
          <w:sz w:val="17"/>
          <w:szCs w:val="17"/>
          <w:color w:val="auto"/>
        </w:rPr>
      </w:pPr>
    </w:p>
    <w:p>
      <w:pPr>
        <w:ind w:left="520" w:hanging="260"/>
        <w:spacing w:after="0" w:line="281" w:lineRule="auto"/>
        <w:tabs>
          <w:tab w:leader="none" w:pos="5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anything to the Company or buying anything from the Company, except on the same terms and conditions as comparable officers or directors are permitted to so purchase or sell.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Anything that would present a conflict for a Covered Officer would likely also present a conflict if it were related to a member of his or her family.</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Disclosure</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Each Covered Officer is required to be familiar with and comply with the Company’s disclosure controls and procedures applicable to him or her so that the Company’s public reports and documents filed with the Securities and Exchange Commission (the “SEC”) comply in all material respects with the applicable federal securities laws and SEC rules. In addition, each Covered Officer having direct or supervisory authority regarding these SEC filings or the Company’s other public communications concerning its general business, results, financial condition and prospects should, to the extent appropriate within his or her area of responsibility, consult with the other Company officers and employees and take other appropriate steps regarding their disclosures with the goal of making full, fair, accurate, timely and understandable disclosure.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Covered Officer must:</w:t>
      </w:r>
    </w:p>
    <w:p>
      <w:pPr>
        <w:spacing w:after="0" w:line="186" w:lineRule="exact"/>
        <w:rPr>
          <w:sz w:val="20"/>
          <w:szCs w:val="20"/>
          <w:color w:val="auto"/>
        </w:rPr>
      </w:pPr>
    </w:p>
    <w:p>
      <w:pPr>
        <w:ind w:left="500" w:hanging="240"/>
        <w:spacing w:after="0"/>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Familiarize himself or herself with the disclosure requirements applicable to the Company as well as the business and financial operations of the Company.</w:t>
      </w:r>
    </w:p>
    <w:p>
      <w:pPr>
        <w:sectPr>
          <w:pgSz w:w="11900" w:h="16838" w:orient="portrait"/>
          <w:cols w:equalWidth="0" w:num="1">
            <w:col w:w="11280"/>
          </w:cols>
          <w:pgMar w:left="300" w:top="1148" w:right="319" w:bottom="1440" w:gutter="0" w:footer="0" w:header="0"/>
        </w:sectPr>
      </w:pPr>
    </w:p>
    <w:bookmarkStart w:id="87" w:name="page88"/>
    <w:bookmarkEnd w:id="87"/>
    <w:p>
      <w:pPr>
        <w:ind w:left="520" w:hanging="260"/>
        <w:spacing w:after="0" w:line="264" w:lineRule="auto"/>
        <w:tabs>
          <w:tab w:leader="none" w:pos="51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knowingly misrepresent, or cause others to misrepresent, facts about the Company to others, whether within or outside the Company, including the Company’s independent auditors, governmental regulators, and self-regulatory organizations.</w:t>
      </w:r>
    </w:p>
    <w:p>
      <w:pPr>
        <w:spacing w:after="0" w:line="1"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Carefully review and critically analyze proposed disclosure for accuracy and completeness (or, where appropriate, delegate this task to others).</w:t>
      </w:r>
    </w:p>
    <w:p>
      <w:pPr>
        <w:spacing w:after="0" w:line="199"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It is the Company’s policy to comply with all applicable laws and governmental rules and regulations. It is the personal responsibility of each Covered Officer to adhere to the standards and restrictions imposed by those laws, rules, and regulations, including those relating to accounting and auditing matters.</w:t>
      </w:r>
    </w:p>
    <w:p>
      <w:pPr>
        <w:spacing w:after="0" w:line="1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Reporting and Accountability</w:t>
      </w: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Audit Committee is responsible for applying this Code to specific situations in which questions are presented to it and has the authority to interpret this Code in any situation. Any Covered Officer who becomes aware of any existing or potential violation of this Code is required to notify the General Counsel promptly. Failure to do so is itself a violation of this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Covered Officer must not retaliate against any employee or other Covered Officer for reports or potential violations that are made in good faith.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 violation has occurred, the Company will take such disciplinary or preventative action as it deems appropriate, after consultation with the Audit Committee.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will follow the following procedures in investigating and enforcing this Code and in reporting on the Code:</w:t>
      </w:r>
    </w:p>
    <w:p>
      <w:pPr>
        <w:spacing w:after="0" w:line="179" w:lineRule="exact"/>
        <w:rPr>
          <w:sz w:val="20"/>
          <w:szCs w:val="20"/>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Violations and potential violations will be reported by the General Counsel to the Audit Committee after appropriate investigation.</w:t>
      </w:r>
    </w:p>
    <w:p>
      <w:pPr>
        <w:spacing w:after="0" w:line="2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will take all appropriate action to investigate any violations reported to it.</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Audit Committee determines that a violation has occurred, it will inform the Board of Directors.</w:t>
      </w:r>
    </w:p>
    <w:p>
      <w:pPr>
        <w:spacing w:after="0" w:line="16" w:lineRule="exact"/>
        <w:rPr>
          <w:rFonts w:ascii="Times New Roman" w:cs="Times New Roman" w:eastAsia="Times New Roman" w:hAnsi="Times New Roman"/>
          <w:sz w:val="17"/>
          <w:szCs w:val="17"/>
          <w:color w:val="auto"/>
        </w:rPr>
      </w:pPr>
    </w:p>
    <w:p>
      <w:pPr>
        <w:ind w:left="520" w:hanging="260"/>
        <w:spacing w:after="0" w:line="260" w:lineRule="auto"/>
        <w:tabs>
          <w:tab w:leader="none" w:pos="5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being notified that a violation has occurred, the Board of Directors will take such disciplinary or preventative action as it deems appropriate, up to and including dismissal or, in the event of criminal or other serious violations of law, notification of the SEC or other appropriate law enforcement authorities.</w:t>
      </w:r>
    </w:p>
    <w:p>
      <w:pPr>
        <w:ind w:left="500" w:hanging="240"/>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or waivers of this Code will, to the extent required, be promptly disclosed as provided by SEC rules.</w:t>
      </w:r>
    </w:p>
    <w:p>
      <w:pPr>
        <w:sectPr>
          <w:pgSz w:w="11900" w:h="16838" w:orient="portrait"/>
          <w:cols w:equalWidth="0" w:num="1">
            <w:col w:w="11280"/>
          </w:cols>
          <w:pgMar w:left="300" w:top="1148" w:right="319" w:bottom="1440" w:gutter="0" w:footer="0" w:header="0"/>
        </w:sectPr>
      </w:pPr>
    </w:p>
    <w:bookmarkStart w:id="88" w:name="page89"/>
    <w:bookmarkEnd w:id="88"/>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tabs>
          <w:tab w:leader="none" w:pos="500" w:val="left"/>
        </w:tabs>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619125</wp:posOffset>
            </wp:positionV>
            <wp:extent cx="2849880" cy="795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2849880" cy="79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51"/>
          <w:szCs w:val="51"/>
          <w:color w:val="auto"/>
        </w:rPr>
        <w:t>INSIDER TRADING AND TIPPING POLICY</w:t>
      </w:r>
    </w:p>
    <w:p>
      <w:pPr>
        <w:sectPr>
          <w:pgSz w:w="11900" w:h="16838" w:orient="portrait"/>
          <w:cols w:equalWidth="0" w:num="1">
            <w:col w:w="10480"/>
          </w:cols>
          <w:pgMar w:left="1100" w:top="1144" w:right="319" w:bottom="1440" w:gutter="0" w:footer="0" w:header="0"/>
        </w:sectPr>
      </w:pPr>
    </w:p>
    <w:bookmarkStart w:id="118" w:name="page119"/>
    <w:bookmarkEnd w:id="118"/>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color w:val="auto"/>
        </w:rPr>
        <w:t>Table of Contents</w:t>
      </w:r>
    </w:p>
    <w:p>
      <w:pPr>
        <w:spacing w:after="0" w:line="240" w:lineRule="exact"/>
        <w:rPr>
          <w:sz w:val="20"/>
          <w:szCs w:val="20"/>
          <w:color w:val="auto"/>
        </w:rPr>
      </w:pPr>
    </w:p>
    <w:p>
      <w:pPr>
        <w:ind w:left="340" w:hanging="335"/>
        <w:spacing w:after="0"/>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Statement  1</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26"/>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Scope  1</w:t>
      </w:r>
    </w:p>
    <w:p>
      <w:pPr>
        <w:spacing w:after="0" w:line="48" w:lineRule="exact"/>
        <w:rPr>
          <w:rFonts w:ascii="Times New Roman" w:cs="Times New Roman" w:eastAsia="Times New Roman" w:hAnsi="Times New Roman"/>
          <w:sz w:val="16"/>
          <w:szCs w:val="16"/>
          <w:color w:val="010302"/>
        </w:rPr>
      </w:pPr>
    </w:p>
    <w:p>
      <w:pPr>
        <w:ind w:left="300" w:hanging="295"/>
        <w:spacing w:after="0"/>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  1</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26"/>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Responsibilities   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010302"/>
              </w:rPr>
              <w:t>5.</w:t>
            </w:r>
          </w:p>
        </w:tc>
        <w:tc>
          <w:tcPr>
            <w:tcW w:w="19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Consequences of Violations</w:t>
            </w:r>
          </w:p>
        </w:tc>
        <w:tc>
          <w:tcPr>
            <w:tcW w:w="148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3</w:t>
            </w:r>
          </w:p>
        </w:tc>
      </w:tr>
      <w:tr>
        <w:trPr>
          <w:trHeight w:val="23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010302"/>
              </w:rPr>
              <w:t>6.</w:t>
            </w:r>
          </w:p>
        </w:tc>
        <w:tc>
          <w:tcPr>
            <w:tcW w:w="1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Duty to Report Violations</w:t>
            </w:r>
          </w:p>
        </w:tc>
        <w:tc>
          <w:tcPr>
            <w:tcW w:w="1480" w:type="dxa"/>
            <w:vAlign w:val="bottom"/>
          </w:tcPr>
          <w:p>
            <w:pPr>
              <w:jc w:val="right"/>
              <w:ind w:right="1295"/>
              <w:spacing w:after="0"/>
              <w:rPr>
                <w:sz w:val="20"/>
                <w:szCs w:val="20"/>
                <w:color w:val="auto"/>
              </w:rPr>
            </w:pPr>
            <w:r>
              <w:rPr>
                <w:rFonts w:ascii="Times New Roman" w:cs="Times New Roman" w:eastAsia="Times New Roman" w:hAnsi="Times New Roman"/>
                <w:sz w:val="17"/>
                <w:szCs w:val="17"/>
                <w:color w:val="auto"/>
                <w:w w:val="93"/>
              </w:rPr>
              <w:t>4</w:t>
            </w:r>
          </w:p>
        </w:tc>
      </w:tr>
      <w:tr>
        <w:trPr>
          <w:trHeight w:val="244"/>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7.</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Consult the Compliance Officer for Guidance  4</w:t>
            </w:r>
          </w:p>
        </w:tc>
      </w:tr>
    </w:tbl>
    <w:p>
      <w:pPr>
        <w:spacing w:after="0" w:line="14" w:lineRule="exact"/>
        <w:rPr>
          <w:sz w:val="20"/>
          <w:szCs w:val="20"/>
          <w:color w:val="auto"/>
        </w:rPr>
      </w:pPr>
    </w:p>
    <w:p>
      <w:pPr>
        <w:ind w:left="300" w:hanging="295"/>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Prohibited Activities  4</w:t>
      </w:r>
    </w:p>
    <w:p>
      <w:pPr>
        <w:spacing w:after="0" w:line="27" w:lineRule="exact"/>
        <w:rPr>
          <w:rFonts w:ascii="Times New Roman" w:cs="Times New Roman" w:eastAsia="Times New Roman" w:hAnsi="Times New Roman"/>
          <w:sz w:val="17"/>
          <w:szCs w:val="17"/>
          <w:color w:val="auto"/>
        </w:rPr>
      </w:pPr>
    </w:p>
    <w:p>
      <w:pPr>
        <w:ind w:left="280" w:hanging="275"/>
        <w:spacing w:after="0"/>
        <w:tabs>
          <w:tab w:leader="none" w:pos="280" w:val="left"/>
        </w:tabs>
        <w:numPr>
          <w:ilvl w:val="0"/>
          <w:numId w:val="27"/>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Controlling Persons  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10302"/>
              </w:rPr>
              <w:t>10.</w:t>
            </w:r>
          </w:p>
        </w:tc>
        <w:tc>
          <w:tcPr>
            <w:tcW w:w="5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Trading Windows and Blackout Periods  6</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10302"/>
              </w:rPr>
              <w:t>11.</w:t>
            </w:r>
          </w:p>
        </w:tc>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Procedures for Approving Trades by Section 16 Individuals and Hardship Cases  8</w:t>
            </w:r>
          </w:p>
        </w:tc>
      </w:tr>
      <w:tr>
        <w:trPr>
          <w:trHeight w:val="244"/>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5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Benefit Plans  8</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13</w:t>
            </w:r>
          </w:p>
        </w:tc>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Priority of Statutory or Regulatory Trading Restrictions  9</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14.</w:t>
            </w:r>
          </w:p>
        </w:tc>
        <w:tc>
          <w:tcPr>
            <w:tcW w:w="5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Pre-Approved Insider Trading Plans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Original Effective Date: February 4, 2019</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Current Version Date: February 15,</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Last Review Date: February 2024</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Next Review Date: September</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r>
    </w:tbl>
    <w:p>
      <w:pPr>
        <w:sectPr>
          <w:pgSz w:w="11900" w:h="16838" w:orient="portrait"/>
          <w:cols w:equalWidth="0" w:num="1">
            <w:col w:w="11220"/>
          </w:cols>
          <w:pgMar w:left="300" w:top="1440" w:right="379" w:bottom="1440" w:gutter="0" w:footer="0" w:header="0"/>
        </w:sectPr>
      </w:pPr>
    </w:p>
    <w:bookmarkStart w:id="119" w:name="page120"/>
    <w:bookmarkEnd w:id="119"/>
    <w:p>
      <w:pPr>
        <w:ind w:left="400" w:hanging="395"/>
        <w:spacing w:after="0"/>
        <w:tabs>
          <w:tab w:leader="none" w:pos="40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order to comply with federal and state securities laws governing (a) trading in Cannae Holdings, Inc. (the “Company”) securities while aware of Material Nonpublic Information (also referred to herein as “MNPI”) concerning the Company, and (b) tipping or disclosing MNPI to outsiders, and in order to prevent even the appearance of improper insider trading or tipping, the Company has adopted this Policy for its directors, officers and employees, their Immediate Family, and specially designated outsiders who have access to the Company’s MNPI. Capitalized terms used in this Policy have the meaning set forth in Section 3 below.</w:t>
      </w:r>
    </w:p>
    <w:p>
      <w:pPr>
        <w:spacing w:after="0" w:line="164"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Policy generally applies to all directors, employees and officers of the Company and its subsidiaries and affiliates, together with their Immediate Family and any entities controlled by them (collectively referred to as “Insiders”), and any other contractors or consultants whom the Compliance Officer may designate as Insiders because they have access to MNPI concerning the Company. In addition, certain provisions of this Policy apply specifically to Section 16 Individuals and other Insiders designated by the Compliance Officer as being subject to such provisions.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Policy applies to any and all transactions in the Company’s securities, including sales, purchases, gifts, exchanges or any interest or position relating to the future price of Company securities such as a put, call, or short sale. This Policy applies to all transactions in the Company’s securities, including shares of common stock and any other type of securities that the Company may issue, such as preferred stock, convertible debentures, warrants and exchange-traded options or other derivative securities.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Policy applies to all directors, officers, employees, and designated outsiders upon its adoption by the Company, and to all new directors, officers, employees, and designated outsiders at the start of their employment or relationship with the Company. Section 16 Individuals, as defined below, may be required to certify compliance with this Policy on an annual basis.</w:t>
      </w:r>
    </w:p>
    <w:p>
      <w:pPr>
        <w:spacing w:after="0" w:line="171" w:lineRule="exact"/>
        <w:rPr>
          <w:sz w:val="20"/>
          <w:szCs w:val="20"/>
          <w:color w:val="auto"/>
        </w:rPr>
      </w:pPr>
    </w:p>
    <w:p>
      <w:pPr>
        <w:ind w:left="400" w:hanging="395"/>
        <w:spacing w:after="0"/>
        <w:tabs>
          <w:tab w:leader="none" w:pos="4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terms used in this Policy are defined as follows:</w:t>
      </w:r>
    </w:p>
    <w:p>
      <w:pPr>
        <w:spacing w:after="0" w:line="2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Officer </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b w:val="1"/>
          <w:bCs w:val="1"/>
          <w:i w:val="1"/>
          <w:iCs w:val="1"/>
          <w:color w:val="auto"/>
        </w:rPr>
        <w:t xml:space="preserve"> Insider Trading Compliance Officer </w:t>
      </w:r>
      <w:r>
        <w:rPr>
          <w:rFonts w:ascii="Times New Roman" w:cs="Times New Roman" w:eastAsia="Times New Roman" w:hAnsi="Times New Roman"/>
          <w:sz w:val="17"/>
          <w:szCs w:val="17"/>
          <w:color w:val="auto"/>
        </w:rPr>
        <w:t>– The Company has designated its General Counsel and Corporate Secretary as the Compliance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purposes of this Policy.</w:t>
      </w:r>
    </w:p>
    <w:p>
      <w:pPr>
        <w:spacing w:after="0" w:line="14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Immediate Family </w:t>
      </w:r>
      <w:r>
        <w:rPr>
          <w:rFonts w:ascii="Times New Roman" w:cs="Times New Roman" w:eastAsia="Times New Roman" w:hAnsi="Times New Roman"/>
          <w:sz w:val="17"/>
          <w:szCs w:val="17"/>
          <w:color w:val="auto"/>
        </w:rPr>
        <w:t>– The spouse, son or daughter, father, mother, brother, or sister who reside in the same household as an Insider or whose transactions in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the Insider significantly influences or controls, and anyone else who resides with the Insider.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157" w:right="319" w:bottom="1440" w:gutter="0" w:footer="0" w:header="0"/>
        </w:sectPr>
      </w:pPr>
    </w:p>
    <w:bookmarkStart w:id="120" w:name="page121"/>
    <w:bookmarkEnd w:id="120"/>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Material Information </w:t>
      </w:r>
      <w:r>
        <w:rPr>
          <w:rFonts w:ascii="Times New Roman" w:cs="Times New Roman" w:eastAsia="Times New Roman" w:hAnsi="Times New Roman"/>
          <w:sz w:val="17"/>
          <w:szCs w:val="17"/>
          <w:color w:val="auto"/>
        </w:rPr>
        <w:t>– Information is material if there is a reasonable likelihood that it would be expected to affect the investment or voting decisions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reasonable stockholder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price of Company securities. Such information may be positive or negative, favorable, or unfavorable. While it is not possible to identify all information that would be deemed “material,” the following types of information ordinarily would be considered material:</w:t>
      </w:r>
    </w:p>
    <w:p>
      <w:pPr>
        <w:spacing w:after="0" w:line="177" w:lineRule="exact"/>
        <w:rPr>
          <w:sz w:val="20"/>
          <w:szCs w:val="20"/>
          <w:color w:val="auto"/>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Financial performance, especially quarterly and year-end revenue and earnings, and significant changes in financial performance or liquidity.</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Company projections and strategic plans.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Potential mergers and acquisitions or the sale of Company assets or subsidiaries.</w:t>
      </w:r>
    </w:p>
    <w:p>
      <w:pPr>
        <w:spacing w:after="0" w:line="37"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New major contracts, strategic partners, suppliers, customers or finance sources, or the loss thereof.</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actions by regulatory authorities.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Stock splits, public or private securities/debt offerings or changes in Company dividend policies or amounts.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changes in senior management.</w:t>
      </w:r>
    </w:p>
    <w:p>
      <w:pPr>
        <w:spacing w:after="0" w:line="37"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Significant labor disputes or negotiations.</w:t>
      </w:r>
    </w:p>
    <w:p>
      <w:pPr>
        <w:spacing w:after="0" w:line="48" w:lineRule="exact"/>
        <w:rPr>
          <w:rFonts w:ascii="Times New Roman" w:cs="Times New Roman" w:eastAsia="Times New Roman" w:hAnsi="Times New Roman"/>
          <w:sz w:val="16"/>
          <w:szCs w:val="16"/>
          <w:color w:val="010302"/>
        </w:rPr>
      </w:pPr>
    </w:p>
    <w:p>
      <w:pPr>
        <w:ind w:left="500" w:hanging="240"/>
        <w:spacing w:after="0"/>
        <w:tabs>
          <w:tab w:leader="none" w:pos="500" w:val="left"/>
        </w:tabs>
        <w:numPr>
          <w:ilvl w:val="0"/>
          <w:numId w:val="31"/>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Actual or threatened major litigation or the resolution of such litigation.</w:t>
      </w:r>
    </w:p>
    <w:p>
      <w:pPr>
        <w:spacing w:after="0" w:line="2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Material Nonpublic Information </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b w:val="1"/>
          <w:bCs w:val="1"/>
          <w:i w:val="1"/>
          <w:iCs w:val="1"/>
          <w:color w:val="auto"/>
        </w:rPr>
        <w:t xml:space="preserve"> MNPI </w:t>
      </w:r>
      <w:r>
        <w:rPr>
          <w:rFonts w:ascii="Times New Roman" w:cs="Times New Roman" w:eastAsia="Times New Roman" w:hAnsi="Times New Roman"/>
          <w:sz w:val="17"/>
          <w:szCs w:val="17"/>
          <w:color w:val="auto"/>
        </w:rPr>
        <w:t>– Material Information is nonpublic if it has not been widely disseminated to the public through major newswire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national news services and financial news services or on a Form 8-K filed with the Securities and Exchange Commission. For the purposes of this Policy, information generally will be considered public, i.e., no longer “nonpublic,” after the close of trading on the first full trading day following the Company’s widespread public release of the information. Any exception to this general rule must be approved in advance by the Compliance Officer.</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Section 16 Individuals </w:t>
      </w:r>
      <w:r>
        <w:rPr>
          <w:rFonts w:ascii="Times New Roman" w:cs="Times New Roman" w:eastAsia="Times New Roman" w:hAnsi="Times New Roman"/>
          <w:sz w:val="17"/>
          <w:szCs w:val="17"/>
          <w:color w:val="auto"/>
        </w:rPr>
        <w:t>– The Company’s directors and officers who are subject to the reporting provisions and trading restrictions of Section 16 of the Securities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Act of 1934, as amended (the “Exchange Act”), and the underlying rules and regulations promulgated by the SEC. Section 16 Individuals must obtain prior approval of all trades of Company securities from the Compliance Officer as provided in Section 11 of this Policy.</w:t>
      </w:r>
    </w:p>
    <w:p>
      <w:pPr>
        <w:spacing w:after="0" w:line="153" w:lineRule="exact"/>
        <w:rPr>
          <w:sz w:val="20"/>
          <w:szCs w:val="20"/>
          <w:color w:val="auto"/>
        </w:rPr>
      </w:pPr>
    </w:p>
    <w:p>
      <w:pPr>
        <w:ind w:left="400" w:hanging="395"/>
        <w:spacing w:after="0"/>
        <w:tabs>
          <w:tab w:leader="none" w:pos="4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Responsibilities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Individual Responsibility </w:t>
      </w:r>
      <w:r>
        <w:rPr>
          <w:rFonts w:ascii="Times New Roman" w:cs="Times New Roman" w:eastAsia="Times New Roman" w:hAnsi="Times New Roman"/>
          <w:sz w:val="17"/>
          <w:szCs w:val="17"/>
          <w:color w:val="auto"/>
        </w:rPr>
        <w:t>– Persons subject to this Policy have ethical and legal obligations to maintain the confidentiality of information about the Company and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engage in transactions in Company securities while in possession of MNPI. Each individual is responsible for making sure that he or she complies with this Policy, and that any Immediate Family or entity whose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335" w:right="319" w:bottom="1440" w:gutter="0" w:footer="0" w:header="0"/>
        </w:sectPr>
      </w:pPr>
    </w:p>
    <w:bookmarkStart w:id="121" w:name="page122"/>
    <w:bookmarkEnd w:id="121"/>
    <w:p>
      <w:pPr>
        <w:jc w:val="both"/>
        <w:spacing w:after="0" w:line="265" w:lineRule="auto"/>
        <w:rPr>
          <w:sz w:val="20"/>
          <w:szCs w:val="20"/>
          <w:color w:val="auto"/>
        </w:rPr>
      </w:pPr>
      <w:r>
        <w:rPr>
          <w:rFonts w:ascii="Times New Roman" w:cs="Times New Roman" w:eastAsia="Times New Roman" w:hAnsi="Times New Roman"/>
          <w:sz w:val="17"/>
          <w:szCs w:val="17"/>
          <w:color w:val="auto"/>
        </w:rPr>
        <w:t>transactions are subject to this Policy also complies with this Policy. In all cases, the responsibility for determining whether an individual is in possession of MNPI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Those subject to this Policy could be subject to severe legal penalties and disciplinary action by the Company for any conduct prohibited by this Policy or applicable securities laws, as described more fully below.</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designated its General Counsel and Corporate Secretary (hereinafter the “Compliance Officer”) as the officer responsible for administering this Policy and reviewing and either approving or disapproving all proposed transactions by Section 16 Individuals. Section 16 Individuals are responsible for obtaining prior approval of all trades in Company securities from the Compliance Officer in accordance with the procedures set forth in Section 11 below. The Compliance Officer may not trade in Company securities unless the trade has been approved by the Chief Executive Officer or Chief Legal Officer in accordance with established procedures.</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Compliance Officer may designate an alternate individual, who may perform the Compliance Officer’s duties in the event that the Compliance Officer is unable or unavailable to perform such duties.</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Section 16 Individuals are responsible for obtaining prior approval of all trades in Company securities from the Compliance Officer in accordance with the procedures set forth in Section 11 below.</w:t>
      </w:r>
    </w:p>
    <w:p>
      <w:pPr>
        <w:spacing w:after="0" w:line="271" w:lineRule="exact"/>
        <w:rPr>
          <w:sz w:val="20"/>
          <w:szCs w:val="20"/>
          <w:color w:val="auto"/>
        </w:rPr>
      </w:pPr>
    </w:p>
    <w:p>
      <w:pPr>
        <w:ind w:left="400" w:hanging="395"/>
        <w:spacing w:after="0"/>
        <w:tabs>
          <w:tab w:leader="none" w:pos="40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Consequences of Violations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Civil and Criminal Penalties </w:t>
      </w:r>
      <w:r>
        <w:rPr>
          <w:rFonts w:ascii="Times New Roman" w:cs="Times New Roman" w:eastAsia="Times New Roman" w:hAnsi="Times New Roman"/>
          <w:sz w:val="17"/>
          <w:szCs w:val="17"/>
          <w:color w:val="auto"/>
        </w:rPr>
        <w:t>– The consequence of prohibited insider trading or tipping can be severe. Persons violating insider trading or tipping rules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$5,000,000, and serve a jail term of up to twenty years. Controlling Persons of the person violating the rules may also be required to pay major penalties.</w:t>
      </w:r>
    </w:p>
    <w:p>
      <w:pPr>
        <w:spacing w:after="0" w:line="1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Company Discipline </w:t>
      </w:r>
      <w:r>
        <w:rPr>
          <w:rFonts w:ascii="Times New Roman" w:cs="Times New Roman" w:eastAsia="Times New Roman" w:hAnsi="Times New Roman"/>
          <w:sz w:val="17"/>
          <w:szCs w:val="17"/>
          <w:color w:val="auto"/>
        </w:rPr>
        <w:t>– Violation of this Policy or federal or state insider trading or tipping laws by any director, officer or employee, or their immediate family,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the director to termination for cause and the officer or employee to disciplinary action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339" w:right="319" w:bottom="1440" w:gutter="0" w:footer="0" w:header="0"/>
        </w:sectPr>
      </w:pPr>
    </w:p>
    <w:bookmarkStart w:id="122" w:name="page123"/>
    <w:bookmarkEnd w:id="122"/>
    <w:p>
      <w:pPr>
        <w:ind w:left="400" w:hanging="395"/>
        <w:spacing w:after="0"/>
        <w:tabs>
          <w:tab w:leader="none" w:pos="4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Duty to Report Violations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Company’s legal counsel, will determine whether the Company should release any MNPI, or whether the Company should report the violation to the SEC or other appropriate governmental authority.</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Alternatively, you may contact the Compliance and Ethics Hotline at 833-CNNE-TIP (833-266-3847) or report online at www.cannaeholdings.ethicspoint.com. The Compliance and Ethics Hotline is operated by an independent, third-party vendor and is available 24 hours a day, 7 days a week. You may remain anonymous when calling the hotline; however, you are encouraged to leave your name and contact information in case additional information is required to thoroughly investigate the matter.</w:t>
      </w:r>
    </w:p>
    <w:p>
      <w:pPr>
        <w:spacing w:after="0" w:line="166"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Cannae Holdings, Inc. prohibits retaliation against any employee who reports a concern in good faith or participates in good faith in an investigation related to a report.</w:t>
      </w:r>
    </w:p>
    <w:p>
      <w:pPr>
        <w:spacing w:after="0" w:line="154" w:lineRule="exact"/>
        <w:rPr>
          <w:sz w:val="20"/>
          <w:szCs w:val="20"/>
          <w:color w:val="auto"/>
        </w:rPr>
      </w:pPr>
    </w:p>
    <w:p>
      <w:pPr>
        <w:ind w:left="400" w:hanging="395"/>
        <w:spacing w:after="0"/>
        <w:tabs>
          <w:tab w:leader="none" w:pos="4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Consult the Compliance Officer for Guidance</w:t>
      </w: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Except regarding trades by Insiders that are performed pursuant to a Pre-Approved Insider Trading Plan, as described in Section 14 of this Policy, any Insiders who are unsure whether the information that they are aware of is material or nonpublic must consult the Compliance Officer for guidance before trading in any Company securities.</w:t>
      </w:r>
    </w:p>
    <w:p>
      <w:pPr>
        <w:spacing w:after="0" w:line="154" w:lineRule="exact"/>
        <w:rPr>
          <w:sz w:val="20"/>
          <w:szCs w:val="20"/>
          <w:color w:val="auto"/>
        </w:rPr>
      </w:pPr>
    </w:p>
    <w:p>
      <w:pPr>
        <w:ind w:left="400" w:hanging="395"/>
        <w:spacing w:after="0"/>
        <w:tabs>
          <w:tab w:leader="none" w:pos="4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prohibited activities at the Company:</w:t>
      </w:r>
    </w:p>
    <w:p>
      <w:pPr>
        <w:spacing w:after="0" w:line="218" w:lineRule="exact"/>
        <w:rPr>
          <w:sz w:val="20"/>
          <w:szCs w:val="20"/>
          <w:color w:val="auto"/>
        </w:rPr>
      </w:pPr>
    </w:p>
    <w:p>
      <w:pPr>
        <w:jc w:val="both"/>
        <w:ind w:left="520" w:hanging="260"/>
        <w:spacing w:after="0" w:line="263" w:lineRule="auto"/>
        <w:tabs>
          <w:tab w:leader="none" w:pos="51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may trade in Company securities (including common stock, options to purchase common stock, or any other type of securities that the Company may issue, such as preferred stock, convertible debentures and warrants, as well as derivative securities that are not issued by the Company, such as exchange-traded put or call options or swaps relating to the Company’s securities) while aware of MNPI concerning the Company. This prohibition shall not apply, however, to trades by Insiders that are performed pursuant to a Pre-Approved Insider Trading Plan that complies with Section 14 of this Policy. Any Insider who is unsure whether the information that they are aware of is Material Nonpublic Information must consult the Compliance Officer for guidance before trading in any Company securities.</w:t>
      </w:r>
    </w:p>
    <w:p>
      <w:pPr>
        <w:spacing w:after="0" w:line="168" w:lineRule="exact"/>
        <w:rPr>
          <w:rFonts w:ascii="Times New Roman" w:cs="Times New Roman" w:eastAsia="Times New Roman" w:hAnsi="Times New Roman"/>
          <w:sz w:val="17"/>
          <w:szCs w:val="17"/>
          <w:color w:val="auto"/>
        </w:rPr>
      </w:pPr>
    </w:p>
    <w:p>
      <w:pPr>
        <w:ind w:left="520" w:hanging="260"/>
        <w:spacing w:after="0" w:line="289" w:lineRule="auto"/>
        <w:tabs>
          <w:tab w:leader="none" w:pos="520" w:val="left"/>
        </w:tabs>
        <w:numPr>
          <w:ilvl w:val="0"/>
          <w:numId w:val="37"/>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or Insider who is subject to the Company’s trading windows or blackout periods described in Section 10 may trade in Company securities outside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348" w:right="319" w:bottom="1440" w:gutter="0" w:footer="0" w:header="0"/>
        </w:sectPr>
      </w:pPr>
    </w:p>
    <w:bookmarkStart w:id="123" w:name="page124"/>
    <w:bookmarkEnd w:id="123"/>
    <w:p>
      <w:pPr>
        <w:ind w:left="260"/>
        <w:spacing w:after="0" w:line="289" w:lineRule="auto"/>
        <w:rPr>
          <w:sz w:val="20"/>
          <w:szCs w:val="20"/>
          <w:color w:val="auto"/>
        </w:rPr>
      </w:pPr>
      <w:r>
        <w:rPr>
          <w:rFonts w:ascii="Times New Roman" w:cs="Times New Roman" w:eastAsia="Times New Roman" w:hAnsi="Times New Roman"/>
          <w:sz w:val="17"/>
          <w:szCs w:val="17"/>
          <w:color w:val="auto"/>
        </w:rPr>
        <w:t>applicable trading windows or during any blackout period or special trading blackout periods designated by the Compliance Officer unless such trades are conducted pursuant to a Pre-Approved Insider Trading Plan that complies with the provisions of Section 14 of this Policy.</w:t>
      </w:r>
    </w:p>
    <w:p>
      <w:pPr>
        <w:spacing w:after="0" w:line="145" w:lineRule="exact"/>
        <w:rPr>
          <w:sz w:val="20"/>
          <w:szCs w:val="20"/>
          <w:color w:val="auto"/>
        </w:rPr>
      </w:pPr>
    </w:p>
    <w:p>
      <w:pPr>
        <w:ind w:left="260" w:hanging="260"/>
        <w:spacing w:after="0" w:line="302" w:lineRule="auto"/>
        <w:tabs>
          <w:tab w:leader="none" w:pos="251"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may trade in Company securities during any period where the Company has imposed a ban on trading Company securities held through any employee benefit plan administered by the Company unless the no trading period is an express, regular feature of the employee benefit plan.</w:t>
      </w:r>
    </w:p>
    <w:p>
      <w:pPr>
        <w:spacing w:after="0" w:line="134" w:lineRule="exact"/>
        <w:rPr>
          <w:rFonts w:ascii="Times New Roman" w:cs="Times New Roman" w:eastAsia="Times New Roman" w:hAnsi="Times New Roman"/>
          <w:sz w:val="16"/>
          <w:szCs w:val="16"/>
          <w:color w:val="010302"/>
        </w:rPr>
      </w:pPr>
    </w:p>
    <w:p>
      <w:pPr>
        <w:jc w:val="both"/>
        <w:ind w:left="260" w:hanging="260"/>
        <w:spacing w:after="0" w:line="275" w:lineRule="auto"/>
        <w:tabs>
          <w:tab w:leader="none" w:pos="260"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Section 16 Individual may trade in Company securities unless the trade has been approved by the Compliance Officer in accordance with the established trade approval processes described in Section 11. Section 16 Individuals should retain all records and documents that support their reasons for making each trade.</w:t>
      </w:r>
    </w:p>
    <w:p>
      <w:pPr>
        <w:spacing w:after="0" w:line="155" w:lineRule="exact"/>
        <w:rPr>
          <w:rFonts w:ascii="Times New Roman" w:cs="Times New Roman" w:eastAsia="Times New Roman" w:hAnsi="Times New Roman"/>
          <w:sz w:val="16"/>
          <w:szCs w:val="16"/>
          <w:color w:val="010302"/>
        </w:rPr>
      </w:pPr>
    </w:p>
    <w:p>
      <w:pPr>
        <w:jc w:val="both"/>
        <w:ind w:left="260" w:hanging="260"/>
        <w:spacing w:after="0" w:line="267" w:lineRule="auto"/>
        <w:tabs>
          <w:tab w:leader="none" w:pos="251"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“tip” or disclose MNPI concerning the Company to any outside person (including family members, analysts, individual investors and members of the investment community and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w:t>
      </w:r>
    </w:p>
    <w:p>
      <w:pPr>
        <w:spacing w:after="0" w:line="164" w:lineRule="exact"/>
        <w:rPr>
          <w:rFonts w:ascii="Times New Roman" w:cs="Times New Roman" w:eastAsia="Times New Roman" w:hAnsi="Times New Roman"/>
          <w:sz w:val="16"/>
          <w:szCs w:val="16"/>
          <w:color w:val="010302"/>
        </w:rPr>
      </w:pPr>
    </w:p>
    <w:p>
      <w:pPr>
        <w:jc w:val="both"/>
        <w:ind w:left="260" w:hanging="260"/>
        <w:spacing w:after="0" w:line="281" w:lineRule="auto"/>
        <w:tabs>
          <w:tab w:leader="none" w:pos="255"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give trading advice of any kind about the Company to anyone while the Insider is aware of MNPI about the Company, except that Insiders should advise others not to trade if doing so might violate the law or this Policy. The Company strongly discourages all Insiders from giving trading advice concerning the Company’s securities to third parties at all times, whether or not the Insiders are aware of MNPI about the Company.</w:t>
      </w:r>
    </w:p>
    <w:p>
      <w:pPr>
        <w:spacing w:after="0" w:line="151" w:lineRule="exact"/>
        <w:rPr>
          <w:rFonts w:ascii="Times New Roman" w:cs="Times New Roman" w:eastAsia="Times New Roman" w:hAnsi="Times New Roman"/>
          <w:sz w:val="16"/>
          <w:szCs w:val="16"/>
          <w:color w:val="010302"/>
        </w:rPr>
      </w:pPr>
    </w:p>
    <w:p>
      <w:pPr>
        <w:jc w:val="both"/>
        <w:ind w:left="260" w:hanging="260"/>
        <w:spacing w:after="0" w:line="266" w:lineRule="auto"/>
        <w:tabs>
          <w:tab w:leader="none" w:pos="260"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Section 16 Individuals are subject to the terms of the Company’s Hedging &amp; Pledging Policy. Insiders who are not Section 16 Individuals are strongly discouraged from trading in any interest or position relating to the future price of Company securities, such as a put, call or short sale. Such transactions may permit an Insider to continue to own securities of the Company, but without the full risks and rewards of ownership. When that occurs, the Insider may no longer have the same objectives as the Company’s other stockholders. Moreover, certain short-term or speculative transactions in the Company’s securities by employees, officers and directors create the potential for heightened legal risk and/or the appearance of improper or inappropriate conduct involving the Company’s securities.</w:t>
      </w:r>
    </w:p>
    <w:p>
      <w:pPr>
        <w:spacing w:after="0" w:line="164" w:lineRule="exact"/>
        <w:rPr>
          <w:rFonts w:ascii="Times New Roman" w:cs="Times New Roman" w:eastAsia="Times New Roman" w:hAnsi="Times New Roman"/>
          <w:sz w:val="16"/>
          <w:szCs w:val="16"/>
          <w:color w:val="010302"/>
        </w:rPr>
      </w:pPr>
    </w:p>
    <w:p>
      <w:pPr>
        <w:ind w:left="260" w:hanging="260"/>
        <w:spacing w:after="0" w:line="289" w:lineRule="auto"/>
        <w:tabs>
          <w:tab w:leader="none" w:pos="260" w:val="left"/>
        </w:tabs>
        <w:numPr>
          <w:ilvl w:val="0"/>
          <w:numId w:val="38"/>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Insider may (a) trade in the securities of any other public company while the Insider is aware of MNPI concerning that company, (b) “tip” or disclose MNPI concerning any other public company to anyone, or (c) give trading advice of any kind to anyone</w:t>
      </w:r>
    </w:p>
    <w:p>
      <w:pPr>
        <w:spacing w:after="0" w:line="200" w:lineRule="exact"/>
        <w:rPr>
          <w:sz w:val="20"/>
          <w:szCs w:val="20"/>
          <w:color w:val="auto"/>
        </w:rPr>
      </w:pPr>
    </w:p>
    <w:p>
      <w:pPr>
        <w:spacing w:after="0" w:line="39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20"/>
          </w:cols>
          <w:pgMar w:left="560" w:top="1339" w:right="31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7"/>
          <w:szCs w:val="17"/>
          <w:color w:val="auto"/>
        </w:rPr>
        <w:t>concerning any other public company while the Insider is aware of MNPI about that company.</w:t>
      </w:r>
    </w:p>
    <w:p>
      <w:pPr>
        <w:spacing w:after="0" w:line="208" w:lineRule="exact"/>
        <w:rPr>
          <w:sz w:val="20"/>
          <w:szCs w:val="20"/>
          <w:color w:val="auto"/>
        </w:rPr>
      </w:pPr>
    </w:p>
    <w:p>
      <w:pPr>
        <w:ind w:left="520" w:hanging="260"/>
        <w:spacing w:after="0" w:line="302" w:lineRule="auto"/>
        <w:tabs>
          <w:tab w:leader="none" w:pos="517" w:val="left"/>
        </w:tabs>
        <w:numPr>
          <w:ilvl w:val="1"/>
          <w:numId w:val="39"/>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No employee shall post any MNPI about the Company on any Internet message board at any time. Violation of these prohibitions may result in termination and, in the case of inside information, possible investigation and enforcement by the SEC.</w:t>
      </w:r>
    </w:p>
    <w:p>
      <w:pPr>
        <w:spacing w:after="0" w:line="134" w:lineRule="exact"/>
        <w:rPr>
          <w:rFonts w:ascii="Times New Roman" w:cs="Times New Roman" w:eastAsia="Times New Roman" w:hAnsi="Times New Roman"/>
          <w:sz w:val="16"/>
          <w:szCs w:val="16"/>
          <w:color w:val="010302"/>
        </w:rPr>
      </w:pPr>
    </w:p>
    <w:p>
      <w:pPr>
        <w:jc w:val="both"/>
        <w:ind w:left="520" w:hanging="260"/>
        <w:spacing w:after="0" w:line="268" w:lineRule="auto"/>
        <w:tabs>
          <w:tab w:leader="none" w:pos="514" w:val="left"/>
        </w:tabs>
        <w:numPr>
          <w:ilvl w:val="1"/>
          <w:numId w:val="39"/>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010302"/>
        </w:rPr>
        <w:t>The trading prohibitions of this Policy do not apply to gifts of Company securities to Immediate Family or controlled entities that are also subject to this Policy. All other gifts are subject to this Policy, including the trading windows and blackout periods described in Section 10 and trade approval procedures described in Section 11.</w:t>
      </w:r>
    </w:p>
    <w:p>
      <w:pPr>
        <w:spacing w:after="0" w:line="171" w:lineRule="exact"/>
        <w:rPr>
          <w:rFonts w:ascii="Times New Roman" w:cs="Times New Roman" w:eastAsia="Times New Roman" w:hAnsi="Times New Roman"/>
          <w:sz w:val="17"/>
          <w:szCs w:val="17"/>
          <w:color w:val="010302"/>
        </w:rPr>
      </w:pPr>
    </w:p>
    <w:p>
      <w:pPr>
        <w:ind w:left="400" w:hanging="395"/>
        <w:spacing w:after="0"/>
        <w:tabs>
          <w:tab w:leader="none" w:pos="4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Controlling Persons</w:t>
      </w:r>
    </w:p>
    <w:p>
      <w:pPr>
        <w:spacing w:after="0" w:line="227" w:lineRule="exact"/>
        <w:rPr>
          <w:rFonts w:ascii="Times New Roman" w:cs="Times New Roman" w:eastAsia="Times New Roman" w:hAnsi="Times New Roman"/>
          <w:sz w:val="20"/>
          <w:szCs w:val="20"/>
          <w:b w:val="1"/>
          <w:bCs w:val="1"/>
          <w:color w:val="auto"/>
        </w:rPr>
      </w:pPr>
    </w:p>
    <w:p>
      <w:pPr>
        <w:ind w:left="520" w:hanging="260"/>
        <w:spacing w:after="0" w:line="276" w:lineRule="auto"/>
        <w:tabs>
          <w:tab w:leader="none" w:pos="510" w:val="left"/>
        </w:tabs>
        <w:numPr>
          <w:ilvl w:val="1"/>
          <w:numId w:val="40"/>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All individuals who supervise, direct, or manage the activities of any other employee of the Company may be deemed a “Controlling Person” for purposes of insider trading liability.</w:t>
      </w:r>
    </w:p>
    <w:p>
      <w:pPr>
        <w:spacing w:after="0" w:line="155" w:lineRule="exact"/>
        <w:rPr>
          <w:rFonts w:ascii="Times New Roman" w:cs="Times New Roman" w:eastAsia="Times New Roman" w:hAnsi="Times New Roman"/>
          <w:sz w:val="17"/>
          <w:szCs w:val="17"/>
          <w:color w:val="010302"/>
        </w:rPr>
      </w:pPr>
    </w:p>
    <w:p>
      <w:pPr>
        <w:ind w:left="520" w:hanging="260"/>
        <w:spacing w:after="0" w:line="289" w:lineRule="auto"/>
        <w:tabs>
          <w:tab w:leader="none" w:pos="520" w:val="left"/>
        </w:tabs>
        <w:numPr>
          <w:ilvl w:val="1"/>
          <w:numId w:val="40"/>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 Controlling Person may be subject to liability for insider trading or tipping by a controlled person if the Controlling Person knows or recklessly disregarded that the controlled person was likely to violate insider trading laws and failed to take steps to prevent such activity.</w:t>
      </w:r>
    </w:p>
    <w:p>
      <w:pPr>
        <w:spacing w:after="0" w:line="144" w:lineRule="exact"/>
        <w:rPr>
          <w:rFonts w:ascii="Times New Roman" w:cs="Times New Roman" w:eastAsia="Times New Roman" w:hAnsi="Times New Roman"/>
          <w:sz w:val="17"/>
          <w:szCs w:val="17"/>
          <w:color w:val="010302"/>
        </w:rPr>
      </w:pPr>
    </w:p>
    <w:p>
      <w:pPr>
        <w:ind w:left="500" w:hanging="240"/>
        <w:spacing w:after="0"/>
        <w:tabs>
          <w:tab w:leader="none" w:pos="500" w:val="left"/>
        </w:tabs>
        <w:numPr>
          <w:ilvl w:val="1"/>
          <w:numId w:val="40"/>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The Company may be a Controlling Person of its employees.</w:t>
      </w:r>
    </w:p>
    <w:p>
      <w:pPr>
        <w:spacing w:after="0" w:line="207" w:lineRule="exact"/>
        <w:rPr>
          <w:rFonts w:ascii="Times New Roman" w:cs="Times New Roman" w:eastAsia="Times New Roman" w:hAnsi="Times New Roman"/>
          <w:sz w:val="17"/>
          <w:szCs w:val="17"/>
          <w:color w:val="010302"/>
        </w:rPr>
      </w:pPr>
    </w:p>
    <w:p>
      <w:pPr>
        <w:ind w:left="520" w:hanging="260"/>
        <w:spacing w:after="0" w:line="289" w:lineRule="auto"/>
        <w:tabs>
          <w:tab w:leader="none" w:pos="520" w:val="left"/>
        </w:tabs>
        <w:numPr>
          <w:ilvl w:val="1"/>
          <w:numId w:val="40"/>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All Controlling Persons are encouraged to be vigilant in monitoring the activities of controlled persons with respect to possessing, having access to or otherwise being aware of MNPI and promptly report any suspicious activity to the Compliance Officer.</w:t>
      </w:r>
    </w:p>
    <w:p>
      <w:pPr>
        <w:spacing w:after="0" w:line="144" w:lineRule="exact"/>
        <w:rPr>
          <w:rFonts w:ascii="Times New Roman" w:cs="Times New Roman" w:eastAsia="Times New Roman" w:hAnsi="Times New Roman"/>
          <w:sz w:val="17"/>
          <w:szCs w:val="17"/>
          <w:color w:val="010302"/>
        </w:rPr>
      </w:pPr>
    </w:p>
    <w:p>
      <w:pPr>
        <w:ind w:left="520" w:hanging="260"/>
        <w:spacing w:after="0" w:line="289" w:lineRule="auto"/>
        <w:tabs>
          <w:tab w:leader="none" w:pos="510" w:val="left"/>
        </w:tabs>
        <w:numPr>
          <w:ilvl w:val="1"/>
          <w:numId w:val="40"/>
        </w:numPr>
        <w:rPr>
          <w:rFonts w:ascii="Times New Roman" w:cs="Times New Roman" w:eastAsia="Times New Roman" w:hAnsi="Times New Roman"/>
          <w:sz w:val="17"/>
          <w:szCs w:val="17"/>
          <w:color w:val="010302"/>
        </w:rPr>
      </w:pPr>
      <w:r>
        <w:rPr>
          <w:rFonts w:ascii="Times New Roman" w:cs="Times New Roman" w:eastAsia="Times New Roman" w:hAnsi="Times New Roman"/>
          <w:sz w:val="17"/>
          <w:szCs w:val="17"/>
          <w:color w:val="auto"/>
        </w:rPr>
        <w:t>Controlling Persons are subject to a civil penalty of $1 million or three times the amount of profits realized or losses avoided, and a criminal penalty of up to $25 million due to insider trading or tipping of controlled persons.</w:t>
      </w:r>
    </w:p>
    <w:p>
      <w:pPr>
        <w:spacing w:after="0" w:line="143" w:lineRule="exact"/>
        <w:rPr>
          <w:rFonts w:ascii="Times New Roman" w:cs="Times New Roman" w:eastAsia="Times New Roman" w:hAnsi="Times New Roman"/>
          <w:sz w:val="17"/>
          <w:szCs w:val="17"/>
          <w:color w:val="010302"/>
        </w:rPr>
      </w:pPr>
    </w:p>
    <w:p>
      <w:pPr>
        <w:ind w:left="500" w:hanging="495"/>
        <w:spacing w:after="0"/>
        <w:tabs>
          <w:tab w:leader="none" w:pos="5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Windows and Blackout Periods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certain trading windows and blackout periods for individuals at the Company:</w:t>
      </w:r>
    </w:p>
    <w:p>
      <w:pPr>
        <w:spacing w:after="0" w:line="214" w:lineRule="exact"/>
        <w:rPr>
          <w:sz w:val="20"/>
          <w:szCs w:val="20"/>
          <w:color w:val="auto"/>
        </w:rPr>
      </w:pPr>
    </w:p>
    <w:p>
      <w:pPr>
        <w:jc w:val="both"/>
        <w:ind w:left="520" w:hanging="260"/>
        <w:spacing w:after="0" w:line="271" w:lineRule="auto"/>
        <w:tabs>
          <w:tab w:leader="none" w:pos="563"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Trading Window for Section 16 Individuals and Certain Designated Insiders </w:t>
      </w:r>
      <w:r>
        <w:rPr>
          <w:rFonts w:ascii="Times New Roman" w:cs="Times New Roman" w:eastAsia="Times New Roman" w:hAnsi="Times New Roman"/>
          <w:sz w:val="17"/>
          <w:szCs w:val="17"/>
          <w:color w:val="auto"/>
        </w:rPr>
        <w:t>– Subject to obtaining an exception for hardship from the Compliance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accordance with the procedures set forth in Section 11 below, Section 16 Individuals and other Insiders who are designated by the Compliance Officer as being subject to the Company’s quarterly trading blackout periods may not trade in (or gift) Company securities during the applicable quarterly blackout period described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339" w:right="319" w:bottom="1440" w:gutter="0" w:footer="0" w:header="0"/>
        </w:sectPr>
      </w:pPr>
    </w:p>
    <w:bookmarkStart w:id="125" w:name="page126"/>
    <w:bookmarkEnd w:id="125"/>
    <w:p>
      <w:pPr>
        <w:jc w:val="both"/>
        <w:ind w:left="640" w:hanging="386"/>
        <w:spacing w:after="0" w:line="271" w:lineRule="auto"/>
        <w:tabs>
          <w:tab w:leader="none" w:pos="59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Flash Report Recipients </w:t>
      </w:r>
      <w:r>
        <w:rPr>
          <w:rFonts w:ascii="Times New Roman" w:cs="Times New Roman" w:eastAsia="Times New Roman" w:hAnsi="Times New Roman"/>
          <w:sz w:val="17"/>
          <w:szCs w:val="17"/>
          <w:color w:val="auto"/>
        </w:rPr>
        <w:t>– Section 16 Individuals and other Insiders who receive the “Flash Report”, which is a draft of Company’s revenue and pre-tax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by operation distributed by the Company’s accounting department, may not trade in Company securities during the period beginning on the date that each person receives such report through close of market on the first full trading day following the Company’s widespread public release of quarterly or year-end earnings.</w:t>
      </w:r>
    </w:p>
    <w:p>
      <w:pPr>
        <w:spacing w:after="0" w:line="156" w:lineRule="exact"/>
        <w:rPr>
          <w:rFonts w:ascii="Times New Roman" w:cs="Times New Roman" w:eastAsia="Times New Roman" w:hAnsi="Times New Roman"/>
          <w:sz w:val="17"/>
          <w:szCs w:val="17"/>
          <w:color w:val="auto"/>
        </w:rPr>
      </w:pPr>
    </w:p>
    <w:p>
      <w:pPr>
        <w:jc w:val="both"/>
        <w:ind w:left="640" w:hanging="386"/>
        <w:spacing w:after="0" w:line="267" w:lineRule="auto"/>
        <w:tabs>
          <w:tab w:leader="none" w:pos="63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Other Section 16 Individuals and Key Employees </w:t>
      </w:r>
      <w:r>
        <w:rPr>
          <w:rFonts w:ascii="Times New Roman" w:cs="Times New Roman" w:eastAsia="Times New Roman" w:hAnsi="Times New Roman"/>
          <w:sz w:val="17"/>
          <w:szCs w:val="17"/>
          <w:color w:val="auto"/>
        </w:rPr>
        <w:t>– Directors and Other Designated Insiders. Directors and other Insiders designated by the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who do not receive the “Flash Report” may not trade in Company securities during the period beginning on the date that each person receives materials for the quarterly meeting of the Board of Directors through close of market on the first full trading day following the Company’s widespread public release of quarterly or year-end earnings.</w:t>
      </w:r>
    </w:p>
    <w:p>
      <w:pPr>
        <w:spacing w:after="0" w:line="159" w:lineRule="exact"/>
        <w:rPr>
          <w:rFonts w:ascii="Times New Roman" w:cs="Times New Roman" w:eastAsia="Times New Roman" w:hAnsi="Times New Roman"/>
          <w:sz w:val="17"/>
          <w:szCs w:val="17"/>
          <w:color w:val="auto"/>
        </w:rPr>
      </w:pPr>
    </w:p>
    <w:p>
      <w:pPr>
        <w:ind w:left="260" w:hanging="260"/>
        <w:spacing w:after="0" w:line="294" w:lineRule="auto"/>
        <w:tabs>
          <w:tab w:leader="none" w:pos="34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Special Blackout Periods </w:t>
      </w:r>
      <w:r>
        <w:rPr>
          <w:rFonts w:ascii="Times New Roman" w:cs="Times New Roman" w:eastAsia="Times New Roman" w:hAnsi="Times New Roman"/>
          <w:sz w:val="17"/>
          <w:szCs w:val="17"/>
          <w:color w:val="auto"/>
        </w:rPr>
        <w:t>– The Compliance Officer may designate special blackout periods during which trading in Company securities is prohibited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designated groups, which may include Section 16 Individuals and certain or all Insiders.</w:t>
      </w:r>
    </w:p>
    <w:p>
      <w:pPr>
        <w:spacing w:after="0" w:line="136" w:lineRule="exact"/>
        <w:rPr>
          <w:rFonts w:ascii="Times New Roman" w:cs="Times New Roman" w:eastAsia="Times New Roman" w:hAnsi="Times New Roman"/>
          <w:sz w:val="17"/>
          <w:szCs w:val="17"/>
          <w:color w:val="auto"/>
        </w:rPr>
      </w:pPr>
    </w:p>
    <w:p>
      <w:pPr>
        <w:jc w:val="both"/>
        <w:ind w:left="260" w:hanging="260"/>
        <w:spacing w:after="0" w:line="277" w:lineRule="auto"/>
        <w:tabs>
          <w:tab w:leader="none" w:pos="35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Trading During Trading Windows While in the Possession of MNPI </w:t>
      </w:r>
      <w:r>
        <w:rPr>
          <w:rFonts w:ascii="Times New Roman" w:cs="Times New Roman" w:eastAsia="Times New Roman" w:hAnsi="Times New Roman"/>
          <w:sz w:val="17"/>
          <w:szCs w:val="17"/>
          <w:color w:val="auto"/>
        </w:rPr>
        <w:t>– No Insiders who are aware of MNPI concerning the Company may trade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securities even during applicable trading windows. Persons who are aware of such information may trade during a trading window only after close of market on the first full trading day following the Company’s widespread public release of the information.</w:t>
      </w:r>
    </w:p>
    <w:p>
      <w:pPr>
        <w:spacing w:after="0" w:line="140" w:lineRule="exact"/>
        <w:rPr>
          <w:sz w:val="20"/>
          <w:szCs w:val="20"/>
          <w:color w:val="auto"/>
        </w:rPr>
      </w:pPr>
    </w:p>
    <w:p>
      <w:pPr>
        <w:jc w:val="both"/>
        <w:ind w:left="260" w:hanging="260"/>
        <w:spacing w:after="0" w:line="264" w:lineRule="auto"/>
        <w:tabs>
          <w:tab w:leader="none" w:pos="38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Trading During Blackout Periods </w:t>
      </w:r>
      <w:r>
        <w:rPr>
          <w:rFonts w:ascii="Times New Roman" w:cs="Times New Roman" w:eastAsia="Times New Roman" w:hAnsi="Times New Roman"/>
          <w:sz w:val="17"/>
          <w:szCs w:val="17"/>
          <w:color w:val="auto"/>
        </w:rPr>
        <w:t>– No Section 16 Individuals or other Insiders who are designated by the Compliance Officer as subject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blackout periods may trade in Company securities outside of the applicable trading windows or during any special blackout periods to which they are subject (as designated by the Compliance Officer). No Section 16 Individual or designated Insider who is subject to a blackout period may disclose to any outside third party that a special blackout period has been designated. However, any such blackout period and the trading restrictions imposed thereunder shall not apply to trades made pursuant to a Pre-Approved Insider Trading Plan that was entered into prior to such blackout period in compliance with the requirements of Section 14 below.</w:t>
      </w:r>
    </w:p>
    <w:p>
      <w:pPr>
        <w:spacing w:after="0" w:line="163" w:lineRule="exact"/>
        <w:rPr>
          <w:rFonts w:ascii="Times New Roman" w:cs="Times New Roman" w:eastAsia="Times New Roman" w:hAnsi="Times New Roman"/>
          <w:sz w:val="17"/>
          <w:szCs w:val="17"/>
          <w:color w:val="auto"/>
        </w:rPr>
      </w:pPr>
    </w:p>
    <w:p>
      <w:pPr>
        <w:jc w:val="both"/>
        <w:ind w:left="260" w:hanging="260"/>
        <w:spacing w:after="0" w:line="277" w:lineRule="auto"/>
        <w:tabs>
          <w:tab w:leader="none" w:pos="3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Exceptions for Hardship Cases </w:t>
      </w:r>
      <w:r>
        <w:rPr>
          <w:rFonts w:ascii="Times New Roman" w:cs="Times New Roman" w:eastAsia="Times New Roman" w:hAnsi="Times New Roman"/>
          <w:sz w:val="17"/>
          <w:szCs w:val="17"/>
          <w:color w:val="auto"/>
        </w:rPr>
        <w:t>– The Compliance Officer may, on a case-by-case basis, authorize trading in Company securities outside of the applicable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trading windows (but not during special blackout periods) due to financial hardship or other hardships, but only in accordance with the procedures set forth in Section 11.b below. Such instances are expected to be rare.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20"/>
          </w:cols>
          <w:pgMar w:left="560" w:top="1335" w:right="319" w:bottom="1440" w:gutter="0" w:footer="0" w:header="0"/>
        </w:sectPr>
      </w:pPr>
    </w:p>
    <w:bookmarkStart w:id="126" w:name="page127"/>
    <w:bookmarkEnd w:id="126"/>
    <w:p>
      <w:pPr>
        <w:ind w:left="480" w:hanging="475"/>
        <w:spacing w:after="0"/>
        <w:tabs>
          <w:tab w:leader="none" w:pos="48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Approving Trades by Section 16 Individuals and Hardship Cases</w:t>
      </w:r>
    </w:p>
    <w:p>
      <w:pPr>
        <w:spacing w:after="0" w:line="202" w:lineRule="exact"/>
        <w:rPr>
          <w:rFonts w:ascii="Times New Roman" w:cs="Times New Roman" w:eastAsia="Times New Roman" w:hAnsi="Times New Roman"/>
          <w:sz w:val="20"/>
          <w:szCs w:val="20"/>
          <w:b w:val="1"/>
          <w:bCs w:val="1"/>
          <w:color w:val="auto"/>
        </w:rPr>
      </w:pPr>
    </w:p>
    <w:p>
      <w:pPr>
        <w:ind w:left="500" w:hanging="240"/>
        <w:spacing w:after="0"/>
        <w:tabs>
          <w:tab w:leader="none" w:pos="5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Section 16 Individuals and Key Employee Trades – </w:t>
      </w:r>
      <w:r>
        <w:rPr>
          <w:rFonts w:ascii="Times New Roman" w:cs="Times New Roman" w:eastAsia="Times New Roman" w:hAnsi="Times New Roman"/>
          <w:sz w:val="17"/>
          <w:szCs w:val="17"/>
          <w:color w:val="auto"/>
        </w:rPr>
        <w:t>No Section 16 Individual or Key Employee may trade in Company securities until:</w:t>
      </w:r>
    </w:p>
    <w:p>
      <w:pPr>
        <w:spacing w:after="0" w:line="211" w:lineRule="exact"/>
        <w:rPr>
          <w:rFonts w:ascii="Times New Roman" w:cs="Times New Roman" w:eastAsia="Times New Roman" w:hAnsi="Times New Roman"/>
          <w:sz w:val="17"/>
          <w:szCs w:val="17"/>
          <w:color w:val="auto"/>
        </w:rPr>
      </w:pPr>
    </w:p>
    <w:p>
      <w:pPr>
        <w:ind w:left="840" w:hanging="326"/>
        <w:spacing w:after="0"/>
        <w:tabs>
          <w:tab w:leader="none" w:pos="84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notified the Compliance Officer of the amount and nature of the proposed trade; and</w:t>
      </w:r>
    </w:p>
    <w:p>
      <w:pPr>
        <w:spacing w:after="0" w:line="218" w:lineRule="exact"/>
        <w:rPr>
          <w:rFonts w:ascii="Times New Roman" w:cs="Times New Roman" w:eastAsia="Times New Roman" w:hAnsi="Times New Roman"/>
          <w:sz w:val="17"/>
          <w:szCs w:val="17"/>
          <w:color w:val="auto"/>
        </w:rPr>
      </w:pPr>
    </w:p>
    <w:p>
      <w:pPr>
        <w:ind w:left="820" w:hanging="306"/>
        <w:spacing w:after="0"/>
        <w:tabs>
          <w:tab w:leader="none" w:pos="82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w:t>
      </w:r>
    </w:p>
    <w:p>
      <w:pPr>
        <w:spacing w:after="0" w:line="214" w:lineRule="exact"/>
        <w:rPr>
          <w:rFonts w:ascii="Times New Roman" w:cs="Times New Roman" w:eastAsia="Times New Roman" w:hAnsi="Times New Roman"/>
          <w:sz w:val="17"/>
          <w:szCs w:val="17"/>
          <w:color w:val="auto"/>
        </w:rPr>
      </w:pPr>
    </w:p>
    <w:p>
      <w:pPr>
        <w:ind w:left="520" w:hanging="260"/>
        <w:spacing w:after="0" w:line="294" w:lineRule="auto"/>
        <w:tabs>
          <w:tab w:leader="none" w:pos="43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Hardship Trades </w:t>
      </w:r>
      <w:r>
        <w:rPr>
          <w:rFonts w:ascii="Times New Roman" w:cs="Times New Roman" w:eastAsia="Times New Roman" w:hAnsi="Times New Roman"/>
          <w:sz w:val="17"/>
          <w:szCs w:val="17"/>
          <w:color w:val="auto"/>
        </w:rPr>
        <w:t>– The Compliance Officer may, on a case-by-case basis, authorize trading in Company securities outside of the applicable trading windows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(but not during special blackout periods) due to financial hardship or other hardship only after:</w:t>
      </w:r>
    </w:p>
    <w:p>
      <w:pPr>
        <w:spacing w:after="0" w:line="151" w:lineRule="exact"/>
        <w:rPr>
          <w:rFonts w:ascii="Times New Roman" w:cs="Times New Roman" w:eastAsia="Times New Roman" w:hAnsi="Times New Roman"/>
          <w:sz w:val="17"/>
          <w:szCs w:val="17"/>
          <w:color w:val="auto"/>
        </w:rPr>
      </w:pPr>
    </w:p>
    <w:p>
      <w:pPr>
        <w:ind w:left="840" w:hanging="326"/>
        <w:spacing w:after="0"/>
        <w:tabs>
          <w:tab w:leader="none" w:pos="84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notified the Compliance Officer in writing of the circumstances of the hardship and the amount and nature of the proposed trade;</w:t>
      </w:r>
    </w:p>
    <w:p>
      <w:pPr>
        <w:spacing w:after="0" w:line="218" w:lineRule="exact"/>
        <w:rPr>
          <w:rFonts w:ascii="Times New Roman" w:cs="Times New Roman" w:eastAsia="Times New Roman" w:hAnsi="Times New Roman"/>
          <w:sz w:val="17"/>
          <w:szCs w:val="17"/>
          <w:color w:val="auto"/>
        </w:rPr>
      </w:pPr>
    </w:p>
    <w:p>
      <w:pPr>
        <w:ind w:left="900" w:hanging="386"/>
        <w:spacing w:after="0" w:line="276" w:lineRule="auto"/>
        <w:tabs>
          <w:tab w:leader="none" w:pos="922"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trading has certified to the Compliance Officer in writing no earlier than two business days prior to the proposed trade that he or she is not aware of MNPI concerning the Company; and</w:t>
      </w:r>
    </w:p>
    <w:p>
      <w:pPr>
        <w:spacing w:after="0" w:line="165" w:lineRule="exact"/>
        <w:rPr>
          <w:rFonts w:ascii="Times New Roman" w:cs="Times New Roman" w:eastAsia="Times New Roman" w:hAnsi="Times New Roman"/>
          <w:sz w:val="17"/>
          <w:szCs w:val="17"/>
          <w:color w:val="auto"/>
        </w:rPr>
      </w:pPr>
    </w:p>
    <w:p>
      <w:pPr>
        <w:ind w:left="940" w:hanging="426"/>
        <w:spacing w:after="0"/>
        <w:tabs>
          <w:tab w:leader="none" w:pos="940"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 and has certified approval in writing.</w:t>
      </w:r>
    </w:p>
    <w:p>
      <w:pPr>
        <w:spacing w:after="0" w:line="203" w:lineRule="exact"/>
        <w:rPr>
          <w:rFonts w:ascii="Times New Roman" w:cs="Times New Roman" w:eastAsia="Times New Roman" w:hAnsi="Times New Roman"/>
          <w:sz w:val="17"/>
          <w:szCs w:val="17"/>
          <w:color w:val="auto"/>
        </w:rPr>
      </w:pPr>
    </w:p>
    <w:p>
      <w:pPr>
        <w:ind w:left="520" w:hanging="260"/>
        <w:spacing w:after="0" w:line="294" w:lineRule="auto"/>
        <w:tabs>
          <w:tab w:leader="none" w:pos="43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 Obligation to Approve Trades </w:t>
      </w:r>
      <w:r>
        <w:rPr>
          <w:rFonts w:ascii="Times New Roman" w:cs="Times New Roman" w:eastAsia="Times New Roman" w:hAnsi="Times New Roman"/>
          <w:sz w:val="17"/>
          <w:szCs w:val="17"/>
          <w:color w:val="auto"/>
        </w:rPr>
        <w:t>– The existence of the foregoing approval procedures does not in any way obligate the Compliance Officer to approve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trades requested by Section 16 Individuals or hardship applicants. The Compliance Officer may reject any trading requests at his sole reasonable discretion.</w:t>
      </w:r>
    </w:p>
    <w:p>
      <w:pPr>
        <w:spacing w:after="0" w:line="139" w:lineRule="exact"/>
        <w:rPr>
          <w:rFonts w:ascii="Times New Roman" w:cs="Times New Roman" w:eastAsia="Times New Roman" w:hAnsi="Times New Roman"/>
          <w:sz w:val="17"/>
          <w:szCs w:val="17"/>
          <w:color w:val="auto"/>
        </w:rPr>
      </w:pPr>
    </w:p>
    <w:p>
      <w:pPr>
        <w:ind w:left="500" w:hanging="495"/>
        <w:spacing w:after="0"/>
        <w:tabs>
          <w:tab w:leader="none" w:pos="5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Benefit Plans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Awards </w:t>
      </w:r>
      <w:r>
        <w:rPr>
          <w:rFonts w:ascii="Times New Roman" w:cs="Times New Roman" w:eastAsia="Times New Roman" w:hAnsi="Times New Roman"/>
          <w:sz w:val="17"/>
          <w:szCs w:val="17"/>
          <w:color w:val="auto"/>
        </w:rPr>
        <w:t>– The trading prohibitions and restrictions of this Policy do not apply to the vesting of restricted stock, or the exercise of a tax withholding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right pursuant to which an employee elects to have the Company withhold shares of stock to satisfy tax withholding requirements upon the vesting of any restricted stock. Such trading prohibitions and restrictions will apply, however, to any market sale of restricted stock.</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010302"/>
        </w:rPr>
        <w:t xml:space="preserve">Dividend Reinvestment Plans </w:t>
      </w:r>
      <w:r>
        <w:rPr>
          <w:rFonts w:ascii="Times New Roman" w:cs="Times New Roman" w:eastAsia="Times New Roman" w:hAnsi="Times New Roman"/>
          <w:sz w:val="17"/>
          <w:szCs w:val="17"/>
          <w:color w:val="010302"/>
        </w:rPr>
        <w:t>– The trading prohibitions and restrictions of this Policy do not apply to purchases of Company securities under a Company dividend</w:t>
      </w:r>
      <w:r>
        <w:rPr>
          <w:rFonts w:ascii="Times New Roman" w:cs="Times New Roman" w:eastAsia="Times New Roman" w:hAnsi="Times New Roman"/>
          <w:sz w:val="17"/>
          <w:szCs w:val="17"/>
          <w:b w:val="1"/>
          <w:bCs w:val="1"/>
          <w:i w:val="1"/>
          <w:iCs w:val="1"/>
          <w:color w:val="010302"/>
        </w:rPr>
        <w:t xml:space="preserve"> </w:t>
      </w:r>
      <w:r>
        <w:rPr>
          <w:rFonts w:ascii="Times New Roman" w:cs="Times New Roman" w:eastAsia="Times New Roman" w:hAnsi="Times New Roman"/>
          <w:sz w:val="17"/>
          <w:szCs w:val="17"/>
          <w:color w:val="010302"/>
        </w:rPr>
        <w:t>reinvestment plan, if any, resulting from an employee’s reinvestment of dividends paid on Company securities. Such trading prohibitions and restrictions will apply, however, to voluntary purchases of Company securities resulting from additional contributions an employee chooses to make to a Company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327" w:right="319" w:bottom="1440" w:gutter="0" w:footer="0" w:header="0"/>
        </w:sectPr>
      </w:pPr>
    </w:p>
    <w:bookmarkStart w:id="127" w:name="page128"/>
    <w:bookmarkEnd w:id="127"/>
    <w:p>
      <w:pPr>
        <w:spacing w:after="0" w:line="289" w:lineRule="auto"/>
        <w:rPr>
          <w:sz w:val="20"/>
          <w:szCs w:val="20"/>
          <w:color w:val="auto"/>
        </w:rPr>
      </w:pPr>
      <w:r>
        <w:rPr>
          <w:rFonts w:ascii="Times New Roman" w:cs="Times New Roman" w:eastAsia="Times New Roman" w:hAnsi="Times New Roman"/>
          <w:sz w:val="17"/>
          <w:szCs w:val="17"/>
          <w:color w:val="010302"/>
        </w:rPr>
        <w:t>dividend reinvestment plan, and to his or her election to participate in the plan or increase or decrease such employee’s level of participation in the plan. Such prohibitions and restrictions also apply to an employee’s sale of any Company securities purchased pursuant to a dividend reinvestment plan.</w:t>
      </w:r>
    </w:p>
    <w:p>
      <w:pPr>
        <w:spacing w:after="0" w:line="143" w:lineRule="exact"/>
        <w:rPr>
          <w:sz w:val="20"/>
          <w:szCs w:val="20"/>
          <w:color w:val="auto"/>
        </w:rPr>
      </w:pPr>
    </w:p>
    <w:p>
      <w:pPr>
        <w:ind w:left="500" w:hanging="495"/>
        <w:spacing w:after="0"/>
        <w:tabs>
          <w:tab w:leader="none" w:pos="5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Priority of Statutory or Regulatory Trading Restrictions</w:t>
      </w:r>
    </w:p>
    <w:p>
      <w:pPr>
        <w:spacing w:after="0" w:line="3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set forth in this Policy will be superseded by any greater prohibitions or restrictions prescribed by federal or state securities laws and regulations, e.g., short-swing trading by Section 16 Individuals or restrictions on the sale of securities subject to Rule 144 under the Securities Act of 1933. Any Insider who is uncertain whether other prohibitions or restrictions apply should ask the Compliance Officer.</w:t>
      </w:r>
    </w:p>
    <w:p>
      <w:pPr>
        <w:spacing w:after="0" w:line="171" w:lineRule="exact"/>
        <w:rPr>
          <w:sz w:val="20"/>
          <w:szCs w:val="20"/>
          <w:color w:val="auto"/>
        </w:rPr>
      </w:pPr>
    </w:p>
    <w:p>
      <w:pPr>
        <w:ind w:left="500" w:hanging="495"/>
        <w:spacing w:after="0"/>
        <w:tabs>
          <w:tab w:leader="none" w:pos="5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Pre-Approved Insider Trading Plans</w:t>
      </w:r>
    </w:p>
    <w:p>
      <w:pPr>
        <w:spacing w:after="0" w:line="227" w:lineRule="exact"/>
        <w:rPr>
          <w:rFonts w:ascii="Times New Roman" w:cs="Times New Roman" w:eastAsia="Times New Roman" w:hAnsi="Times New Roman"/>
          <w:sz w:val="20"/>
          <w:szCs w:val="20"/>
          <w:b w:val="1"/>
          <w:bCs w:val="1"/>
          <w:color w:val="auto"/>
        </w:rPr>
      </w:pPr>
    </w:p>
    <w:p>
      <w:pPr>
        <w:ind w:left="520" w:hanging="260"/>
        <w:spacing w:after="0" w:line="315" w:lineRule="auto"/>
        <w:tabs>
          <w:tab w:leader="none" w:pos="56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referenced within this Policy, an Insider may elect to trade in Company securities pursuant to a written plan or set of instructions to another person (a “Trading Plan”).</w:t>
      </w:r>
    </w:p>
    <w:p>
      <w:pPr>
        <w:spacing w:after="0" w:line="144" w:lineRule="exact"/>
        <w:rPr>
          <w:rFonts w:ascii="Times New Roman" w:cs="Times New Roman" w:eastAsia="Times New Roman" w:hAnsi="Times New Roman"/>
          <w:sz w:val="17"/>
          <w:szCs w:val="17"/>
          <w:color w:val="auto"/>
        </w:rPr>
      </w:pPr>
    </w:p>
    <w:p>
      <w:pPr>
        <w:ind w:left="520" w:hanging="260"/>
        <w:spacing w:after="0" w:line="302" w:lineRule="auto"/>
        <w:tabs>
          <w:tab w:leader="none" w:pos="60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amendment and termination of Trading Plans are subject to pre-approval by the Compliance Officer. A Trading Plan will not be approved unless it contains the following provisions:</w:t>
      </w:r>
    </w:p>
    <w:p>
      <w:pPr>
        <w:spacing w:after="0" w:line="144" w:lineRule="exact"/>
        <w:rPr>
          <w:rFonts w:ascii="Times New Roman" w:cs="Times New Roman" w:eastAsia="Times New Roman" w:hAnsi="Times New Roman"/>
          <w:sz w:val="17"/>
          <w:szCs w:val="17"/>
          <w:color w:val="auto"/>
        </w:rPr>
      </w:pPr>
    </w:p>
    <w:p>
      <w:pPr>
        <w:ind w:left="900" w:hanging="386"/>
        <w:spacing w:after="0" w:line="315" w:lineRule="auto"/>
        <w:tabs>
          <w:tab w:leader="none" w:pos="854"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be in writing and signed by the person seeking to adopt the Trading Plan. A Trading Plan must have a duration of at least 6 months and no more than 18 months.</w:t>
      </w:r>
    </w:p>
    <w:p>
      <w:pPr>
        <w:spacing w:after="0" w:line="134" w:lineRule="exact"/>
        <w:rPr>
          <w:rFonts w:ascii="Times New Roman" w:cs="Times New Roman" w:eastAsia="Times New Roman" w:hAnsi="Times New Roman"/>
          <w:sz w:val="17"/>
          <w:szCs w:val="17"/>
          <w:color w:val="auto"/>
        </w:rPr>
      </w:pPr>
    </w:p>
    <w:p>
      <w:pPr>
        <w:ind w:left="880" w:hanging="366"/>
        <w:spacing w:after="0"/>
        <w:tabs>
          <w:tab w:leader="none" w:pos="880"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include the following:</w:t>
      </w:r>
    </w:p>
    <w:p>
      <w:pPr>
        <w:spacing w:after="0" w:line="207" w:lineRule="exact"/>
        <w:rPr>
          <w:rFonts w:ascii="Times New Roman" w:cs="Times New Roman" w:eastAsia="Times New Roman" w:hAnsi="Times New Roman"/>
          <w:sz w:val="17"/>
          <w:szCs w:val="17"/>
          <w:color w:val="auto"/>
        </w:rPr>
      </w:pPr>
    </w:p>
    <w:p>
      <w:pPr>
        <w:jc w:val="both"/>
        <w:ind w:left="1160" w:hanging="264"/>
        <w:spacing w:after="0" w:line="274" w:lineRule="auto"/>
        <w:tabs>
          <w:tab w:leader="none" w:pos="1151" w:val="left"/>
        </w:tabs>
        <w:numPr>
          <w:ilvl w:val="3"/>
          <w:numId w:val="47"/>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the specific amount of securities to be traded (either a specified number of securities or a specified dollar value of securities); the price at which the securities are to be traded; and the date on which the order is to be executed (either the specific day of the year on which the order is to be executed —or as soon thereafter as is practicable under ordinary principles of best execution—in the case of a market order, or, in the case of a limit order, a day of the year on which the limit order is in force); OR</w:t>
      </w:r>
    </w:p>
    <w:p>
      <w:pPr>
        <w:spacing w:after="0" w:line="157" w:lineRule="exact"/>
        <w:rPr>
          <w:rFonts w:ascii="Times New Roman" w:cs="Times New Roman" w:eastAsia="Times New Roman" w:hAnsi="Times New Roman"/>
          <w:sz w:val="16"/>
          <w:szCs w:val="16"/>
          <w:color w:val="010302"/>
        </w:rPr>
      </w:pPr>
    </w:p>
    <w:p>
      <w:pPr>
        <w:ind w:left="1160" w:hanging="264"/>
        <w:spacing w:after="0" w:line="302" w:lineRule="auto"/>
        <w:tabs>
          <w:tab w:leader="none" w:pos="1151" w:val="left"/>
        </w:tabs>
        <w:numPr>
          <w:ilvl w:val="3"/>
          <w:numId w:val="47"/>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 written formula or algorithm, or computer program for determining the amount of securities to be purchased or sold and the price at which and the date on which the securities are to be purchased or sold; OR</w:t>
      </w:r>
    </w:p>
    <w:p>
      <w:pPr>
        <w:spacing w:after="0" w:line="134" w:lineRule="exact"/>
        <w:rPr>
          <w:rFonts w:ascii="Times New Roman" w:cs="Times New Roman" w:eastAsia="Times New Roman" w:hAnsi="Times New Roman"/>
          <w:sz w:val="16"/>
          <w:szCs w:val="16"/>
          <w:color w:val="010302"/>
        </w:rPr>
      </w:pPr>
    </w:p>
    <w:p>
      <w:pPr>
        <w:ind w:left="1160" w:hanging="264"/>
        <w:spacing w:after="0" w:line="289" w:lineRule="auto"/>
        <w:tabs>
          <w:tab w:leader="none" w:pos="1151" w:val="left"/>
        </w:tabs>
        <w:numPr>
          <w:ilvl w:val="3"/>
          <w:numId w:val="47"/>
        </w:numPr>
        <w:rPr>
          <w:rFonts w:ascii="Times New Roman" w:cs="Times New Roman" w:eastAsia="Times New Roman" w:hAnsi="Times New Roman"/>
          <w:sz w:val="16"/>
          <w:szCs w:val="16"/>
          <w:color w:val="010302"/>
        </w:rPr>
      </w:pPr>
      <w:r>
        <w:rPr>
          <w:rFonts w:ascii="Times New Roman" w:cs="Times New Roman" w:eastAsia="Times New Roman" w:hAnsi="Times New Roman"/>
          <w:sz w:val="17"/>
          <w:szCs w:val="17"/>
          <w:color w:val="auto"/>
        </w:rPr>
        <w:t>a provision that grants complete investment discretion to another person (a “Representative”) and does not permit the Insider to exercise any subsequent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339" w:right="319" w:bottom="1440" w:gutter="0" w:footer="0" w:header="0"/>
        </w:sectPr>
      </w:pPr>
    </w:p>
    <w:bookmarkStart w:id="128" w:name="page129"/>
    <w:bookmarkEnd w:id="128"/>
    <w:p>
      <w:pPr>
        <w:jc w:val="both"/>
        <w:ind w:left="646"/>
        <w:spacing w:after="0" w:line="275" w:lineRule="auto"/>
        <w:rPr>
          <w:sz w:val="20"/>
          <w:szCs w:val="20"/>
          <w:color w:val="auto"/>
        </w:rPr>
      </w:pPr>
      <w:r>
        <w:rPr>
          <w:rFonts w:ascii="Times New Roman" w:cs="Times New Roman" w:eastAsia="Times New Roman" w:hAnsi="Times New Roman"/>
          <w:sz w:val="17"/>
          <w:szCs w:val="17"/>
          <w:color w:val="auto"/>
        </w:rPr>
        <w:t>influence over how, when, or whether to effect trades. Reliance upon this provision will also require a signed affirmation by the Representative that such Representative will not exercise this complete grant of discretion to trade on such securities while such Representative is aware of MNPI about the Company or its securities.</w:t>
      </w:r>
    </w:p>
    <w:p>
      <w:pPr>
        <w:spacing w:after="0" w:line="156" w:lineRule="exact"/>
        <w:rPr>
          <w:sz w:val="20"/>
          <w:szCs w:val="20"/>
          <w:color w:val="auto"/>
        </w:rPr>
      </w:pPr>
    </w:p>
    <w:p>
      <w:pPr>
        <w:ind w:left="386" w:hanging="386"/>
        <w:spacing w:after="0"/>
        <w:tabs>
          <w:tab w:leader="none" w:pos="38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must include a “cooling off period” during which no trades may occur under the Trading Plan as described below:</w:t>
      </w:r>
    </w:p>
    <w:p>
      <w:pPr>
        <w:spacing w:after="0" w:line="207" w:lineRule="exact"/>
        <w:rPr>
          <w:rFonts w:ascii="Times New Roman" w:cs="Times New Roman" w:eastAsia="Times New Roman" w:hAnsi="Times New Roman"/>
          <w:sz w:val="17"/>
          <w:szCs w:val="17"/>
          <w:color w:val="auto"/>
        </w:rPr>
      </w:pPr>
    </w:p>
    <w:p>
      <w:pPr>
        <w:jc w:val="both"/>
        <w:ind w:left="646" w:hanging="264"/>
        <w:spacing w:after="0" w:line="265" w:lineRule="auto"/>
        <w:tabs>
          <w:tab w:leader="none" w:pos="64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Section 16 Individuals, the cooling off period shall begin on the date the Trading Plan is adopted or modified and end on the later of: (a) close of market on the 90th day following such adoption or modification of the Trading Plan, or (b) two business days following the disclosure on Form 10-Q or Form 10-K of the Company’s financial results for the fiscal quarter in which the plan was adopted or modified (but in any event, the required cooling off period is subject to a maximum of 120 days after the date of adoption of the Trading Plan).</w:t>
      </w:r>
    </w:p>
    <w:p>
      <w:pPr>
        <w:spacing w:after="0" w:line="165" w:lineRule="exact"/>
        <w:rPr>
          <w:rFonts w:ascii="Times New Roman" w:cs="Times New Roman" w:eastAsia="Times New Roman" w:hAnsi="Times New Roman"/>
          <w:sz w:val="17"/>
          <w:szCs w:val="17"/>
          <w:color w:val="auto"/>
        </w:rPr>
      </w:pPr>
    </w:p>
    <w:p>
      <w:pPr>
        <w:ind w:left="646" w:hanging="264"/>
        <w:spacing w:after="0" w:line="289" w:lineRule="auto"/>
        <w:tabs>
          <w:tab w:leader="none" w:pos="64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other Insiders, the cooling off period shall begin on the date the trading plan is adopted (or modified) and end at close of market on the 30th day following the date of adoption or modification of the Trading Plan.</w:t>
      </w:r>
    </w:p>
    <w:p>
      <w:pPr>
        <w:spacing w:after="0" w:line="144" w:lineRule="exact"/>
        <w:rPr>
          <w:rFonts w:ascii="Times New Roman" w:cs="Times New Roman" w:eastAsia="Times New Roman" w:hAnsi="Times New Roman"/>
          <w:sz w:val="17"/>
          <w:szCs w:val="17"/>
          <w:color w:val="auto"/>
        </w:rPr>
      </w:pPr>
    </w:p>
    <w:p>
      <w:pPr>
        <w:ind w:left="646" w:hanging="264"/>
        <w:spacing w:after="0" w:line="276" w:lineRule="auto"/>
        <w:tabs>
          <w:tab w:leader="none" w:pos="64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cooling off period shall be required following a modification of a Trading Plan that does not change the sales or purchase prices or price ranges, the amount of securities to be sold or purchased or the timing of transactions under the Trading Plan.</w:t>
      </w:r>
    </w:p>
    <w:p>
      <w:pPr>
        <w:spacing w:after="0" w:line="155" w:lineRule="exact"/>
        <w:rPr>
          <w:rFonts w:ascii="Times New Roman" w:cs="Times New Roman" w:eastAsia="Times New Roman" w:hAnsi="Times New Roman"/>
          <w:sz w:val="17"/>
          <w:szCs w:val="17"/>
          <w:color w:val="auto"/>
        </w:rPr>
      </w:pPr>
    </w:p>
    <w:p>
      <w:pPr>
        <w:ind w:left="326" w:hanging="326"/>
        <w:spacing w:after="0"/>
        <w:tabs>
          <w:tab w:leader="none" w:pos="32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Trading Plan for Section 16 Individuals must include a certification with the representations required by Rule 10b5-1(c)(1)(ii)(C) of the Exchange Act.</w:t>
      </w:r>
    </w:p>
    <w:p>
      <w:pPr>
        <w:spacing w:after="0" w:line="207" w:lineRule="exact"/>
        <w:rPr>
          <w:rFonts w:ascii="Times New Roman" w:cs="Times New Roman" w:eastAsia="Times New Roman" w:hAnsi="Times New Roman"/>
          <w:sz w:val="17"/>
          <w:szCs w:val="17"/>
          <w:color w:val="auto"/>
        </w:rPr>
      </w:pPr>
    </w:p>
    <w:p>
      <w:pPr>
        <w:ind w:left="386" w:hanging="386"/>
        <w:spacing w:after="0" w:line="289" w:lineRule="auto"/>
        <w:tabs>
          <w:tab w:leader="none" w:pos="2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Trading Plan is adopted, all trades must be made pursuant to the Trading Plan. Insiders seeking to utilize a Trading Plan may not, in any manner, alter or deviate from the trading instructions set forth in a Trading Plan, including changing the amount, price, or timing of the trade.</w:t>
      </w:r>
    </w:p>
    <w:p>
      <w:pPr>
        <w:spacing w:after="0" w:line="144" w:lineRule="exact"/>
        <w:rPr>
          <w:rFonts w:ascii="Times New Roman" w:cs="Times New Roman" w:eastAsia="Times New Roman" w:hAnsi="Times New Roman"/>
          <w:sz w:val="17"/>
          <w:szCs w:val="17"/>
          <w:color w:val="auto"/>
        </w:rPr>
      </w:pPr>
    </w:p>
    <w:p>
      <w:pPr>
        <w:jc w:val="both"/>
        <w:ind w:left="386" w:hanging="386"/>
        <w:spacing w:after="0" w:line="263" w:lineRule="auto"/>
        <w:tabs>
          <w:tab w:leader="none" w:pos="39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Plans may be terminated or amended with the prior approval of the Compliance Officer. However, termination or amendment of the Trading Plan could put into question the protection afforded by to the Trading Plan under the Exchange Act. A plan participant that terminates a Trading Plan prior to its stated duration should not trade in Company securities (including pursuant to a new Trading Plan) until the later of (i) the next trading window, or (ii) 90 days following such termination or amendment of the Trading Plan for Section 16 Individuals and 30 days following such termination or amendment of the Trading Plan for all other Insiders. Any new Trading Plan is subject to the cooling off periods described above. An Insider may not in any way discuss with his or her designated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766"/>
          </w:cols>
          <w:pgMar w:left="814" w:top="1339" w:right="319" w:bottom="1440" w:gutter="0" w:footer="0" w:header="0"/>
        </w:sectPr>
      </w:pPr>
    </w:p>
    <w:bookmarkStart w:id="129" w:name="page130"/>
    <w:bookmarkEnd w:id="129"/>
    <w:p>
      <w:pPr>
        <w:ind w:left="640"/>
        <w:spacing w:after="0" w:line="289" w:lineRule="auto"/>
        <w:rPr>
          <w:sz w:val="20"/>
          <w:szCs w:val="20"/>
          <w:color w:val="auto"/>
        </w:rPr>
      </w:pPr>
      <w:r>
        <w:rPr>
          <w:rFonts w:ascii="Times New Roman" w:cs="Times New Roman" w:eastAsia="Times New Roman" w:hAnsi="Times New Roman"/>
          <w:sz w:val="17"/>
          <w:szCs w:val="17"/>
          <w:color w:val="auto"/>
        </w:rPr>
        <w:t>Representative or stockbroker the Company, information about the Company, or the timing of trading in the Company’s securities (other than to confirm that he or she has given instructions and set forth their contents).</w:t>
      </w:r>
    </w:p>
    <w:p>
      <w:pPr>
        <w:spacing w:after="0" w:line="145" w:lineRule="exact"/>
        <w:rPr>
          <w:sz w:val="20"/>
          <w:szCs w:val="20"/>
          <w:color w:val="auto"/>
        </w:rPr>
      </w:pPr>
    </w:p>
    <w:p>
      <w:pPr>
        <w:ind w:left="640" w:hanging="386"/>
        <w:spacing w:after="0"/>
        <w:tabs>
          <w:tab w:leader="none" w:pos="6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Individuals must comply with the provisions of the Company’s Hedging &amp; Pledging Policy respect to the Company’s securities.</w:t>
      </w:r>
    </w:p>
    <w:p>
      <w:pPr>
        <w:spacing w:after="0" w:line="207" w:lineRule="exact"/>
        <w:rPr>
          <w:rFonts w:ascii="Times New Roman" w:cs="Times New Roman" w:eastAsia="Times New Roman" w:hAnsi="Times New Roman"/>
          <w:sz w:val="17"/>
          <w:szCs w:val="17"/>
          <w:color w:val="auto"/>
        </w:rPr>
      </w:pPr>
    </w:p>
    <w:p>
      <w:pPr>
        <w:ind w:left="640" w:hanging="386"/>
        <w:spacing w:after="0" w:line="289" w:lineRule="auto"/>
        <w:tabs>
          <w:tab w:leader="none" w:pos="738"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seeking to adopt a Trading Plan may do so if he or she is aware of any Material Nonpublic Information about the Company or Company securities, or any information at variance with the Company’s statements to investors.</w:t>
      </w:r>
    </w:p>
    <w:p>
      <w:pPr>
        <w:spacing w:after="0" w:line="133" w:lineRule="exact"/>
        <w:rPr>
          <w:rFonts w:ascii="Times New Roman" w:cs="Times New Roman" w:eastAsia="Times New Roman" w:hAnsi="Times New Roman"/>
          <w:sz w:val="17"/>
          <w:szCs w:val="17"/>
          <w:color w:val="auto"/>
        </w:rPr>
      </w:pPr>
    </w:p>
    <w:p>
      <w:pPr>
        <w:ind w:left="640" w:hanging="386"/>
        <w:spacing w:after="0" w:line="289" w:lineRule="auto"/>
        <w:tabs>
          <w:tab w:leader="none" w:pos="69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Insider seeking to adopt a Trading Plan must enter into such Trading Plan in good faith and not as a part of a plan or scheme to evade the prohibitions of any insider trading laws, rules or regulations and the Insider must act in good faith for the duration of the Trading Plan.</w:t>
      </w:r>
    </w:p>
    <w:p>
      <w:pPr>
        <w:spacing w:after="0" w:line="144" w:lineRule="exact"/>
        <w:rPr>
          <w:rFonts w:ascii="Times New Roman" w:cs="Times New Roman" w:eastAsia="Times New Roman" w:hAnsi="Times New Roman"/>
          <w:sz w:val="17"/>
          <w:szCs w:val="17"/>
          <w:color w:val="auto"/>
        </w:rPr>
      </w:pPr>
    </w:p>
    <w:p>
      <w:pPr>
        <w:ind w:left="640" w:hanging="386"/>
        <w:spacing w:after="0" w:line="289" w:lineRule="auto"/>
        <w:tabs>
          <w:tab w:leader="none" w:pos="56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Insider may enter into or amend a Trading Plan outside of a trading window described in Section 10 above or during any quarterly or special blackout periods.</w:t>
      </w:r>
    </w:p>
    <w:p>
      <w:pPr>
        <w:spacing w:after="0" w:line="144" w:lineRule="exact"/>
        <w:rPr>
          <w:rFonts w:ascii="Times New Roman" w:cs="Times New Roman" w:eastAsia="Times New Roman" w:hAnsi="Times New Roman"/>
          <w:sz w:val="17"/>
          <w:szCs w:val="17"/>
          <w:color w:val="auto"/>
        </w:rPr>
      </w:pPr>
    </w:p>
    <w:p>
      <w:pPr>
        <w:jc w:val="both"/>
        <w:ind w:left="640" w:hanging="386"/>
        <w:spacing w:after="0" w:line="264" w:lineRule="auto"/>
        <w:tabs>
          <w:tab w:leader="none" w:pos="65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or overlapping Trading Plans are prohibited, subject to certain exceptions. A Trading Plan providing for an eligible sell-to-cover transaction will not be considered an outstanding or additional Trading Plan. Additionally, a plan participant may adopt a new Trading Plan to replace an existing Trading Plan before the scheduled termination date of such existing Trading Plan so long as the first scheduled trade under the new Trading Plan does not occur prior to the last scheduled trade(s) of the existing Trading Plan and otherwise complies with these Guidelines and any other requirements established by the Compliance Officer.</w:t>
      </w:r>
    </w:p>
    <w:p>
      <w:pPr>
        <w:spacing w:after="0" w:line="166" w:lineRule="exact"/>
        <w:rPr>
          <w:rFonts w:ascii="Times New Roman" w:cs="Times New Roman" w:eastAsia="Times New Roman" w:hAnsi="Times New Roman"/>
          <w:sz w:val="17"/>
          <w:szCs w:val="17"/>
          <w:color w:val="auto"/>
        </w:rPr>
      </w:pPr>
    </w:p>
    <w:p>
      <w:pPr>
        <w:jc w:val="both"/>
        <w:ind w:left="640" w:hanging="386"/>
        <w:spacing w:after="0" w:line="265" w:lineRule="auto"/>
        <w:tabs>
          <w:tab w:leader="none" w:pos="70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Insiders are limited to one “single-trade” Trading Plan in any consecutive 12-month period. A “single-trade” Trading Plan is generally one which is designed to effect an open-market sale (or purchase) of the total amount of the securities subject to the Trading Plan in a single transaction. A sell-to-cover transaction, which authorizes a sale by a broker of only such securities necessary to satisfy tax withholding obligations arising from the vesting of a Company compensatory award, is generally exempt from the limitation on “single-trade” Trading Plans.</w:t>
      </w:r>
    </w:p>
    <w:p>
      <w:pPr>
        <w:spacing w:after="0" w:line="165" w:lineRule="exact"/>
        <w:rPr>
          <w:rFonts w:ascii="Times New Roman" w:cs="Times New Roman" w:eastAsia="Times New Roman" w:hAnsi="Times New Roman"/>
          <w:sz w:val="17"/>
          <w:szCs w:val="17"/>
          <w:color w:val="auto"/>
        </w:rPr>
      </w:pPr>
    </w:p>
    <w:p>
      <w:pPr>
        <w:ind w:left="640" w:hanging="386"/>
        <w:spacing w:after="0" w:line="289" w:lineRule="auto"/>
        <w:tabs>
          <w:tab w:leader="none" w:pos="72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Section 16 Individuals, Form 4 filings reporting transactions effected under a Trading Plan will indicate that the reported transaction(s) was made pursuant to a Trading Plan.</w:t>
      </w:r>
    </w:p>
    <w:p>
      <w:pPr>
        <w:spacing w:after="0" w:line="102" w:lineRule="exact"/>
        <w:rPr>
          <w:rFonts w:ascii="Times New Roman" w:cs="Times New Roman" w:eastAsia="Times New Roman" w:hAnsi="Times New Roman"/>
          <w:sz w:val="17"/>
          <w:szCs w:val="17"/>
          <w:color w:val="auto"/>
        </w:rPr>
      </w:pPr>
    </w:p>
    <w:p>
      <w:pPr>
        <w:ind w:left="260" w:hanging="260"/>
        <w:spacing w:after="0" w:line="289" w:lineRule="auto"/>
        <w:tabs>
          <w:tab w:leader="none" w:pos="2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reserves the right to reject any Trading Plan which, in its judgment, does not satisfy the requirements above or that generally does not comply with the provisions of Rule 10b5-1 of the Exchange Act.</w:t>
      </w:r>
    </w:p>
    <w:p>
      <w:pPr>
        <w:spacing w:after="0" w:line="200" w:lineRule="exact"/>
        <w:rPr>
          <w:sz w:val="20"/>
          <w:szCs w:val="20"/>
          <w:color w:val="auto"/>
        </w:rPr>
      </w:pPr>
    </w:p>
    <w:p>
      <w:pPr>
        <w:spacing w:after="0" w:line="3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20"/>
          </w:cols>
          <w:pgMar w:left="560" w:top="1339"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900" w:type="dxa"/>
            <w:vAlign w:val="bottom"/>
            <w:gridSpan w:val="3"/>
          </w:tcPr>
          <w:p>
            <w:pPr>
              <w:jc w:val="center"/>
              <w:ind w:right="3229"/>
              <w:spacing w:after="0"/>
              <w:rPr>
                <w:sz w:val="20"/>
                <w:szCs w:val="20"/>
                <w:color w:val="auto"/>
              </w:rPr>
            </w:pPr>
            <w:r>
              <w:rPr>
                <w:rFonts w:ascii="Times New Roman" w:cs="Times New Roman" w:eastAsia="Times New Roman" w:hAnsi="Times New Roman"/>
                <w:sz w:val="14"/>
                <w:szCs w:val="14"/>
                <w:b w:val="1"/>
                <w:bCs w:val="1"/>
                <w:color w:val="auto"/>
              </w:rPr>
              <w:t>CANNAE HOLDINGS, INC.</w:t>
            </w:r>
          </w:p>
        </w:tc>
      </w:tr>
      <w:tr>
        <w:trPr>
          <w:trHeight w:val="170"/>
        </w:trPr>
        <w:tc>
          <w:tcPr>
            <w:tcW w:w="3280" w:type="dxa"/>
            <w:vAlign w:val="bottom"/>
          </w:tcPr>
          <w:p>
            <w:pPr>
              <w:spacing w:after="0"/>
              <w:rPr>
                <w:sz w:val="14"/>
                <w:szCs w:val="14"/>
                <w:color w:val="auto"/>
              </w:rPr>
            </w:pPr>
          </w:p>
        </w:tc>
        <w:tc>
          <w:tcPr>
            <w:tcW w:w="7900" w:type="dxa"/>
            <w:vAlign w:val="bottom"/>
            <w:gridSpan w:val="3"/>
          </w:tcPr>
          <w:p>
            <w:pPr>
              <w:jc w:val="center"/>
              <w:ind w:right="3209"/>
              <w:spacing w:after="0"/>
              <w:rPr>
                <w:sz w:val="20"/>
                <w:szCs w:val="20"/>
                <w:color w:val="auto"/>
              </w:rPr>
            </w:pPr>
            <w:r>
              <w:rPr>
                <w:rFonts w:ascii="Times New Roman" w:cs="Times New Roman" w:eastAsia="Times New Roman" w:hAnsi="Times New Roman"/>
                <w:sz w:val="14"/>
                <w:szCs w:val="14"/>
                <w:b w:val="1"/>
                <w:bCs w:val="1"/>
                <w:color w:val="auto"/>
              </w:rPr>
              <w:t>List of Subsidiaries December 31, 2024</w:t>
            </w:r>
          </w:p>
        </w:tc>
      </w:tr>
      <w:tr>
        <w:trPr>
          <w:trHeight w:val="186"/>
        </w:trPr>
        <w:tc>
          <w:tcPr>
            <w:tcW w:w="3280" w:type="dxa"/>
            <w:vAlign w:val="bottom"/>
          </w:tcPr>
          <w:p>
            <w:pPr>
              <w:spacing w:after="0"/>
              <w:rPr>
                <w:sz w:val="16"/>
                <w:szCs w:val="16"/>
                <w:color w:val="auto"/>
              </w:rPr>
            </w:pPr>
          </w:p>
        </w:tc>
        <w:tc>
          <w:tcPr>
            <w:tcW w:w="7900" w:type="dxa"/>
            <w:vAlign w:val="bottom"/>
            <w:gridSpan w:val="3"/>
          </w:tcPr>
          <w:p>
            <w:pPr>
              <w:jc w:val="center"/>
              <w:ind w:right="3209"/>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r>
      <w:tr>
        <w:trPr>
          <w:trHeight w:val="382"/>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4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Cannae Holdings, LLC</w:t>
            </w:r>
          </w:p>
        </w:tc>
        <w:tc>
          <w:tcPr>
            <w:tcW w:w="3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DNB Holdco, LLC</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Cannae Funding D, LLC</w:t>
            </w:r>
          </w:p>
        </w:tc>
        <w:tc>
          <w:tcPr>
            <w:tcW w:w="3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Dun &amp; Bradstreet Holdings, Inc.</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Cannae Funding A, LLC</w:t>
            </w:r>
          </w:p>
        </w:tc>
        <w:tc>
          <w:tcPr>
            <w:tcW w:w="3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Alight, Inc.</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Black Knight Football Club US, LP</w:t>
            </w:r>
          </w:p>
        </w:tc>
        <w:tc>
          <w:tcPr>
            <w:tcW w:w="3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BGPT Catalyst, L.P.</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RG Group Holdco, LLC</w:t>
            </w:r>
          </w:p>
        </w:tc>
        <w:tc>
          <w:tcPr>
            <w:tcW w:w="3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99 Restaurants Holdings, LLC</w:t>
            </w:r>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99 Restaurants, LLC</w:t>
            </w:r>
          </w:p>
        </w:tc>
        <w:tc>
          <w:tcPr>
            <w:tcW w:w="3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20"/>
          </w:cols>
          <w:pgMar w:left="360" w:top="727"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333-235303 on Form S-3 and Registration Statement Nos. 333-221694 and 333-281402 on Form S-8 of our reports dated February 27, 2025 relating to the financial statements of Cannae Holdings, Inc. and the effectiveness of Cannae Holdings, Inc.’s internal control over financial reporting appearing in this Annual Report on Form 10-K for the year ended December 31,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11280"/>
          </w:cols>
          <w:pgMar w:left="300" w:top="727" w:right="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(No. 333-235303) on Form S-3, (No. 333-221694) on Form S-8 and (No. 333-281402) on form S-8 of Cannae Holdings, Inc. of our report dated February 21, 2025, with respect to the consolidated financial statements of Dun &amp; Bradstreet Holdings, Inc., and the effectiveness of internal control over financial reporting, which report appears in the annual report on Form 10-K of Cannae Holdings, Inc.</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11280"/>
          </w:cols>
          <w:pgMar w:left="300" w:top="727"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333-235303) of Cannae Holdings, Inc.</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333-221694) pertaining to the 2017 Omnibus Incentive Plan of Cannae Holdings, Inc.</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333-281402) of Cannae Holdings, Inc.</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 dated February 27, 2025, with respect to the consolidated financial statements of Alight, Inc., included in the Annual Report (Form 10-K) of Alight, Inc. for the year ended December 31,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2025</w:t>
      </w:r>
    </w:p>
    <w:p>
      <w:pPr>
        <w:sectPr>
          <w:pgSz w:w="11900" w:h="16838" w:orient="portrait"/>
          <w:cols w:equalWidth="0" w:num="1">
            <w:col w:w="11280"/>
          </w:cols>
          <w:pgMar w:left="300" w:top="727"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Ryan R. Caswell, certify that:</w:t>
      </w:r>
    </w:p>
    <w:p>
      <w:pPr>
        <w:spacing w:after="0" w:line="200" w:lineRule="exact"/>
        <w:rPr>
          <w:sz w:val="20"/>
          <w:szCs w:val="20"/>
          <w:color w:val="auto"/>
        </w:rPr>
      </w:pPr>
    </w:p>
    <w:p>
      <w:pPr>
        <w:ind w:left="140" w:hanging="135"/>
        <w:spacing w:after="0"/>
        <w:tabs>
          <w:tab w:leader="none" w:pos="1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Cannae Holdings, Inc.;</w:t>
      </w:r>
    </w:p>
    <w:p>
      <w:pPr>
        <w:spacing w:after="0" w:line="199"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4"/>
          <w:szCs w:val="14"/>
          <w:color w:val="auto"/>
        </w:rPr>
      </w:pPr>
    </w:p>
    <w:p>
      <w:pPr>
        <w:ind w:left="700" w:right="100" w:hanging="357"/>
        <w:spacing w:after="0" w:line="239" w:lineRule="auto"/>
        <w:tabs>
          <w:tab w:leader="none" w:pos="7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4"/>
          <w:szCs w:val="14"/>
          <w:color w:val="auto"/>
        </w:rPr>
      </w:pPr>
    </w:p>
    <w:p>
      <w:pPr>
        <w:ind w:left="700" w:right="80" w:hanging="361"/>
        <w:spacing w:after="0" w:line="239" w:lineRule="auto"/>
        <w:tabs>
          <w:tab w:leader="none" w:pos="7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4"/>
          <w:szCs w:val="14"/>
          <w:color w:val="auto"/>
        </w:rPr>
      </w:pPr>
    </w:p>
    <w:p>
      <w:pPr>
        <w:ind w:left="700" w:right="80" w:hanging="357"/>
        <w:spacing w:after="0" w:line="239" w:lineRule="auto"/>
        <w:tabs>
          <w:tab w:leader="none" w:pos="7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4"/>
          <w:szCs w:val="14"/>
          <w:color w:val="auto"/>
        </w:rPr>
      </w:pPr>
    </w:p>
    <w:p>
      <w:pPr>
        <w:ind w:left="700" w:right="100" w:hanging="361"/>
        <w:spacing w:after="0" w:line="239" w:lineRule="auto"/>
        <w:tabs>
          <w:tab w:leader="none" w:pos="700"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2" w:lineRule="exact"/>
        <w:rPr>
          <w:rFonts w:ascii="Times New Roman" w:cs="Times New Roman" w:eastAsia="Times New Roman" w:hAnsi="Times New Roman"/>
          <w:sz w:val="14"/>
          <w:szCs w:val="14"/>
          <w:color w:val="auto"/>
        </w:rPr>
      </w:pPr>
    </w:p>
    <w:p>
      <w:pPr>
        <w:ind w:firstLine="5"/>
        <w:spacing w:after="0" w:line="287" w:lineRule="auto"/>
        <w:tabs>
          <w:tab w:leader="none" w:pos="14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Times New Roman" w:cs="Times New Roman" w:eastAsia="Times New Roman" w:hAnsi="Times New Roman"/>
          <w:sz w:val="14"/>
          <w:szCs w:val="14"/>
          <w:color w:val="auto"/>
        </w:rPr>
      </w:pPr>
    </w:p>
    <w:p>
      <w:pPr>
        <w:ind w:left="700" w:right="80" w:hanging="458"/>
        <w:spacing w:after="0" w:line="239" w:lineRule="auto"/>
        <w:tabs>
          <w:tab w:leader="none" w:pos="70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4"/>
          <w:szCs w:val="14"/>
          <w:color w:val="auto"/>
        </w:rPr>
      </w:pPr>
    </w:p>
    <w:p>
      <w:pPr>
        <w:ind w:left="700" w:hanging="458"/>
        <w:spacing w:after="0"/>
        <w:tabs>
          <w:tab w:leader="none" w:pos="70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2025</w:t>
      </w:r>
    </w:p>
    <w:p>
      <w:pPr>
        <w:spacing w:after="0" w:line="21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33413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Ryan R. Caswell</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President and Principal Executive Officer</w:t>
      </w:r>
    </w:p>
    <w:p>
      <w:pPr>
        <w:sectPr>
          <w:pgSz w:w="11900" w:h="16838" w:orient="portrait"/>
          <w:cols w:equalWidth="0" w:num="1">
            <w:col w:w="11280"/>
          </w:cols>
          <w:pgMar w:left="300" w:top="727"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Bryan D. Coy, certify that:</w:t>
      </w:r>
    </w:p>
    <w:p>
      <w:pPr>
        <w:spacing w:after="0" w:line="200" w:lineRule="exact"/>
        <w:rPr>
          <w:sz w:val="20"/>
          <w:szCs w:val="20"/>
          <w:color w:val="auto"/>
        </w:rPr>
      </w:pPr>
    </w:p>
    <w:p>
      <w:pPr>
        <w:ind w:left="140" w:hanging="135"/>
        <w:spacing w:after="0"/>
        <w:tabs>
          <w:tab w:leader="none" w:pos="1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Cannae Holdings, Inc.;</w:t>
      </w:r>
    </w:p>
    <w:p>
      <w:pPr>
        <w:spacing w:after="0" w:line="199"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4"/>
          <w:szCs w:val="14"/>
          <w:color w:val="auto"/>
        </w:rPr>
      </w:pPr>
    </w:p>
    <w:p>
      <w:pPr>
        <w:ind w:left="700" w:right="100" w:hanging="357"/>
        <w:spacing w:after="0" w:line="239" w:lineRule="auto"/>
        <w:tabs>
          <w:tab w:leader="none" w:pos="7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4"/>
          <w:szCs w:val="14"/>
          <w:color w:val="auto"/>
        </w:rPr>
      </w:pPr>
    </w:p>
    <w:p>
      <w:pPr>
        <w:ind w:left="700" w:right="80" w:hanging="361"/>
        <w:spacing w:after="0" w:line="239" w:lineRule="auto"/>
        <w:tabs>
          <w:tab w:leader="none" w:pos="7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4"/>
          <w:szCs w:val="14"/>
          <w:color w:val="auto"/>
        </w:rPr>
      </w:pPr>
    </w:p>
    <w:p>
      <w:pPr>
        <w:ind w:left="700" w:right="80" w:hanging="357"/>
        <w:spacing w:after="0" w:line="239" w:lineRule="auto"/>
        <w:tabs>
          <w:tab w:leader="none" w:pos="7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4"/>
          <w:szCs w:val="14"/>
          <w:color w:val="auto"/>
        </w:rPr>
      </w:pPr>
    </w:p>
    <w:p>
      <w:pPr>
        <w:ind w:left="700" w:right="100" w:hanging="361"/>
        <w:spacing w:after="0" w:line="239" w:lineRule="auto"/>
        <w:tabs>
          <w:tab w:leader="none" w:pos="700"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2" w:lineRule="exact"/>
        <w:rPr>
          <w:rFonts w:ascii="Times New Roman" w:cs="Times New Roman" w:eastAsia="Times New Roman" w:hAnsi="Times New Roman"/>
          <w:sz w:val="14"/>
          <w:szCs w:val="14"/>
          <w:color w:val="auto"/>
        </w:rPr>
      </w:pPr>
    </w:p>
    <w:p>
      <w:pPr>
        <w:ind w:firstLine="5"/>
        <w:spacing w:after="0" w:line="287" w:lineRule="auto"/>
        <w:tabs>
          <w:tab w:leader="none" w:pos="14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7" w:lineRule="exact"/>
        <w:rPr>
          <w:rFonts w:ascii="Times New Roman" w:cs="Times New Roman" w:eastAsia="Times New Roman" w:hAnsi="Times New Roman"/>
          <w:sz w:val="14"/>
          <w:szCs w:val="14"/>
          <w:color w:val="auto"/>
        </w:rPr>
      </w:pPr>
    </w:p>
    <w:p>
      <w:pPr>
        <w:ind w:left="700" w:right="80" w:hanging="458"/>
        <w:spacing w:after="0" w:line="239" w:lineRule="auto"/>
        <w:tabs>
          <w:tab w:leader="none" w:pos="7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4"/>
          <w:szCs w:val="14"/>
          <w:color w:val="auto"/>
        </w:rPr>
      </w:pPr>
    </w:p>
    <w:p>
      <w:pPr>
        <w:ind w:left="700" w:hanging="458"/>
        <w:spacing w:after="0"/>
        <w:tabs>
          <w:tab w:leader="none" w:pos="7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2025</w:t>
      </w:r>
    </w:p>
    <w:p>
      <w:pPr>
        <w:spacing w:after="0" w:line="2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15875</wp:posOffset>
            </wp:positionV>
            <wp:extent cx="32200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Bryan D. Coy</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Chief Financial Officer and Principal Financial Officer</w:t>
      </w:r>
    </w:p>
    <w:p>
      <w:pPr>
        <w:sectPr>
          <w:pgSz w:w="11900" w:h="16838" w:orient="portrait"/>
          <w:cols w:equalWidth="0" w:num="1">
            <w:col w:w="11280"/>
          </w:cols>
          <w:pgMar w:left="300" w:top="727" w:right="3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Principal Executive Officer of Cannae Holdings, Inc., a Nevada corporation (the “Company”), and hereby further certifies as follows.</w:t>
      </w:r>
    </w:p>
    <w:p>
      <w:pPr>
        <w:spacing w:after="0" w:line="177" w:lineRule="exact"/>
        <w:rPr>
          <w:sz w:val="20"/>
          <w:szCs w:val="20"/>
          <w:color w:val="auto"/>
        </w:rPr>
      </w:pPr>
    </w:p>
    <w:p>
      <w:pPr>
        <w:ind w:left="480" w:right="40" w:hanging="256"/>
        <w:spacing w:after="0"/>
        <w:tabs>
          <w:tab w:leader="none" w:pos="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348" w:lineRule="exact"/>
        <w:rPr>
          <w:rFonts w:ascii="Times New Roman" w:cs="Times New Roman" w:eastAsia="Times New Roman" w:hAnsi="Times New Roman"/>
          <w:sz w:val="14"/>
          <w:szCs w:val="14"/>
          <w:color w:val="auto"/>
        </w:rPr>
      </w:pPr>
    </w:p>
    <w:p>
      <w:pPr>
        <w:ind w:left="20" w:right="40" w:firstLine="204"/>
        <w:spacing w:after="0" w:line="572" w:lineRule="auto"/>
        <w:tabs>
          <w:tab w:leader="none" w:pos="48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2025</w:t>
      </w:r>
    </w:p>
    <w:p>
      <w:pPr>
        <w:spacing w:after="0" w:line="219"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15875</wp:posOffset>
            </wp:positionV>
            <wp:extent cx="32943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3294380" cy="698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Ryan R. Caswell</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President and Principal Executive Officer</w:t>
      </w:r>
    </w:p>
    <w:p>
      <w:pPr>
        <w:sectPr>
          <w:pgSz w:w="11900" w:h="16838" w:orient="portrait"/>
          <w:cols w:equalWidth="0" w:num="1">
            <w:col w:w="11280"/>
          </w:cols>
          <w:pgMar w:left="300" w:top="727"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Financial Officer of Cannae Holdings, Inc., a Nevada corporation (the “Company”), and hereby further certifies as follows.</w:t>
      </w:r>
    </w:p>
    <w:p>
      <w:pPr>
        <w:spacing w:after="0" w:line="177" w:lineRule="exact"/>
        <w:rPr>
          <w:sz w:val="20"/>
          <w:szCs w:val="20"/>
          <w:color w:val="auto"/>
        </w:rPr>
      </w:pPr>
    </w:p>
    <w:p>
      <w:pPr>
        <w:ind w:left="480" w:right="40" w:hanging="266"/>
        <w:spacing w:after="0"/>
        <w:tabs>
          <w:tab w:leader="none" w:pos="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348" w:lineRule="exact"/>
        <w:rPr>
          <w:rFonts w:ascii="Times New Roman" w:cs="Times New Roman" w:eastAsia="Times New Roman" w:hAnsi="Times New Roman"/>
          <w:sz w:val="14"/>
          <w:szCs w:val="14"/>
          <w:color w:val="auto"/>
        </w:rPr>
      </w:pPr>
    </w:p>
    <w:p>
      <w:pPr>
        <w:ind w:left="480" w:hanging="266"/>
        <w:spacing w:after="0"/>
        <w:tabs>
          <w:tab w:leader="none" w:pos="4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2025</w:t>
      </w:r>
    </w:p>
    <w:p>
      <w:pPr>
        <w:spacing w:after="0" w:line="21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15875</wp:posOffset>
            </wp:positionV>
            <wp:extent cx="31597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Bryan D. Coy</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Chief Financial Officer and Principal Financial Officer</w:t>
      </w:r>
    </w:p>
    <w:p>
      <w:pPr>
        <w:sectPr>
          <w:pgSz w:w="11900" w:h="16838" w:orient="portrait"/>
          <w:cols w:equalWidth="0" w:num="1">
            <w:col w:w="11280"/>
          </w:cols>
          <w:pgMar w:left="300" w:top="727"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Dun &amp; Bradstreet Holdings, Inc.</w:t>
      </w:r>
    </w:p>
    <w:p>
      <w:pPr>
        <w:spacing w:after="0" w:line="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40"/>
          </w:cols>
          <w:pgMar w:left="1440" w:top="645" w:right="31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Dun &amp; Bradstreet Holdings,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Dun &amp; Bradstreet Holdings, Inc. and subsidiaries (the Company) as of December 31, 2024 and 2023, the related consolidated statements of operations and comprehensive income (loss), stockholders’ equity (deficit),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632" w:right="319" w:bottom="1440" w:gutter="0" w:footer="0" w:header="0"/>
        </w:sectPr>
      </w:pPr>
    </w:p>
    <w:bookmarkStart w:id="140" w:name="page141"/>
    <w:bookmarkEnd w:id="140"/>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Sufficiency of audit evidence over IT systems used in the revenue recognition process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discussed in Note 17 to the consolidated financial statements, the Company generated $1,672.3 million of revenue in North America for the year-ended December 31, 2024. The processing and recording of revenue in North America is reliant upon multiple information technology (IT) systems.</w:t>
      </w:r>
    </w:p>
    <w:p>
      <w:pPr>
        <w:spacing w:after="0" w:line="1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identified the sufficiency of audit evidence over IT systems used in the revenue recognition process in North America as a critical audit matter. Subjective auditor judgment was required to evaluate the sufficiency of audit evidence obtained because of the complexity of the IT environment related to the revenue recognition process. Specifically, obtaining an understanding of the systems used in the Company’s recognition of revenue and evaluating the related internal controls required the involvement of professionals with specialized skills and knowledge.</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performed risk assessment procedures and applied auditor judgment to determine the nature and extent of procedures to be performed over revenue. We 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the general IT and IT application controls related to recording revenue in North America.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audit evidence.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634" w:right="319" w:bottom="1440" w:gutter="0" w:footer="0" w:header="0"/>
        </w:sectPr>
      </w:pPr>
    </w:p>
    <w:bookmarkStart w:id="141" w:name="page142"/>
    <w:bookmarkEnd w:id="141"/>
    <w:p>
      <w:pPr>
        <w:ind w:left="4760"/>
        <w:spacing w:after="0"/>
        <w:rPr>
          <w:sz w:val="20"/>
          <w:szCs w:val="20"/>
          <w:color w:val="auto"/>
        </w:rPr>
      </w:pPr>
      <w:r>
        <w:rPr>
          <w:rFonts w:ascii="Times New Roman" w:cs="Times New Roman" w:eastAsia="Times New Roman" w:hAnsi="Times New Roman"/>
          <w:sz w:val="13"/>
          <w:szCs w:val="13"/>
          <w:b w:val="1"/>
          <w:bCs w:val="1"/>
          <w:color w:val="auto"/>
        </w:rPr>
        <w:t>Dun &amp; Bradstreet Holdings,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except per share data)</w:t>
      </w:r>
    </w:p>
    <w:p>
      <w:pPr>
        <w:sectPr>
          <w:pgSz w:w="11900" w:h="16838" w:orient="portrait"/>
          <w:cols w:equalWidth="0" w:num="1">
            <w:col w:w="11280"/>
          </w:cols>
          <w:pgMar w:left="300" w:top="646" w:right="3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Cost of services (exclusive of depreciation and amortization)</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Operating costs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Interest income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09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income (expense) - net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Non-operating income (expense)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07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3" w:lineRule="exact"/>
        <w:rPr>
          <w:sz w:val="20"/>
          <w:szCs w:val="20"/>
          <w:color w:val="auto"/>
        </w:rPr>
      </w:pPr>
    </w:p>
    <w:p>
      <w:pPr>
        <w:ind w:left="20" w:right="1980"/>
        <w:spacing w:after="0" w:line="312" w:lineRule="auto"/>
        <w:rPr>
          <w:sz w:val="20"/>
          <w:szCs w:val="20"/>
          <w:color w:val="auto"/>
        </w:rPr>
      </w:pPr>
      <w:r>
        <w:rPr>
          <w:rFonts w:ascii="Times New Roman" w:cs="Times New Roman" w:eastAsia="Times New Roman" w:hAnsi="Times New Roman"/>
          <w:sz w:val="11"/>
          <w:szCs w:val="11"/>
          <w:color w:val="auto"/>
        </w:rPr>
        <w:t>Income (loss) before provision (benefit) for income taxes and equity in net income of affiliates Less: 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5180" cy="1009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Equity in net income of affiliates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7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Less: net (income) loss attributable to the non-controlling interest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55180"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55180" cy="1212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Basic earnings (loss) per share of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Diluted earnings (loss) per share of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 net of income taxes: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55180" cy="1009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Foreign currency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55180" cy="147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xml:space="preserve">Foreign currency translation adjustments, net of tax </w:t>
      </w:r>
      <w:r>
        <w:rPr>
          <w:rFonts w:ascii="Times New Roman" w:cs="Times New Roman" w:eastAsia="Times New Roman" w:hAnsi="Times New Roman"/>
          <w:sz w:val="14"/>
          <w:szCs w:val="14"/>
          <w:color w:val="auto"/>
          <w:vertAlign w:val="superscript"/>
        </w:rPr>
        <w:t>(1)</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xml:space="preserve">Net investment hedge derivative, net of tax </w:t>
      </w:r>
      <w:r>
        <w:rPr>
          <w:rFonts w:ascii="Times New Roman" w:cs="Times New Roman" w:eastAsia="Times New Roman" w:hAnsi="Times New Roman"/>
          <w:sz w:val="14"/>
          <w:szCs w:val="1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5180" cy="147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Cash flow hedge derivative, net of tax expense (benefit) </w:t>
      </w:r>
      <w:r>
        <w:rPr>
          <w:rFonts w:ascii="Times New Roman" w:cs="Times New Roman" w:eastAsia="Times New Roman" w:hAnsi="Times New Roman"/>
          <w:sz w:val="14"/>
          <w:szCs w:val="14"/>
          <w:color w:val="auto"/>
          <w:vertAlign w:val="superscript"/>
        </w:rPr>
        <w:t>(3)</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Defined benefit pension plans: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r>
      <w:tr>
        <w:trPr>
          <w:trHeight w:val="150"/>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2,381.7</w:t>
            </w:r>
          </w:p>
        </w:tc>
        <w:tc>
          <w:tcPr>
            <w:tcW w:w="140" w:type="dxa"/>
            <w:vAlign w:val="bottom"/>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14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899.7</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757.4</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709.6</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577.6</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587.2</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153"/>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2,186.9</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2,173.7</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2,074.7</w:t>
            </w:r>
          </w:p>
        </w:tc>
      </w:tr>
      <w:tr>
        <w:trPr>
          <w:trHeight w:val="150"/>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194.8</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149.9</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53"/>
        </w:trPr>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(256.1)</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(221.4)</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(177.1)</w:t>
            </w:r>
          </w:p>
        </w:tc>
      </w:tr>
      <w:tr>
        <w:trPr>
          <w:trHeight w:val="144"/>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52"/>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69"/>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7"/>
        </w:trPr>
        <w:tc>
          <w:tcPr>
            <w:tcW w:w="9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62"/>
        </w:trPr>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53"/>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67"/>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318"/>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r>
      <w:tr>
        <w:trPr>
          <w:trHeight w:val="159"/>
        </w:trPr>
        <w:tc>
          <w:tcPr>
            <w:tcW w:w="9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w:t>
            </w:r>
          </w:p>
        </w:tc>
      </w:tr>
      <w:tr>
        <w:trPr>
          <w:trHeight w:val="318"/>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$ 4.1</w:t>
            </w:r>
          </w:p>
        </w:tc>
      </w:tr>
      <w:tr>
        <w:trPr>
          <w:trHeight w:val="393"/>
        </w:trPr>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$ 29.9</w:t>
            </w:r>
          </w:p>
        </w:tc>
        <w:tc>
          <w:tcPr>
            <w:tcW w:w="1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(124.6)</w:t>
            </w:r>
          </w:p>
        </w:tc>
      </w:tr>
      <w:tr>
        <w:trPr>
          <w:trHeight w:val="233"/>
        </w:trPr>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233"/>
        </w:trPr>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r>
    </w:tbl>
    <w:p>
      <w:pPr>
        <w:spacing w:after="0" w:line="179" w:lineRule="exact"/>
        <w:rPr>
          <w:sz w:val="20"/>
          <w:szCs w:val="20"/>
          <w:color w:val="auto"/>
        </w:rPr>
      </w:pPr>
    </w:p>
    <w:p>
      <w:pPr>
        <w:sectPr>
          <w:pgSz w:w="11900" w:h="16838" w:orient="portrait"/>
          <w:cols w:equalWidth="0" w:num="2">
            <w:col w:w="6280" w:space="720"/>
            <w:col w:w="4280"/>
          </w:cols>
          <w:pgMar w:left="300" w:top="646" w:right="31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Prior service credit (cost), net of tax expense (benefit) </w:t>
            </w:r>
            <w:r>
              <w:rPr>
                <w:rFonts w:ascii="Times New Roman" w:cs="Times New Roman" w:eastAsia="Times New Roman" w:hAnsi="Times New Roman"/>
                <w:sz w:val="14"/>
                <w:szCs w:val="14"/>
                <w:color w:val="auto"/>
                <w:vertAlign w:val="superscript"/>
              </w:rPr>
              <w:t>(4)</w:t>
            </w: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233"/>
        </w:trPr>
        <w:tc>
          <w:tcPr>
            <w:tcW w:w="7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 xml:space="preserve">Net actuarial gain (loss), net of tax expense (benefit) </w:t>
            </w:r>
            <w:r>
              <w:rPr>
                <w:rFonts w:ascii="Times New Roman" w:cs="Times New Roman" w:eastAsia="Times New Roman" w:hAnsi="Times New Roman"/>
                <w:sz w:val="14"/>
                <w:szCs w:val="14"/>
                <w:color w:val="auto"/>
                <w:vertAlign w:val="superscript"/>
              </w:rPr>
              <w:t>(5)</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0" w:type="dxa"/>
            <w:vAlign w:val="bottom"/>
          </w:tcPr>
          <w:p>
            <w:pPr>
              <w:spacing w:after="0"/>
              <w:rPr>
                <w:sz w:val="1"/>
                <w:szCs w:val="1"/>
                <w:color w:val="auto"/>
              </w:rPr>
            </w:pPr>
          </w:p>
        </w:tc>
      </w:tr>
      <w:tr>
        <w:trPr>
          <w:trHeight w:val="16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 net of tax</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(127.8)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net of tax</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100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(72.6)</w:t>
            </w:r>
          </w:p>
        </w:tc>
        <w:tc>
          <w:tcPr>
            <w:tcW w:w="140" w:type="dxa"/>
            <w:vAlign w:val="bottom"/>
          </w:tcPr>
          <w:p>
            <w:pPr>
              <w:spacing w:after="0"/>
              <w:rPr>
                <w:sz w:val="10"/>
                <w:szCs w:val="10"/>
                <w:color w:val="auto"/>
              </w:rPr>
            </w:pPr>
          </w:p>
        </w:tc>
        <w:tc>
          <w:tcPr>
            <w:tcW w:w="98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(62.3)</w:t>
            </w:r>
          </w:p>
        </w:tc>
        <w:tc>
          <w:tcPr>
            <w:tcW w:w="140" w:type="dxa"/>
            <w:vAlign w:val="bottom"/>
          </w:tcPr>
          <w:p>
            <w:pPr>
              <w:spacing w:after="0"/>
              <w:rPr>
                <w:sz w:val="10"/>
                <w:szCs w:val="10"/>
                <w:color w:val="auto"/>
              </w:rPr>
            </w:pPr>
          </w:p>
        </w:tc>
        <w:tc>
          <w:tcPr>
            <w:tcW w:w="1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 (123.7)</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comprehensive (income) loss attributable to the non-controlling interest</w:t>
            </w:r>
          </w:p>
        </w:tc>
        <w:tc>
          <w:tcPr>
            <w:tcW w:w="10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44"/>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 (loss) attributable to Dun &amp; Bradstreet Holdings, Inc.</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4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(121.4)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40" w:hanging="135"/>
        <w:spacing w:after="0"/>
        <w:tabs>
          <w:tab w:leader="none" w:pos="14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$(0.5) million, $7.9 million and $(9.9) million, for the years ended December 31, 2024, 2023 and 2022, respectively.</w:t>
      </w:r>
    </w:p>
    <w:p>
      <w:pPr>
        <w:spacing w:after="0" w:line="11"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$6.4 million, $(4.5) million and $0.9 million for the years ended December 31, 2024, 2023 and 2022, respectively.</w:t>
      </w:r>
    </w:p>
    <w:p>
      <w:pPr>
        <w:spacing w:after="0" w:line="1"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$4.0 million, $(11.5) million and $14.6 million, for the years ended December 31, 2024, 2023 and 2022, respectively.</w:t>
      </w:r>
    </w:p>
    <w:p>
      <w:pPr>
        <w:spacing w:after="0" w:line="65"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$(0.8) million, less than $0.1 million and $(0.1) million for the years ended December 31, 2024, 2023 and 2022, respectively.</w:t>
      </w:r>
    </w:p>
    <w:p>
      <w:pPr>
        <w:spacing w:after="0" w:line="13" w:lineRule="exact"/>
        <w:rPr>
          <w:rFonts w:ascii="Times New Roman" w:cs="Times New Roman" w:eastAsia="Times New Roman" w:hAnsi="Times New Roman"/>
          <w:sz w:val="10"/>
          <w:szCs w:val="10"/>
          <w:color w:val="auto"/>
        </w:rPr>
      </w:pPr>
    </w:p>
    <w:p>
      <w:pPr>
        <w:ind w:left="140" w:hanging="135"/>
        <w:spacing w:after="0"/>
        <w:tabs>
          <w:tab w:leader="none" w:pos="14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 Expense (Benefit) of $2.6 million, $(1.8) million and $(15.6) million for the years ended December 31, 2024, 2023 and 2022, respectively.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accompanying notes are an integral part of the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646" w:right="319" w:bottom="1440" w:gutter="0" w:footer="0" w:header="0"/>
          <w:type w:val="continuous"/>
        </w:sectPr>
      </w:pPr>
    </w:p>
    <w:bookmarkStart w:id="142" w:name="page143"/>
    <w:bookmarkEnd w:id="142"/>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p>
      <w:pPr>
        <w:sectPr>
          <w:pgSz w:w="11900" w:h="16838" w:orient="portrait"/>
          <w:cols w:equalWidth="0" w:num="1">
            <w:col w:w="11280"/>
          </w:cols>
          <w:pgMar w:left="300" w:top="643" w:right="3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Accounts receivable, net of allowance of $25.8 at December 31, 2024 and $20.1 at December 31, 2023 (Notes 4, 11 and 14)</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Prepaid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prepaids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current assets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current assets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Property, plant and equipment, net of accumulated depreciation of $54.6 at December 31, 2024 and $45.7 at December 31, 2023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55180" cy="13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Computer software, net of accumulated amortization of $666.3 at December 31, 2024 and $507.1 at December 31, 2023 (Note 11)</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Goodwill (Notes 11 and 17)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intangibles (Notes 11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costs (Note 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non-current assets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non-current assets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107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Accounts payable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Short-term debt (Note 13)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revenue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accrued and current liabilities (Note 11)</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
          <w:szCs w:val="10"/>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946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55180" cy="946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Long-term pension and postretirement benefits (Note 7)</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Deferred income tax (Note 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Other non-current liabilities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Total liabilities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Commitments and contingencies (Notes 18 and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55180" cy="1079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55180" cy="2019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55180" cy="201930"/>
                    </a:xfrm>
                    <a:prstGeom prst="rect">
                      <a:avLst/>
                    </a:prstGeom>
                    <a:noFill/>
                  </pic:spPr>
                </pic:pic>
              </a:graphicData>
            </a:graphic>
          </wp:anchor>
        </w:drawing>
      </w:r>
    </w:p>
    <w:p>
      <w:pPr>
        <w:spacing w:after="0" w:line="56" w:lineRule="exact"/>
        <w:rPr>
          <w:sz w:val="20"/>
          <w:szCs w:val="20"/>
          <w:color w:val="auto"/>
        </w:rPr>
      </w:pPr>
    </w:p>
    <w:p>
      <w:pPr>
        <w:ind w:left="20" w:right="80"/>
        <w:spacing w:after="0" w:line="249" w:lineRule="auto"/>
        <w:rPr>
          <w:sz w:val="20"/>
          <w:szCs w:val="20"/>
          <w:color w:val="auto"/>
        </w:rPr>
      </w:pPr>
      <w:r>
        <w:rPr>
          <w:rFonts w:ascii="Times New Roman" w:cs="Times New Roman" w:eastAsia="Times New Roman" w:hAnsi="Times New Roman"/>
          <w:sz w:val="10"/>
          <w:szCs w:val="10"/>
          <w:color w:val="auto"/>
        </w:rPr>
        <w:t>Common Stock, $0.0001 par value per share, authorized—2,000,000,000 shares; 443,399,772 shares issued and 441,551,492 shares outstanding at December 31, 2024 and 439,735,256 shares issued and 438,848,336 shares outstanding at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Capital surplus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Treasury Stock, 1,848,280 shares at December 31, 2024 and 886,920 shares at December 31, 2023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87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5518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December 31,</w:t>
      </w:r>
    </w:p>
    <w:p>
      <w:pPr>
        <w:spacing w:after="0" w:line="1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2024</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$ 205.9</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239.6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44.3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93.7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650.4</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91.1</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676.3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3,409.8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3,506.8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169.3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8,105.3</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$ 8,755.7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36195</wp:posOffset>
            </wp:positionV>
            <wp:extent cx="8356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$ 104.3</w:t>
      </w:r>
    </w:p>
    <w:p>
      <w:pPr>
        <w:spacing w:after="0" w:line="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108.0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31.0</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555.9</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208.0</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1,007.2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113.5</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3,497.7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720.9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16510</wp:posOffset>
            </wp:positionV>
            <wp:extent cx="8356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5,441.3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4,394.0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(839.7)</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(9.7)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(246.1)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December 31,</w:t>
      </w:r>
    </w:p>
    <w:p>
      <w:pPr>
        <w:spacing w:after="0" w:line="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2023</w:t>
      </w:r>
    </w:p>
    <w:p>
      <w:pPr>
        <w:spacing w:after="0" w:line="3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$ 188.1</w:t>
      </w:r>
    </w:p>
    <w:p>
      <w:pPr>
        <w:spacing w:after="0" w:line="9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258.0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51.8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100.1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656.3</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102.1</w:t>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666.3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3,445.8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3,915.9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161.7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8,479.6</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$ 9,135.9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36195</wp:posOffset>
            </wp:positionV>
            <wp:extent cx="83566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9"/>
          <w:szCs w:val="9"/>
          <w:color w:val="auto"/>
        </w:rPr>
        <w:t>$ 111.7</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111.9</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32.7</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590.0</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196.1</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1,042.4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color w:val="auto"/>
        </w:rPr>
        <w:t>143.9</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3,512.5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887.3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16510</wp:posOffset>
            </wp:positionV>
            <wp:extent cx="83566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5,704.3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4,429.2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(811.1)</w:t>
      </w:r>
    </w:p>
    <w:p>
      <w:pPr>
        <w:spacing w:after="0" w:line="9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(0.3)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0"/>
          <w:szCs w:val="10"/>
          <w:color w:val="auto"/>
        </w:rPr>
        <w:t>(198.7)</w:t>
      </w:r>
    </w:p>
    <w:p>
      <w:pPr>
        <w:spacing w:after="0" w:line="13" w:lineRule="exact"/>
        <w:rPr>
          <w:sz w:val="20"/>
          <w:szCs w:val="20"/>
          <w:color w:val="auto"/>
        </w:rPr>
      </w:pPr>
    </w:p>
    <w:p>
      <w:pPr>
        <w:sectPr>
          <w:pgSz w:w="11900" w:h="16838" w:orient="portrait"/>
          <w:cols w:equalWidth="0" w:num="3">
            <w:col w:w="8100" w:space="720"/>
            <w:col w:w="940" w:space="560"/>
            <w:col w:w="960"/>
          </w:cols>
          <w:pgMar w:left="300" w:top="643" w:right="3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0"/>
                <w:szCs w:val="10"/>
                <w:color w:val="auto"/>
              </w:rPr>
              <w:t>Total stockholders' equity</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3,298.5</w:t>
            </w:r>
          </w:p>
        </w:tc>
        <w:tc>
          <w:tcPr>
            <w:tcW w:w="2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3,419.1</w:t>
            </w:r>
          </w:p>
        </w:tc>
      </w:tr>
      <w:tr>
        <w:trPr>
          <w:trHeight w:val="129"/>
        </w:trPr>
        <w:tc>
          <w:tcPr>
            <w:tcW w:w="8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Non-controlling interest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200" w:type="dxa"/>
            <w:vAlign w:val="bottom"/>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w:t>
            </w:r>
          </w:p>
        </w:tc>
      </w:tr>
      <w:tr>
        <w:trPr>
          <w:trHeight w:val="124"/>
        </w:trPr>
        <w:tc>
          <w:tcPr>
            <w:tcW w:w="846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equity</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3,314.4</w:t>
            </w:r>
          </w:p>
        </w:tc>
        <w:tc>
          <w:tcPr>
            <w:tcW w:w="20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3,431.6</w:t>
            </w:r>
          </w:p>
        </w:tc>
      </w:tr>
      <w:tr>
        <w:trPr>
          <w:trHeight w:val="154"/>
        </w:trPr>
        <w:tc>
          <w:tcPr>
            <w:tcW w:w="8460" w:type="dxa"/>
            <w:vAlign w:val="bottom"/>
            <w:tcBorders>
              <w:bottom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$ 8,755.7</w:t>
            </w:r>
          </w:p>
        </w:tc>
        <w:tc>
          <w:tcPr>
            <w:tcW w:w="2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$ 9,135.9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643" w:right="319" w:bottom="1440" w:gutter="0" w:footer="0" w:header="0"/>
          <w:type w:val="continuous"/>
        </w:sectPr>
      </w:pPr>
    </w:p>
    <w:bookmarkStart w:id="143" w:name="page144"/>
    <w:bookmarkEnd w:id="143"/>
    <w:p>
      <w:pPr>
        <w:ind w:left="4760"/>
        <w:spacing w:after="0"/>
        <w:rPr>
          <w:sz w:val="20"/>
          <w:szCs w:val="20"/>
          <w:color w:val="auto"/>
        </w:rPr>
      </w:pPr>
      <w:r>
        <w:rPr>
          <w:rFonts w:ascii="Times New Roman" w:cs="Times New Roman" w:eastAsia="Times New Roman" w:hAnsi="Times New Roman"/>
          <w:sz w:val="13"/>
          <w:szCs w:val="13"/>
          <w:b w:val="1"/>
          <w:bCs w:val="1"/>
          <w:color w:val="auto"/>
        </w:rPr>
        <w:t>Dun &amp; Bradstreet Holdings, Inc.</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2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120" w:type="dxa"/>
            <w:vAlign w:val="bottom"/>
          </w:tcPr>
          <w:p>
            <w:pPr>
              <w:spacing w:after="0"/>
              <w:rPr>
                <w:sz w:val="11"/>
                <w:szCs w:val="11"/>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2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provided by (used in) operating activities:</w:t>
            </w:r>
          </w:p>
        </w:tc>
        <w:tc>
          <w:tcPr>
            <w:tcW w:w="8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(24.5)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(43.7)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4.1</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Reconciliation of net income (loss) to net cash provided by (used in) operating activities:</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577.6</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586.8</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587.2</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Amortization of unrecognized pension loss (gain)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Debt early redemption premium expense</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Deferred debt issuance costs amortization and write-off</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Pension settlement charge (gain)</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Equity-based compensation 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Restructuring charge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w:t>
            </w:r>
          </w:p>
        </w:tc>
      </w:tr>
      <w:tr>
        <w:trPr>
          <w:trHeight w:val="143"/>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Restructuring payments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Changes in deferred income taxes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(131.9)</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(151.0)</w:t>
            </w:r>
          </w:p>
        </w:tc>
      </w:tr>
      <w:tr>
        <w:trPr>
          <w:trHeight w:val="197"/>
        </w:trPr>
        <w:tc>
          <w:tcPr>
            <w:tcW w:w="7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receivable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120.9</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prepaid taxes, other prepaids and other current assets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deferred 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accounts payable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accrued payroll</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other accrued and current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(Increase) decrease in other long-term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Increase (decrease) in long-term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w:t>
            </w:r>
          </w:p>
        </w:tc>
      </w:tr>
      <w:tr>
        <w:trPr>
          <w:trHeight w:val="133"/>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Net, other non-cash adjustments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r>
      <w:tr>
        <w:trPr>
          <w:trHeight w:val="13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cash provided by (used in) operating activities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436.9</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452.2</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537.1</w:t>
            </w:r>
          </w:p>
        </w:tc>
      </w:tr>
      <w:tr>
        <w:trPr>
          <w:trHeight w:val="114"/>
        </w:trPr>
        <w:tc>
          <w:tcPr>
            <w:tcW w:w="712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Cash flows provided by (used in) investing activities:</w:t>
            </w: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42"/>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settlements of foreign currency contracts and net investment hedges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expenditures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Additions to computer software and other intangibles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(208.2)</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(205.3)</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investing activities,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24"/>
        </w:trPr>
        <w:tc>
          <w:tcPr>
            <w:tcW w:w="7120" w:type="dxa"/>
            <w:vAlign w:val="bottom"/>
            <w:tcBorders>
              <w:bottom w:val="single" w:sz="8" w:color="CCEEFF"/>
            </w:tcBorders>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Net cash provided by (used in) investing activities</w:t>
            </w:r>
          </w:p>
        </w:tc>
        <w:tc>
          <w:tcPr>
            <w:tcW w:w="84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(219.5)</w:t>
            </w:r>
          </w:p>
        </w:tc>
        <w:tc>
          <w:tcPr>
            <w:tcW w:w="1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(191.8)</w:t>
            </w:r>
          </w:p>
        </w:tc>
        <w:tc>
          <w:tcPr>
            <w:tcW w:w="80" w:type="dxa"/>
            <w:vAlign w:val="bottom"/>
            <w:tcBorders>
              <w:bottom w:val="single" w:sz="8" w:color="CCEEFF"/>
            </w:tcBorders>
          </w:tcPr>
          <w:p>
            <w:pPr>
              <w:spacing w:after="0"/>
              <w:rPr>
                <w:sz w:val="10"/>
                <w:szCs w:val="1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(210.5)</w:t>
            </w:r>
          </w:p>
        </w:tc>
      </w:tr>
      <w:tr>
        <w:trPr>
          <w:trHeight w:val="1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provided by (used in) financing activities:</w:t>
            </w:r>
          </w:p>
        </w:tc>
        <w:tc>
          <w:tcPr>
            <w:tcW w:w="8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 for debt early redemption premiums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paid for repurchase of treasury shares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Payments of dividends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of long term debt</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(420.0)</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Proceeds from borrowings on Credit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515.1</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315.1</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borrowings on Term Loan Facility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Payments of borrowings on Credit Facility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(580.0)</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(540.4)</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(424.8)</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Payments on Term Loan Facility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(3,126.9)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(106.6)</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Payment of debt issuance costs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r>
      <w:tr>
        <w:trPr>
          <w:trHeight w:val="14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for purchase of non-controlling interests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w:t>
            </w:r>
          </w:p>
        </w:tc>
      </w:tr>
      <w:tr>
        <w:trPr>
          <w:trHeight w:val="211"/>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Other financing activities, net </w:t>
            </w:r>
            <w:r>
              <w:rPr>
                <w:rFonts w:ascii="Times New Roman" w:cs="Times New Roman" w:eastAsia="Times New Roman" w:hAnsi="Times New Roman"/>
                <w:sz w:val="12"/>
                <w:szCs w:val="12"/>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w:t>
            </w:r>
          </w:p>
        </w:tc>
      </w:tr>
      <w:tr>
        <w:trPr>
          <w:trHeight w:val="130"/>
        </w:trPr>
        <w:tc>
          <w:tcPr>
            <w:tcW w:w="712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(282.4)</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(281.1)</w:t>
            </w:r>
          </w:p>
        </w:tc>
      </w:tr>
      <w:tr>
        <w:trPr>
          <w:trHeight w:val="124"/>
        </w:trPr>
        <w:tc>
          <w:tcPr>
            <w:tcW w:w="7120" w:type="dxa"/>
            <w:vAlign w:val="bottom"/>
            <w:tcBorders>
              <w:bottom w:val="single" w:sz="8" w:color="CCEEFF"/>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w:t>
            </w:r>
          </w:p>
        </w:tc>
      </w:tr>
      <w:tr>
        <w:trPr>
          <w:trHeight w:val="133"/>
        </w:trPr>
        <w:tc>
          <w:tcPr>
            <w:tcW w:w="71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Increase (decrease) in cash, cash equivalents and restricted cash</w:t>
            </w:r>
          </w:p>
        </w:tc>
        <w:tc>
          <w:tcPr>
            <w:tcW w:w="8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w:t>
            </w:r>
          </w:p>
        </w:tc>
      </w:tr>
      <w:tr>
        <w:trPr>
          <w:trHeight w:val="1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Beginning of Period</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188.1</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208.4</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177.1</w:t>
            </w:r>
          </w:p>
        </w:tc>
      </w:tr>
      <w:tr>
        <w:trPr>
          <w:trHeight w:val="154"/>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and Restricted Cash, End of Period</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34"/>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Reconciliation of cash, cash equivalents and restricted cash</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2"/>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Cash and cash equivalents reported in the condensed consolidated balance sheets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$ 205.9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Restricted cash included within other current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4"/>
        </w:trPr>
        <w:tc>
          <w:tcPr>
            <w:tcW w:w="71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Total cash, cash equivalents and restricted cash reported in the statements of cash flows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$ 188.1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$ 208.4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Cash Paid for:</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Income taxes payments (refunds), net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$ 93.9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$ 100.2</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$ 139.8</w:t>
            </w:r>
          </w:p>
        </w:tc>
      </w:tr>
      <w:tr>
        <w:trPr>
          <w:trHeight w:val="143"/>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Interest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$ 214.5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$ 213.3</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$ 178.5</w:t>
            </w:r>
          </w:p>
        </w:tc>
      </w:tr>
      <w:tr>
        <w:trPr>
          <w:trHeight w:val="134"/>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42"/>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Fair value of acquired assets</w:t>
            </w:r>
          </w:p>
        </w:tc>
        <w:tc>
          <w:tcPr>
            <w:tcW w:w="14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$ 1.3</w:t>
            </w:r>
          </w:p>
        </w:tc>
      </w:tr>
      <w:tr>
        <w:trPr>
          <w:trHeight w:val="133"/>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Cash paid for acquired businesses</w:t>
            </w:r>
          </w:p>
        </w:tc>
        <w:tc>
          <w:tcPr>
            <w:tcW w:w="1460" w:type="dxa"/>
            <w:vAlign w:val="bottom"/>
            <w:gridSpan w:val="3"/>
          </w:tcPr>
          <w:p>
            <w:pPr>
              <w:jc w:val="right"/>
              <w:ind w:right="100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w:t>
            </w:r>
          </w:p>
        </w:tc>
      </w:tr>
      <w:tr>
        <w:trPr>
          <w:trHeight w:val="154"/>
        </w:trPr>
        <w:tc>
          <w:tcPr>
            <w:tcW w:w="71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Assumed liabilities from acquired businesses including non-controlling interest</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$ 0.8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38"/>
        </w:trPr>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Noncash additions to computer software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$ 24.8</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$ 7.2</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$ 15.0</w:t>
            </w:r>
          </w:p>
        </w:tc>
      </w:tr>
      <w:tr>
        <w:trPr>
          <w:trHeight w:val="128"/>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0"/>
                <w:szCs w:val="10"/>
                <w:color w:val="auto"/>
              </w:rPr>
              <w:t>Payments for additions to computer software reflected as financing cash flows</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$ 0.9</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$ 0.7</w:t>
            </w: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bl>
    <w:p>
      <w:pPr>
        <w:spacing w:after="0" w:line="11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0"/>
          <w:szCs w:val="10"/>
          <w:color w:val="auto"/>
        </w:rPr>
        <w:t>(1)</w:t>
        <w:tab/>
        <w:t>Higher payments in 2024 and 2023 compared to 2022, are related to payments for finance lease liabilities and other long term obligations. See further detail in Note 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accompanying notes are an integral part of the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646" w:right="319" w:bottom="1440" w:gutter="0" w:footer="0" w:header="0"/>
        </w:sectPr>
      </w:pPr>
    </w:p>
    <w:bookmarkStart w:id="144" w:name="page145"/>
    <w:bookmarkEnd w:id="144"/>
    <w:p>
      <w:pPr>
        <w:ind w:left="4660"/>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5"/>
        </w:trPr>
        <w:tc>
          <w:tcPr>
            <w:tcW w:w="25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center"/>
              <w:ind w:right="10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27"/>
        </w:trPr>
        <w:tc>
          <w:tcPr>
            <w:tcW w:w="25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14"/>
        </w:trPr>
        <w:tc>
          <w:tcPr>
            <w:tcW w:w="2500" w:type="dxa"/>
            <w:vAlign w:val="bottom"/>
            <w:tcBorders>
              <w:bottom w:val="single" w:sz="8" w:color="CCEEFF"/>
            </w:tcBorders>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66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$ 4,500.4</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(761.8)</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(52.6)</w:t>
            </w:r>
          </w:p>
        </w:tc>
        <w:tc>
          <w:tcPr>
            <w:tcW w:w="8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(11.9)</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$ 7.4</w:t>
            </w:r>
          </w:p>
        </w:tc>
        <w:tc>
          <w:tcPr>
            <w:tcW w:w="8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$ 3,681.2</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$ 64.1</w:t>
            </w:r>
          </w:p>
        </w:tc>
        <w:tc>
          <w:tcPr>
            <w:tcW w:w="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$ 3,745.3</w:t>
            </w:r>
          </w:p>
        </w:tc>
        <w:tc>
          <w:tcPr>
            <w:tcW w:w="0" w:type="dxa"/>
            <w:vAlign w:val="bottom"/>
          </w:tcPr>
          <w:p>
            <w:pPr>
              <w:spacing w:after="0"/>
              <w:rPr>
                <w:sz w:val="1"/>
                <w:szCs w:val="1"/>
                <w:color w:val="auto"/>
              </w:rPr>
            </w:pPr>
          </w:p>
        </w:tc>
      </w:tr>
      <w:tr>
        <w:trPr>
          <w:trHeight w:val="12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Purchase of non-controlling interest </w:t>
            </w:r>
            <w:r>
              <w:rPr>
                <w:rFonts w:ascii="Times New Roman" w:cs="Times New Roman" w:eastAsia="Times New Roman" w:hAnsi="Times New Roman"/>
                <w:sz w:val="12"/>
                <w:szCs w:val="12"/>
                <w:color w:val="auto"/>
                <w:vertAlign w:val="superscript"/>
              </w:rPr>
              <w:t>(1)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(116.2)</w:t>
            </w:r>
          </w:p>
        </w:tc>
        <w:tc>
          <w:tcPr>
            <w:tcW w:w="0" w:type="dxa"/>
            <w:vAlign w:val="bottom"/>
          </w:tcPr>
          <w:p>
            <w:pPr>
              <w:spacing w:after="0"/>
              <w:rPr>
                <w:sz w:val="1"/>
                <w:szCs w:val="1"/>
                <w:color w:val="auto"/>
              </w:rPr>
            </w:pPr>
          </w:p>
        </w:tc>
      </w:tr>
      <w:tr>
        <w:trPr>
          <w:trHeight w:val="103"/>
        </w:trPr>
        <w:tc>
          <w:tcPr>
            <w:tcW w:w="250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Reclassification of cumulative translation adjustment related</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 the purchase of non-controlling interest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1"/>
                <w:szCs w:val="1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$15.7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w:t>
            </w: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of $9.9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w:t>
            </w:r>
          </w:p>
        </w:tc>
        <w:tc>
          <w:tcPr>
            <w:tcW w:w="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(124.6)</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$0.9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expense of $14.6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Payment to non-controlling interest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$ 4,443.7</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(764.1)</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(170.3)</w:t>
            </w:r>
          </w:p>
        </w:tc>
        <w:tc>
          <w:tcPr>
            <w:tcW w:w="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(58.1)</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$ 48.4</w:t>
            </w:r>
          </w:p>
        </w:tc>
        <w:tc>
          <w:tcPr>
            <w:tcW w:w="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$ 3,499.3</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$ 9.1</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$ 3,508.4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50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Year ended December 31, 2023</w:t>
            </w: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$ 4,443.7</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(764.1)</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(170.3)</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(58.1)</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$ 48.4</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$ 3,499.3</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$ 9.1</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$ 3,508.4</w:t>
            </w:r>
          </w:p>
        </w:tc>
        <w:tc>
          <w:tcPr>
            <w:tcW w:w="0" w:type="dxa"/>
            <w:vAlign w:val="bottom"/>
          </w:tcPr>
          <w:p>
            <w:pPr>
              <w:spacing w:after="0"/>
              <w:rPr>
                <w:sz w:val="1"/>
                <w:szCs w:val="1"/>
                <w:color w:val="auto"/>
              </w:rPr>
            </w:pPr>
          </w:p>
        </w:tc>
      </w:tr>
      <w:tr>
        <w:trPr>
          <w:trHeight w:val="13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w:t>
            </w:r>
          </w:p>
        </w:tc>
        <w:tc>
          <w:tcPr>
            <w:tcW w:w="0" w:type="dxa"/>
            <w:vAlign w:val="bottom"/>
          </w:tcPr>
          <w:p>
            <w:pPr>
              <w:spacing w:after="0"/>
              <w:rPr>
                <w:sz w:val="1"/>
                <w:szCs w:val="1"/>
                <w:color w:val="auto"/>
              </w:rPr>
            </w:pPr>
          </w:p>
        </w:tc>
      </w:tr>
      <w:tr>
        <w:trPr>
          <w:trHeight w:val="133"/>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10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benefit of $1.8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expense of $7.9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benefit of $4.5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benefit of $11.5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$ 4,429.2</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(811.1)</w:t>
            </w: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(153.0)</w:t>
            </w:r>
          </w:p>
        </w:tc>
        <w:tc>
          <w:tcPr>
            <w:tcW w:w="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(62.2)</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$ 16.5</w:t>
            </w:r>
          </w:p>
        </w:tc>
        <w:tc>
          <w:tcPr>
            <w:tcW w:w="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$ 3,419.1</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$ 12.5</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$ 3,431.6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Cumulative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5"/>
        </w:trPr>
        <w:tc>
          <w:tcPr>
            <w:tcW w:w="2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Defined benefit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Cash flow hedging</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equity</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surplus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stock</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adjustment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postretirement plans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derivative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27"/>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 2024</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$ 4,429.2</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(811.1)</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(0.3)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(153.0)</w:t>
            </w: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(62.2)</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$ 16.5</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$ 3,419.1</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$ 12.5</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$ 3,431.6</w:t>
            </w:r>
          </w:p>
        </w:tc>
        <w:tc>
          <w:tcPr>
            <w:tcW w:w="0" w:type="dxa"/>
            <w:vAlign w:val="bottom"/>
          </w:tcPr>
          <w:p>
            <w:pPr>
              <w:spacing w:after="0"/>
              <w:rPr>
                <w:sz w:val="1"/>
                <w:szCs w:val="1"/>
                <w:color w:val="auto"/>
              </w:rPr>
            </w:pPr>
          </w:p>
        </w:tc>
      </w:tr>
      <w:tr>
        <w:trPr>
          <w:trHeight w:val="13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0" w:type="dxa"/>
            <w:vAlign w:val="bottom"/>
          </w:tcPr>
          <w:p>
            <w:pPr>
              <w:spacing w:after="0"/>
              <w:rPr>
                <w:sz w:val="1"/>
                <w:szCs w:val="1"/>
                <w:color w:val="auto"/>
              </w:rPr>
            </w:pPr>
          </w:p>
        </w:tc>
      </w:tr>
      <w:tr>
        <w:trPr>
          <w:trHeight w:val="133"/>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 compensation plans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Dividends declared </w:t>
            </w:r>
            <w:r>
              <w:rPr>
                <w:rFonts w:ascii="Times New Roman" w:cs="Times New Roman" w:eastAsia="Times New Roman" w:hAnsi="Times New Roman"/>
                <w:sz w:val="12"/>
                <w:szCs w:val="12"/>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acquired under stock repurchase program</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Pension adjustments, net of tax expense of $1.8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cumulative translation adjustment, net of tax</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benefit of $0.5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investment hedge derivative, net of tax expense of $6.4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flow hedge derivative, net of tax expense of $4.0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0" w:type="dxa"/>
            <w:vAlign w:val="bottom"/>
          </w:tcPr>
          <w:p>
            <w:pPr>
              <w:spacing w:after="0"/>
              <w:rPr>
                <w:sz w:val="1"/>
                <w:szCs w:val="1"/>
                <w:color w:val="auto"/>
              </w:rPr>
            </w:pPr>
          </w:p>
        </w:tc>
      </w:tr>
      <w:tr>
        <w:trPr>
          <w:trHeight w:val="16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December 31,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$ 4,394.0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(839.7)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(211.4)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(62.6)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$ 3,298.5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$ 15.9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$ 3,314.4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11 "Supplemental Financial Data" for further discussion.</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15 "Stockholders' Equity" for further discussion.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accompanying notes are an integral part of the consolidated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643"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DUN &amp; BRADSTREET HOLDINGS,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(Tabular dollar amounts, except share data and per share data, in millions)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and Description of Business</w:t>
      </w:r>
    </w:p>
    <w:p>
      <w:pPr>
        <w:spacing w:after="0" w:line="2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The accompanying financial statements of Dun &amp; Bradstreet Holdings, Inc. and its subsidiaries ("Dun &amp; Bradstreet," or "D&amp;B," or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Items subject to such estimates and assumptions include: valuation allowances for receivables and deferred income tax assets; tax liabilities related to our undistributed foreign earnings; liabilities for potential tax exposure and potential litigation claims and settlements; assets and obligations related to employee benefits;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157"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4"/>
          <w:szCs w:val="14"/>
          <w:color w:val="auto"/>
        </w:rPr>
        <w:t>Our consolidated financial statements presented herein reflect the latest estimates and assumptions made by management that affect the reported amounts of assets and liabilities and related disclosures as of the date of the consolidated financial statements and reported amounts of revenue and expenses during the reporting periods presented.</w:t>
      </w:r>
    </w:p>
    <w:p>
      <w:pPr>
        <w:spacing w:after="0" w:line="15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 investments over which we do not have significant influence at cost adjusted for impairment or other changes resulting from observable market data. Market values associated with these investments are not readily available.</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91"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Dun &amp; Bradstreet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157"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ind w:left="36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206" w:lineRule="exact"/>
        <w:rPr>
          <w:sz w:val="20"/>
          <w:szCs w:val="20"/>
          <w:color w:val="auto"/>
        </w:rPr>
      </w:pPr>
    </w:p>
    <w:p>
      <w:pPr>
        <w:ind w:left="500" w:hanging="240"/>
        <w:spacing w:after="0"/>
        <w:tabs>
          <w:tab w:leader="none" w:pos="500"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pacing w:after="0" w:line="28" w:lineRule="exact"/>
        <w:rPr>
          <w:rFonts w:ascii="Arial" w:cs="Arial" w:eastAsia="Arial" w:hAnsi="Arial"/>
          <w:sz w:val="17"/>
          <w:szCs w:val="17"/>
          <w:color w:val="auto"/>
        </w:rPr>
      </w:pPr>
    </w:p>
    <w:p>
      <w:pPr>
        <w:ind w:left="520" w:right="240" w:hanging="260"/>
        <w:spacing w:after="0" w:line="265" w:lineRule="auto"/>
        <w:tabs>
          <w:tab w:leader="none" w:pos="516" w:val="left"/>
        </w:tabs>
        <w:numPr>
          <w:ilvl w:val="0"/>
          <w:numId w:val="58"/>
        </w:numPr>
        <w:rPr>
          <w:rFonts w:ascii="Arial" w:cs="Arial" w:eastAsia="Arial" w:hAnsi="Arial"/>
          <w:sz w:val="17"/>
          <w:szCs w:val="17"/>
          <w:color w:val="auto"/>
        </w:rPr>
      </w:pPr>
      <w:r>
        <w:rPr>
          <w:rFonts w:ascii="Times New Roman" w:cs="Times New Roman" w:eastAsia="Times New Roman" w:hAnsi="Times New Roman"/>
          <w:sz w:val="14"/>
          <w:szCs w:val="14"/>
          <w:color w:val="auto"/>
        </w:rPr>
        <w:t xml:space="preserve">International offers Finance &amp; Risk and Sales &amp; Marketing data, analytics and business insights directly in the United Kingdom and Ireland ("U.K."), Northern Europe </w:t>
      </w:r>
      <w:r>
        <w:rPr>
          <w:rFonts w:ascii="Times New Roman" w:cs="Times New Roman" w:eastAsia="Times New Roman" w:hAnsi="Times New Roman"/>
          <w:sz w:val="14"/>
          <w:szCs w:val="14"/>
          <w:color w:val="181717"/>
        </w:rPr>
        <w:t>(Sweden, Norway,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Denmark, Finland, Estonia and Latvia)</w:t>
      </w:r>
      <w:r>
        <w:rPr>
          <w:rFonts w:ascii="Times New Roman" w:cs="Times New Roman" w:eastAsia="Times New Roman" w:hAnsi="Times New Roman"/>
          <w:sz w:val="14"/>
          <w:szCs w:val="14"/>
          <w:color w:val="000000"/>
        </w:rPr>
        <w:t>, Central Europe (Germany, Austria, Switzerland and various other central and eastern European countries) (together as "Europe"), Greater China,</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India and indirectly through our Worldwide Network alliances ("WWN alliances").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025" w:right="319" w:bottom="1440" w:gutter="0" w:footer="0" w:header="0"/>
        </w:sectPr>
      </w:pPr>
    </w:p>
    <w:bookmarkStart w:id="146" w:name="page147"/>
    <w:bookmarkEnd w:id="14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380" w:firstLine="605"/>
        <w:spacing w:after="0" w:line="287" w:lineRule="auto"/>
        <w:rPr>
          <w:sz w:val="20"/>
          <w:szCs w:val="20"/>
          <w:color w:val="auto"/>
        </w:rPr>
      </w:pPr>
      <w:r>
        <w:rPr>
          <w:rFonts w:ascii="Times New Roman" w:cs="Times New Roman" w:eastAsia="Times New Roman" w:hAnsi="Times New Roman"/>
          <w:sz w:val="14"/>
          <w:szCs w:val="14"/>
          <w:color w:val="auto"/>
        </w:rPr>
        <w:t xml:space="preserve">All intercompany transactions and balances have been eliminated in consolidation. </w:t>
      </w:r>
      <w:r>
        <w:rPr>
          <w:rFonts w:ascii="Times New Roman" w:cs="Times New Roman" w:eastAsia="Times New Roman" w:hAnsi="Times New Roman"/>
          <w:sz w:val="14"/>
          <w:szCs w:val="14"/>
          <w:color w:val="181717"/>
        </w:rPr>
        <w:t>Where appropriate, we have reclassified certain prior year amounts to conform to the current year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presentation</w:t>
      </w:r>
      <w:r>
        <w:rPr>
          <w:rFonts w:ascii="Times New Roman" w:cs="Times New Roman" w:eastAsia="Times New Roman" w:hAnsi="Times New Roman"/>
          <w:sz w:val="14"/>
          <w:szCs w:val="14"/>
          <w:color w:val="000000"/>
        </w:rPr>
        <w:t>.</w:t>
      </w:r>
    </w:p>
    <w:p>
      <w:pPr>
        <w:spacing w:after="0" w:line="124" w:lineRule="exact"/>
        <w:rPr>
          <w:sz w:val="20"/>
          <w:szCs w:val="20"/>
          <w:color w:val="auto"/>
        </w:rPr>
      </w:pPr>
    </w:p>
    <w:p>
      <w:pPr>
        <w:ind w:right="40" w:firstLine="573"/>
        <w:spacing w:after="0" w:line="232" w:lineRule="auto"/>
        <w:rPr>
          <w:sz w:val="20"/>
          <w:szCs w:val="20"/>
          <w:color w:val="auto"/>
        </w:rPr>
      </w:pPr>
      <w:r>
        <w:rPr>
          <w:rFonts w:ascii="Times New Roman" w:cs="Times New Roman" w:eastAsia="Times New Roman" w:hAnsi="Times New Roman"/>
          <w:sz w:val="14"/>
          <w:szCs w:val="14"/>
          <w:color w:val="auto"/>
        </w:rPr>
        <w:t>During the first quarter of 2024, we changed the presentation of certain data royalty and project fulfillment costs in our condensed consolidated statement of income. Specifically, we changed the classification of these costs from "Selling and administrative expenses" to "Cost of services (exclusive of depreciation and amortization)," as we believe that presenting these costs based on their nature, as opposed to their function as was done historically, provides more useful information and enhances transparency. Results for prior years have been recast to reflect this change in presentation and to conform to the current period presentation. As a result, we reclassified $30.8 million and $36.0 million for the years ended December 31, 2023 and 2022, respectively, from "Selling and administrative expenses" to "Cost of services (exclusive of depreciation and amortization)." This reclassification has no impact on total operating costs, operating income, net income (loss), earnings (loss) per share or segment results. Additionally, this reclassification has no impact on the consolidated balance sheets or consolidated statements of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 xml:space="preserve">Note 2 </w:t>
      </w:r>
      <w:r>
        <w:rPr>
          <w:rFonts w:ascii="Times New Roman" w:cs="Times New Roman" w:eastAsia="Times New Roman" w:hAnsi="Times New Roman"/>
          <w:sz w:val="14"/>
          <w:szCs w:val="14"/>
          <w:b w:val="1"/>
          <w:bCs w:val="1"/>
          <w:color w:val="000000"/>
        </w:rPr>
        <w:t>—</w:t>
      </w:r>
      <w:r>
        <w:rPr>
          <w:rFonts w:ascii="Times New Roman" w:cs="Times New Roman" w:eastAsia="Times New Roman" w:hAnsi="Times New Roman"/>
          <w:sz w:val="14"/>
          <w:szCs w:val="14"/>
          <w:b w:val="1"/>
          <w:bCs w:val="1"/>
          <w:color w:val="181717"/>
        </w:rPr>
        <w:t xml:space="preserve"> Significant Accounting Policies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181717"/>
        </w:rPr>
        <w:t>Revenue Recognition</w:t>
      </w:r>
    </w:p>
    <w:p>
      <w:pPr>
        <w:spacing w:after="0" w:line="202"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157"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4"/>
          <w:szCs w:val="14"/>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157" w:lineRule="exact"/>
        <w:rPr>
          <w:sz w:val="20"/>
          <w:szCs w:val="20"/>
          <w:color w:val="auto"/>
        </w:rPr>
      </w:pPr>
    </w:p>
    <w:p>
      <w:pPr>
        <w:ind w:right="400" w:firstLine="350"/>
        <w:spacing w:after="0" w:line="270" w:lineRule="auto"/>
        <w:rPr>
          <w:sz w:val="20"/>
          <w:szCs w:val="20"/>
          <w:color w:val="auto"/>
        </w:rPr>
      </w:pPr>
      <w:r>
        <w:rPr>
          <w:rFonts w:ascii="Times New Roman" w:cs="Times New Roman" w:eastAsia="Times New Roman" w:hAnsi="Times New Roman"/>
          <w:sz w:val="14"/>
          <w:szCs w:val="14"/>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181717"/>
        </w:rPr>
        <w:t>Revenue is net of any sales or indirect taxes collected from clients, which are subsequently remitted to government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Performance Obligations and Revenue Recognition</w:t>
      </w:r>
    </w:p>
    <w:p>
      <w:pPr>
        <w:spacing w:after="0" w:line="202"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145"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145"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1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145"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181717"/>
        </w:rPr>
        <w:t>When we provide clients continuous access to the latest data using our API-based and online products, the client can consume and benefit from this content daily as we provide access to the data. We determined that for this type of offering our</w:t>
      </w:r>
    </w:p>
    <w:p>
      <w:pPr>
        <w:sectPr>
          <w:pgSz w:w="11900" w:h="16838" w:orient="portrait"/>
          <w:cols w:equalWidth="0" w:num="1">
            <w:col w:w="11240"/>
          </w:cols>
          <w:pgMar w:left="300" w:top="313" w:right="359" w:bottom="1440" w:gutter="0" w:footer="0" w:header="0"/>
        </w:sectPr>
      </w:pPr>
    </w:p>
    <w:bookmarkStart w:id="147" w:name="page148"/>
    <w:bookmarkEnd w:id="14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81717"/>
        </w:rPr>
        <w:t>overall promise is a service of daily access to data which represents a single performance obligation satisfied over time. We recognize revenue ratably for this type of performance obligation.</w:t>
      </w:r>
    </w:p>
    <w:p>
      <w:pPr>
        <w:spacing w:after="0" w:line="200"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 contracts the performance obligation is satisfied over time as we provide continuous access to the data. We recognize revenue ratably over the contract term.</w:t>
      </w:r>
    </w:p>
    <w:p>
      <w:pPr>
        <w:spacing w:after="0" w:line="162"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For products sold under our annual and monthly discount plans the client receives a discount based on the amount they commit to spend annually, or the actual amount spent at the end of each monthly billing cycle. Each report or data packet 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162"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145"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157"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167"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Contracts with Multiple Performance Obligations</w:t>
      </w:r>
    </w:p>
    <w:p>
      <w:pPr>
        <w:spacing w:after="0" w:line="202" w:lineRule="exact"/>
        <w:rPr>
          <w:sz w:val="20"/>
          <w:szCs w:val="20"/>
          <w:color w:val="auto"/>
        </w:rPr>
      </w:pPr>
    </w:p>
    <w:p>
      <w:pPr>
        <w:ind w:right="60" w:firstLine="350"/>
        <w:spacing w:after="0" w:line="253" w:lineRule="auto"/>
        <w:rPr>
          <w:sz w:val="20"/>
          <w:szCs w:val="20"/>
          <w:color w:val="auto"/>
        </w:rPr>
      </w:pPr>
      <w:r>
        <w:rPr>
          <w:rFonts w:ascii="Times New Roman" w:cs="Times New Roman" w:eastAsia="Times New Roman" w:hAnsi="Times New Roman"/>
          <w:sz w:val="14"/>
          <w:szCs w:val="14"/>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170"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We allocate variable consideration to a performance obligation or a distinct product if the terms of the variable payment relate specifically to our efforts to satisfy the performance obligation or transfer the distinct product and the allocation is</w:t>
      </w:r>
    </w:p>
    <w:p>
      <w:pPr>
        <w:sectPr>
          <w:pgSz w:w="11900" w:h="16838" w:orient="portrait"/>
          <w:cols w:equalWidth="0" w:num="1">
            <w:col w:w="11200"/>
          </w:cols>
          <w:pgMar w:left="300" w:top="314" w:right="399" w:bottom="1440" w:gutter="0" w:footer="0" w:header="0"/>
        </w:sectPr>
      </w:pPr>
    </w:p>
    <w:bookmarkStart w:id="148" w:name="page149"/>
    <w:bookmarkEnd w:id="14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consistent with the allocation objective. If these conditions are not met or the transaction price changes for other reasons after contract inception, we allocate the change on the same basis as at contract inception.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81717"/>
        </w:rPr>
        <w:t>Contract Combinations and Modifications</w:t>
      </w:r>
    </w:p>
    <w:p>
      <w:pPr>
        <w:spacing w:after="0" w:line="202" w:lineRule="exact"/>
        <w:rPr>
          <w:sz w:val="20"/>
          <w:szCs w:val="20"/>
          <w:color w:val="auto"/>
        </w:rPr>
      </w:pPr>
    </w:p>
    <w:p>
      <w:pPr>
        <w:ind w:right="560" w:firstLine="350"/>
        <w:spacing w:after="0" w:line="287" w:lineRule="auto"/>
        <w:rPr>
          <w:sz w:val="20"/>
          <w:szCs w:val="20"/>
          <w:color w:val="auto"/>
        </w:rPr>
      </w:pPr>
      <w:r>
        <w:rPr>
          <w:rFonts w:ascii="Times New Roman" w:cs="Times New Roman" w:eastAsia="Times New Roman" w:hAnsi="Times New Roman"/>
          <w:sz w:val="14"/>
          <w:szCs w:val="14"/>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pacing w:after="0" w:line="145"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 revenue from the existing contracts plus the new consideration. This amount is allocated to the remaining performance obligations based on the relative standalone selling prices.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Restructuring Charg</w:t>
      </w:r>
      <w:r>
        <w:rPr>
          <w:rFonts w:ascii="Times New Roman" w:cs="Times New Roman" w:eastAsia="Times New Roman" w:hAnsi="Times New Roman"/>
          <w:sz w:val="14"/>
          <w:szCs w:val="14"/>
          <w:b w:val="1"/>
          <w:bCs w:val="1"/>
          <w:color w:val="181717"/>
        </w:rPr>
        <w:t>es</w:t>
      </w:r>
    </w:p>
    <w:p>
      <w:pPr>
        <w:spacing w:after="0" w:line="191"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color w:val="181717"/>
        </w:rPr>
        <w:t>Restructuring charges have been recorded in accordance with Accounting Standards Codification ("ASC") 712-10, "Nonretirement Postemployment Benefits," or ASC 420-10, "Exit or Disposal Cost Obligations," as appropriate.</w:t>
      </w:r>
    </w:p>
    <w:p>
      <w:pPr>
        <w:spacing w:after="0" w:line="14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Right of use ("ROU") asset impairment charges and lease costs related to facilities we ceased to occupy are reflected in "Restructuring charges." Certain termination costs and obligations that do not meet the lease criteria are accounted for in accordance with ASC 420-10.</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record severance costs provided under an ongoing benefit arrangement once they are both probable and estimable in accordance with the provisions of ASC 712-10.</w:t>
      </w:r>
    </w:p>
    <w:p>
      <w:pPr>
        <w:spacing w:after="0" w:line="200"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We account for one-time termination benefits and contract terminations in accordance with ASC 420-10. We establish a liability for a cost associated with an exit or disposal activity, including severance and other lease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57"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Leases</w:t>
      </w:r>
    </w:p>
    <w:p>
      <w:pPr>
        <w:spacing w:after="0" w:line="191" w:lineRule="exact"/>
        <w:rPr>
          <w:sz w:val="20"/>
          <w:szCs w:val="20"/>
          <w:color w:val="auto"/>
        </w:rPr>
      </w:pPr>
    </w:p>
    <w:p>
      <w:pPr>
        <w:ind w:right="120" w:firstLine="318"/>
        <w:spacing w:after="0" w:line="246" w:lineRule="auto"/>
        <w:rPr>
          <w:sz w:val="20"/>
          <w:szCs w:val="20"/>
          <w:color w:val="auto"/>
        </w:rPr>
      </w:pPr>
      <w:r>
        <w:rPr>
          <w:rFonts w:ascii="Times New Roman" w:cs="Times New Roman" w:eastAsia="Times New Roman" w:hAnsi="Times New Roman"/>
          <w:sz w:val="14"/>
          <w:szCs w:val="14"/>
          <w:color w:val="auto"/>
        </w:rPr>
        <w:t>In accordance with Topic 842, at the inception of a contract, we assess whether the contract is, or contains, a lease. A contract contains a lease 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163"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Our leases expire over the next ten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145"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We use the incremental borrowing rate to determine the present value of the lease payments because the implicit rate is generally not available to a lessee. We determine the incremental borrowing rate based on what the Company would have to pay on a collateralized basis in the currency in which the arrangement is denominated over a similar term as the lease.</w:t>
      </w:r>
    </w:p>
    <w:p>
      <w:pPr>
        <w:sectPr>
          <w:pgSz w:w="11900" w:h="16838" w:orient="portrait"/>
          <w:cols w:equalWidth="0" w:num="1">
            <w:col w:w="11280"/>
          </w:cols>
          <w:pgMar w:left="300" w:top="313" w:right="319" w:bottom="1440" w:gutter="0" w:footer="0" w:header="0"/>
        </w:sectPr>
      </w:pPr>
    </w:p>
    <w:bookmarkStart w:id="149" w:name="page150"/>
    <w:bookmarkEnd w:id="14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costs as incurred.</w:t>
      </w:r>
    </w:p>
    <w:p>
      <w:pPr>
        <w:spacing w:after="0" w:line="157" w:lineRule="exact"/>
        <w:rPr>
          <w:sz w:val="20"/>
          <w:szCs w:val="20"/>
          <w:color w:val="auto"/>
        </w:rPr>
      </w:pPr>
    </w:p>
    <w:p>
      <w:pPr>
        <w:ind w:right="380" w:firstLine="318"/>
        <w:spacing w:after="0" w:line="270" w:lineRule="auto"/>
        <w:rPr>
          <w:sz w:val="20"/>
          <w:szCs w:val="20"/>
          <w:color w:val="auto"/>
        </w:rPr>
      </w:pPr>
      <w:r>
        <w:rPr>
          <w:rFonts w:ascii="Times New Roman" w:cs="Times New Roman" w:eastAsia="Times New Roman" w:hAnsi="Times New Roman"/>
          <w:sz w:val="14"/>
          <w:szCs w:val="14"/>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costs on a straight-line basis over the term. We have also elected not to separate lease and non-lease components for certain equipment leases. Additionally, for certain equipment leases, we apply a portfolio approach to effectively account for lease ROU assets and liabilities.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Employee Benefit Plans</w:t>
      </w:r>
    </w:p>
    <w:p>
      <w:pPr>
        <w:spacing w:after="0" w:line="16" w:lineRule="exact"/>
        <w:rPr>
          <w:sz w:val="20"/>
          <w:szCs w:val="20"/>
          <w:color w:val="auto"/>
        </w:rPr>
      </w:pPr>
    </w:p>
    <w:p>
      <w:pPr>
        <w:ind w:right="600" w:firstLine="318"/>
        <w:spacing w:after="0" w:line="235" w:lineRule="auto"/>
        <w:rPr>
          <w:sz w:val="20"/>
          <w:szCs w:val="20"/>
          <w:color w:val="auto"/>
        </w:rPr>
      </w:pPr>
      <w:r>
        <w:rPr>
          <w:rFonts w:ascii="Times New Roman" w:cs="Times New Roman" w:eastAsia="Times New Roman" w:hAnsi="Times New Roman"/>
          <w:sz w:val="14"/>
          <w:szCs w:val="14"/>
          <w:color w:val="auto"/>
        </w:rPr>
        <w:t>We provide various defined benefit plans to our employees. We use actuarial assumptions to calculate pension and benefit costs as well as pension assets and liabilities included in the consolidated financial statements. See Note 7.</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Legal Contingencies</w:t>
      </w:r>
    </w:p>
    <w:p>
      <w:pPr>
        <w:spacing w:after="0" w:line="6" w:lineRule="exact"/>
        <w:rPr>
          <w:sz w:val="20"/>
          <w:szCs w:val="20"/>
          <w:color w:val="auto"/>
        </w:rPr>
      </w:pPr>
    </w:p>
    <w:p>
      <w:pPr>
        <w:ind w:right="120" w:firstLine="318"/>
        <w:spacing w:after="0" w:line="231" w:lineRule="auto"/>
        <w:rPr>
          <w:sz w:val="20"/>
          <w:szCs w:val="20"/>
          <w:color w:val="auto"/>
        </w:rPr>
      </w:pPr>
      <w:r>
        <w:rPr>
          <w:rFonts w:ascii="Times New Roman" w:cs="Times New Roman" w:eastAsia="Times New Roman" w:hAnsi="Times New Roman"/>
          <w:sz w:val="14"/>
          <w:szCs w:val="14"/>
          <w:color w:val="auto"/>
        </w:rPr>
        <w:t>We are involved in legal proceedings, claims and litigation arising in the ordinary course of business for which we believe we have adequate reserves, and such reserves are not material to the consolidated financial statements. In addition, from time to time, we may be involved in additional matters which could become material and for which we may also establish reserve amounts as discussed in Note 18.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Cash and Cash Equivalents</w:t>
      </w:r>
    </w:p>
    <w:p>
      <w:pPr>
        <w:spacing w:after="0" w:line="19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4"/>
          <w:szCs w:val="14"/>
          <w:color w:val="181717"/>
        </w:rPr>
        <w:t>We consider all investments purchased with an initial term from the date of purchase by the Company to maturity of three months or less to be cash equivalents. These instruments are stated at cost, which approximates fair value because of the short maturity of the instruments.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Accounts Receivable Trade and Contract Assets</w:t>
      </w:r>
    </w:p>
    <w:p>
      <w:pPr>
        <w:spacing w:after="0" w:line="191" w:lineRule="exact"/>
        <w:rPr>
          <w:sz w:val="20"/>
          <w:szCs w:val="20"/>
          <w:color w:val="auto"/>
        </w:rPr>
      </w:pPr>
    </w:p>
    <w:p>
      <w:pPr>
        <w:ind w:right="580" w:firstLine="318"/>
        <w:spacing w:after="0" w:line="255" w:lineRule="auto"/>
        <w:rPr>
          <w:sz w:val="20"/>
          <w:szCs w:val="20"/>
          <w:color w:val="auto"/>
        </w:rPr>
      </w:pPr>
      <w:r>
        <w:rPr>
          <w:rFonts w:ascii="Times New Roman" w:cs="Times New Roman" w:eastAsia="Times New Roman" w:hAnsi="Times New Roman"/>
          <w:sz w:val="14"/>
          <w:szCs w:val="14"/>
          <w:color w:val="181717"/>
        </w:rPr>
        <w:t>We classify the right to consideration in exchange for products or services transferred to a client as either a receivable or a contract asset. A receivable is a right to consideration that is unconditional. Receivables include amounts billed and currently due from clients.</w:t>
      </w:r>
    </w:p>
    <w:p>
      <w:pPr>
        <w:spacing w:after="0" w:line="146"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4"/>
          <w:szCs w:val="14"/>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Accounts Receivable Allowances</w:t>
      </w:r>
    </w:p>
    <w:p>
      <w:pPr>
        <w:spacing w:after="0" w:line="19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4"/>
          <w:szCs w:val="14"/>
          <w:color w:val="181717"/>
        </w:rPr>
        <w:t>In order to determine an estimate of expected credit losses, receivables are segmented based on similar risk 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 historical information. The reserve rate is adjusted, when necessary, reflecting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 Expected credit losses are added to the accounts receivable allowance. Actual uncollectible account write-offs are recorded against the allowance.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Property, Plant and Equipment</w:t>
      </w:r>
    </w:p>
    <w:p>
      <w:pPr>
        <w:spacing w:after="0" w:line="191" w:lineRule="exact"/>
        <w:rPr>
          <w:sz w:val="20"/>
          <w:szCs w:val="20"/>
          <w:color w:val="auto"/>
        </w:rPr>
      </w:pPr>
    </w:p>
    <w:p>
      <w:pPr>
        <w:jc w:val="both"/>
        <w:ind w:right="20" w:firstLine="318"/>
        <w:spacing w:after="0" w:line="246" w:lineRule="auto"/>
        <w:rPr>
          <w:sz w:val="20"/>
          <w:szCs w:val="20"/>
          <w:color w:val="auto"/>
        </w:rPr>
      </w:pPr>
      <w:r>
        <w:rPr>
          <w:rFonts w:ascii="Times New Roman" w:cs="Times New Roman" w:eastAsia="Times New Roman" w:hAnsi="Times New Roman"/>
          <w:sz w:val="14"/>
          <w:szCs w:val="14"/>
          <w:color w:val="181717"/>
        </w:rPr>
        <w:t>Property, plant and equipment are stated at cost less accumulated depreciation, except for property, plant and equipment that have been impaired for which the carrying amount is reduced to the estimated fair value at the impairment date. Property, plant and equipment are generally depreciated on a straight-line basis over their estimated useful lives. Our headquarters building is depreciated over a period of 53 years and the related site improvements are depreciated over a range of 14 to 40</w:t>
      </w:r>
    </w:p>
    <w:p>
      <w:pPr>
        <w:sectPr>
          <w:pgSz w:w="11900" w:h="16838" w:orient="portrait"/>
          <w:cols w:equalWidth="0" w:num="1">
            <w:col w:w="11240"/>
          </w:cols>
          <w:pgMar w:left="300" w:top="314" w:right="359" w:bottom="1440" w:gutter="0" w:footer="0" w:header="0"/>
        </w:sectPr>
      </w:pPr>
    </w:p>
    <w:bookmarkStart w:id="150" w:name="page151"/>
    <w:bookmarkEnd w:id="15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181717"/>
        </w:rPr>
        <w:t>years. Equipment, including furniture, is depreciated over a period of three to ten years. Leasehold improvements are amortized on a straight-line basis over the shorter of the term of the lease or the estimated useful life of the improvemen</w:t>
      </w:r>
      <w:r>
        <w:rPr>
          <w:rFonts w:ascii="Times New Roman" w:cs="Times New Roman" w:eastAsia="Times New Roman" w:hAnsi="Times New Roman"/>
          <w:sz w:val="14"/>
          <w:szCs w:val="14"/>
          <w:color w:val="000000"/>
        </w:rPr>
        <w:t>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Computer Software</w:t>
      </w:r>
    </w:p>
    <w:p>
      <w:pPr>
        <w:spacing w:after="0" w:line="170" w:lineRule="exact"/>
        <w:rPr>
          <w:sz w:val="20"/>
          <w:szCs w:val="20"/>
          <w:color w:val="auto"/>
        </w:rPr>
      </w:pPr>
    </w:p>
    <w:p>
      <w:pPr>
        <w:ind w:right="140" w:firstLine="318"/>
        <w:spacing w:after="0" w:line="246" w:lineRule="auto"/>
        <w:rPr>
          <w:sz w:val="20"/>
          <w:szCs w:val="20"/>
          <w:color w:val="auto"/>
        </w:rPr>
      </w:pPr>
      <w:r>
        <w:rPr>
          <w:rFonts w:ascii="Times New Roman" w:cs="Times New Roman" w:eastAsia="Times New Roman" w:hAnsi="Times New Roman"/>
          <w:sz w:val="14"/>
          <w:szCs w:val="14"/>
          <w:color w:val="181717"/>
        </w:rPr>
        <w:t>Computer software includes capitalized software development costs for various computer software applications for internal use, including systems 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pacing w:after="0" w:line="163" w:lineRule="exact"/>
        <w:rPr>
          <w:sz w:val="20"/>
          <w:szCs w:val="20"/>
          <w:color w:val="auto"/>
        </w:rPr>
      </w:pPr>
    </w:p>
    <w:p>
      <w:pPr>
        <w:jc w:val="both"/>
        <w:ind w:right="280" w:firstLine="318"/>
        <w:spacing w:after="0" w:line="270" w:lineRule="auto"/>
        <w:rPr>
          <w:sz w:val="20"/>
          <w:szCs w:val="20"/>
          <w:color w:val="auto"/>
        </w:rPr>
      </w:pPr>
      <w:r>
        <w:rPr>
          <w:rFonts w:ascii="Times New Roman" w:cs="Times New Roman" w:eastAsia="Times New Roman" w:hAnsi="Times New Roman"/>
          <w:sz w:val="14"/>
          <w:szCs w:val="14"/>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 of the asset, generally ranging from three to eight years, beginning when the related software is ready for its intended use.</w:t>
      </w:r>
    </w:p>
    <w:p>
      <w:pPr>
        <w:spacing w:after="0" w:line="157"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We enter into cloud computing arrangements ("CCA") to access third party software without taking possession of the software. We assess development activities required to implement such services and defer certain implementation costs directly related to the hosted software based on the same capitalization criteria as those for internal-use software. Deferred implementation costs related to these service arrangements are expensed over the term of the service arrangement, beginning when the implementation activities, including testing, are substantially completed and the related software is operational for users. We reported $40.1 million and $36.9 million associated with deferred CCA implementation costs as of December 31, 2024 and 2023, respectively, of which $5.2 million and $13.7 million was reported within "Other prepaids" and $34.9 million and $23.2 million was reported within "Other non-current assets" as of December 31, 2024 and 2023, respectively. The associated amortization expense was $7.2 million, $6.2 million and $3.4 million for the years ended December 31, 2024, 2023 and 2022, respectively.</w:t>
      </w:r>
    </w:p>
    <w:p>
      <w:pPr>
        <w:spacing w:after="0" w:line="167"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Computer software and deferred implementation costs are tested for impairment along with other long-lived assets (See Impairment of Long-Lived Assets below</w:t>
      </w:r>
      <w:r>
        <w:rPr>
          <w:rFonts w:ascii="Times New Roman" w:cs="Times New Roman" w:eastAsia="Times New Roman" w:hAnsi="Times New Roman"/>
          <w:sz w:val="14"/>
          <w:szCs w:val="14"/>
          <w:color w:val="181717"/>
        </w:rPr>
        <w: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Goodwill and Indefinite-Lived Intangible Assets</w:t>
      </w:r>
    </w:p>
    <w:p>
      <w:pPr>
        <w:spacing w:after="0" w:line="16" w:lineRule="exact"/>
        <w:rPr>
          <w:sz w:val="20"/>
          <w:szCs w:val="20"/>
          <w:color w:val="auto"/>
        </w:rPr>
      </w:pPr>
    </w:p>
    <w:p>
      <w:pPr>
        <w:ind w:firstLine="318"/>
        <w:spacing w:after="0" w:line="230"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and are tested for impairment at least annually at December 31 and more often if an event occurs or circumstances change which indicate it is more likely than not that fair value is less than carrying amount. If a qualitative assessment identifies that it is more likely than not that the carrying value of a reporting unit or an indefinite-lived intangible asset exceeds its estimated fair value, an additional quantitative evaluation is performed. The annual impairment tests of goodwill and indefinite-lived intangible assets may be completed through qualitative assessments. We may elect to bypass the qualitative assessment and proceed directly to a quantitative impairment test for goodwill or indefinite-lived intangible assets in any period. We may resume the qualitative assessment for any reporting unit or indefinite-lived intangible asset in any subsequent period.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02"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Our reporting units are Finance &amp; Risk and Sales &amp; Marketing within the North America segment, and U.K., Europe, Greater China, India and our WWN alliances within the International segment.</w:t>
      </w:r>
    </w:p>
    <w:p>
      <w:pPr>
        <w:spacing w:after="0" w:line="146" w:lineRule="exact"/>
        <w:rPr>
          <w:sz w:val="20"/>
          <w:szCs w:val="20"/>
          <w:color w:val="auto"/>
        </w:rPr>
      </w:pPr>
    </w:p>
    <w:p>
      <w:pPr>
        <w:ind w:right="200" w:firstLine="318"/>
        <w:spacing w:after="0" w:line="243" w:lineRule="auto"/>
        <w:rPr>
          <w:sz w:val="20"/>
          <w:szCs w:val="20"/>
          <w:color w:val="auto"/>
        </w:rPr>
      </w:pPr>
      <w:r>
        <w:rPr>
          <w:rFonts w:ascii="Times New Roman" w:cs="Times New Roman" w:eastAsia="Times New Roman" w:hAnsi="Times New Roman"/>
          <w:sz w:val="14"/>
          <w:szCs w:val="14"/>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 In addition, we assess whether the market value of the Company compared to the book amounts are indicative of an impairment.</w:t>
      </w:r>
    </w:p>
    <w:p>
      <w:pPr>
        <w:sectPr>
          <w:pgSz w:w="11900" w:h="16838" w:orient="portrait"/>
          <w:cols w:equalWidth="0" w:num="1">
            <w:col w:w="11240"/>
          </w:cols>
          <w:pgMar w:left="300" w:top="313" w:right="359" w:bottom="1440" w:gutter="0" w:footer="0" w:header="0"/>
        </w:sectPr>
      </w:pPr>
    </w:p>
    <w:bookmarkStart w:id="151" w:name="page152"/>
    <w:bookmarkEnd w:id="15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 or acquisitions, facts and circumstances surrounding the market, dominance, growth rate, etc.). For the income approach, we use the discounted cash flow method to estimate the fair value of a reporting unit. The projected cash flows are based on management’s most recent 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pacing w:after="0" w:line="167"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An impairment charge is recorded if a reporting unit’s carrying value exceeds its fair value. The impairment charge is also limited to the amount of goodwill allocated to the reporting unit. An impairment charge, if any, is recorded as an operating cost in the period that the impairment is identified.</w:t>
      </w:r>
    </w:p>
    <w:p>
      <w:pPr>
        <w:spacing w:after="0" w:line="145"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2024, 2023 and 2022, we performed qualitative tests for each of our reporting units and the results of our tests indicated that it was not more likely than not that the goodwill in any reporting unit was impaired.</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Note 17 for further detail on goodwill by segment.</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indefinite-lived intangible assets are primarily related to the Dun &amp; Bradstreet trade name which was recognized in connection with historical merger and acquisition transactions.</w:t>
      </w:r>
    </w:p>
    <w:p>
      <w:pPr>
        <w:spacing w:after="0" w:line="200"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Under the qualitative approach, we perform impairment tests for indefinite-lived intangible assets based on macroeconomic and market conditions, industry considerations, overall performance and other relevant factors. If we elect to bypass the qualitative assessment for any indefinite-lived intangible asset, or if a qualitative assessment indicates it is more likely than not that the estimated carrying amount of such asset exceeds its fair value, we proceed to a quantitative approach.</w:t>
      </w:r>
    </w:p>
    <w:p>
      <w:pPr>
        <w:spacing w:after="0" w:line="157"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Under the quantitative approach, we estimate the fair value of the indefinite-lived intangible asset and compare it to its carrying value. An impairment loss is recognized if the carrying value exceeds the fair value. The estimated fair value is determined primarily using income approach based on the expected present value of the projected cash flows of the assets.</w:t>
      </w:r>
    </w:p>
    <w:p>
      <w:pPr>
        <w:spacing w:after="0" w:line="145"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As a result of the impairment tests performed using quantitative approach, no impairment charges for indefinite-lived intangible assets have been recognized for the years ended December 31, 2024, 2023 and 2022.</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Definite-Lived Intangible Assets</w:t>
      </w:r>
    </w:p>
    <w:p>
      <w:pPr>
        <w:spacing w:after="0" w:line="202"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4"/>
          <w:szCs w:val="14"/>
          <w:color w:val="auto"/>
        </w:rPr>
        <w:t>Other amortizable intangible assets are recognized in connection with acquisitions. They are amortized over their respective useful life, based on the timing of the benefits derived from each of the intangible assets. Definite-lived intangible assets are also assessed for impairment when events or circumstances indicate. Below is a summary of weighted average amortization period for intangible assets for the year ended December 31, 2024.</w:t>
      </w:r>
    </w:p>
    <w:tbl>
      <w:tblPr>
        <w:tblLayout w:type="fixed"/>
        <w:tblInd w:w="0" w:type="dxa"/>
        <w:tblCellMar>
          <w:top w:w="0" w:type="dxa"/>
          <w:left w:w="0" w:type="dxa"/>
          <w:bottom w:w="0" w:type="dxa"/>
          <w:right w:w="0" w:type="dxa"/>
        </w:tblCellMar>
      </w:tblPr>
      <w:tr>
        <w:trPr>
          <w:trHeight w:val="118"/>
        </w:trPr>
        <w:tc>
          <w:tcPr>
            <w:tcW w:w="9500" w:type="dxa"/>
            <w:vAlign w:val="bottom"/>
          </w:tcPr>
          <w:p>
            <w:pPr>
              <w:spacing w:after="0"/>
              <w:rPr>
                <w:sz w:val="10"/>
                <w:szCs w:val="10"/>
                <w:color w:val="auto"/>
              </w:rPr>
            </w:pPr>
          </w:p>
        </w:tc>
        <w:tc>
          <w:tcPr>
            <w:tcW w:w="17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Weighted average amortization</w:t>
            </w:r>
          </w:p>
        </w:tc>
      </w:tr>
      <w:tr>
        <w:trPr>
          <w:trHeight w:val="153"/>
        </w:trPr>
        <w:tc>
          <w:tcPr>
            <w:tcW w:w="95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period (years)</w:t>
            </w:r>
          </w:p>
        </w:tc>
      </w:tr>
      <w:tr>
        <w:trPr>
          <w:trHeight w:val="154"/>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780" w:type="dxa"/>
            <w:vAlign w:val="bottom"/>
            <w:shd w:val="clear" w:color="auto" w:fill="CCEEFF"/>
          </w:tcPr>
          <w:p>
            <w:pPr>
              <w:spacing w:after="0"/>
              <w:rPr>
                <w:sz w:val="13"/>
                <w:szCs w:val="13"/>
                <w:color w:val="auto"/>
              </w:rPr>
            </w:pPr>
          </w:p>
        </w:tc>
      </w:tr>
      <w:tr>
        <w:trPr>
          <w:trHeight w:val="168"/>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Reacquired right</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r>
      <w:tr>
        <w:trPr>
          <w:trHeight w:val="172"/>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Database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r>
      <w:tr>
        <w:trPr>
          <w:trHeight w:val="168"/>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Customer relationships</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r>
      <w:tr>
        <w:trPr>
          <w:trHeight w:val="172"/>
        </w:trPr>
        <w:tc>
          <w:tcPr>
            <w:tcW w:w="9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Technology</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r>
      <w:tr>
        <w:trPr>
          <w:trHeight w:val="165"/>
        </w:trPr>
        <w:tc>
          <w:tcPr>
            <w:tcW w:w="9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Partnership agreements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r>
    </w:tbl>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Impairment of Long-Lived Assets</w:t>
      </w:r>
    </w:p>
    <w:p>
      <w:pPr>
        <w:spacing w:after="0" w:line="191" w:lineRule="exact"/>
        <w:rPr>
          <w:sz w:val="20"/>
          <w:szCs w:val="20"/>
          <w:color w:val="auto"/>
        </w:rPr>
      </w:pPr>
    </w:p>
    <w:p>
      <w:pPr>
        <w:jc w:val="center"/>
        <w:ind w:right="360"/>
        <w:spacing w:after="0" w:line="255" w:lineRule="auto"/>
        <w:rPr>
          <w:sz w:val="20"/>
          <w:szCs w:val="20"/>
          <w:color w:val="auto"/>
        </w:rPr>
      </w:pPr>
      <w:r>
        <w:rPr>
          <w:rFonts w:ascii="Times New Roman" w:cs="Times New Roman" w:eastAsia="Times New Roman" w:hAnsi="Times New Roman"/>
          <w:sz w:val="14"/>
          <w:szCs w:val="14"/>
          <w:color w:val="auto"/>
        </w:rPr>
        <w:t>Long-lived assets, including property, plant and equipment, right of use assets, internal-use software and other intangible assets held for use, are tested for impairment when events or circumstances indicate the carrying amount of the asset group that includes these assets is not recoverable. An asset group is the lowest level for which its cash flows are independent of the cash</w:t>
      </w:r>
    </w:p>
    <w:p>
      <w:pPr>
        <w:sectPr>
          <w:pgSz w:w="11900" w:h="16838" w:orient="portrait"/>
          <w:cols w:equalWidth="0" w:num="1">
            <w:col w:w="11280"/>
          </w:cols>
          <w:pgMar w:left="300" w:top="313" w:right="319" w:bottom="1440" w:gutter="0" w:footer="0" w:header="0"/>
        </w:sectPr>
      </w:pPr>
    </w:p>
    <w:bookmarkStart w:id="152" w:name="page153"/>
    <w:bookmarkEnd w:id="15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flows of other asset groups. The carrying value of an asset group is considered unrecoverable if the carrying value exceeds the sum of the undiscounted cash flows expected to result from the use and eventual 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Income Taxes</w:t>
      </w:r>
    </w:p>
    <w:p>
      <w:pPr>
        <w:spacing w:after="0" w:line="202" w:lineRule="exact"/>
        <w:rPr>
          <w:sz w:val="20"/>
          <w:szCs w:val="20"/>
          <w:color w:val="auto"/>
        </w:rPr>
      </w:pPr>
    </w:p>
    <w:p>
      <w:pPr>
        <w:ind w:right="60" w:firstLine="318"/>
        <w:spacing w:after="0" w:line="239" w:lineRule="auto"/>
        <w:rPr>
          <w:sz w:val="20"/>
          <w:szCs w:val="20"/>
          <w:color w:val="auto"/>
        </w:rPr>
      </w:pPr>
      <w:r>
        <w:rPr>
          <w:rFonts w:ascii="Times New Roman" w:cs="Times New Roman" w:eastAsia="Times New Roman" w:hAnsi="Times New Roman"/>
          <w:sz w:val="14"/>
          <w:szCs w:val="14"/>
          <w:color w:val="auto"/>
        </w:rPr>
        <w:t>We are subject to income taxes in the United States and many foreign jurisdictions. In determining our consolidated provision for income taxes for financial statement purposes, we must make certain estimates and judgments. These estimates and judgments affect the determination of the recoverability of certain deferred tax assets and the calculation of certain tax liabilities, which arise from temporary differences between the tax and financial statement recognition of revenue and expense and net operating losses.</w:t>
      </w:r>
    </w:p>
    <w:p>
      <w:pPr>
        <w:spacing w:after="0" w:line="166"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In evaluating our ability to recover our deferred tax assets, we consider all available positive and negative evidence, including our past operating results, as applicable, the existence of cumulative losses in the most recent years and our forecast of future taxable income. In estimating future taxable income, we rely on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use to manage the underlying businesses.</w:t>
      </w:r>
    </w:p>
    <w:p>
      <w:pPr>
        <w:spacing w:after="0" w:line="16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We have recorded valuation allowances in certain jurisdictions that we will maintain until it is more likely than not the deferred tax assets will be realized. Our income tax expense recorded in the future may be reduced to the extent of decreases in our valuation allowances. The realization of our deferred tax assets is primarily dependent on future taxable income in the appropriate jurisdiction. Any reduction in future taxable income may require that we record an additional valuation allowance against our deferred tax assets. An increase in the valuation allowance could result in additional income tax expense in the period incurred and could have a significant impact on our future earnings.</w:t>
      </w:r>
    </w:p>
    <w:p>
      <w:pPr>
        <w:spacing w:after="0" w:line="162"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Changes in tax laws and rates may also affect recorded deferred tax assets and liabilities in the future. Management records the effect of a tax rate or law change on our deferred tax assets and liabilities in the period of enactment. Future tax rate or law changes could have a material adverse effect on our financial condition, results of operations or cash flows.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Foreign Currency Translation</w:t>
      </w:r>
    </w:p>
    <w:p>
      <w:pPr>
        <w:spacing w:after="0" w:line="191" w:lineRule="exact"/>
        <w:rPr>
          <w:sz w:val="20"/>
          <w:szCs w:val="20"/>
          <w:color w:val="auto"/>
        </w:rPr>
      </w:pPr>
    </w:p>
    <w:p>
      <w:pPr>
        <w:ind w:right="400" w:firstLine="318"/>
        <w:spacing w:after="0" w:line="239" w:lineRule="auto"/>
        <w:rPr>
          <w:sz w:val="20"/>
          <w:szCs w:val="20"/>
          <w:color w:val="auto"/>
        </w:rPr>
      </w:pPr>
      <w:r>
        <w:rPr>
          <w:rFonts w:ascii="Times New Roman" w:cs="Times New Roman" w:eastAsia="Times New Roman" w:hAnsi="Times New Roman"/>
          <w:sz w:val="14"/>
          <w:szCs w:val="14"/>
          <w:color w:val="auto"/>
        </w:rPr>
        <w:t>For all operations outside the United States where the local currency is the functional currency, assets and liabilities 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Earnings Per Share ("EPS") of Common Stock</w:t>
      </w:r>
    </w:p>
    <w:p>
      <w:pPr>
        <w:spacing w:after="0" w:line="191"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4"/>
          <w:szCs w:val="14"/>
          <w:color w:val="auto"/>
        </w:rPr>
        <w:t>Basic earnings (loss) per share is computed by dividing net income (loss) by the weighted average 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is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Stock-Based Compensation</w:t>
      </w:r>
    </w:p>
    <w:p>
      <w:pPr>
        <w:spacing w:after="0" w:line="191" w:lineRule="exact"/>
        <w:rPr>
          <w:sz w:val="20"/>
          <w:szCs w:val="20"/>
          <w:color w:val="auto"/>
        </w:rPr>
      </w:pPr>
    </w:p>
    <w:p>
      <w:pPr>
        <w:jc w:val="both"/>
        <w:ind w:right="20" w:firstLine="318"/>
        <w:spacing w:after="0" w:line="262" w:lineRule="auto"/>
        <w:rPr>
          <w:sz w:val="20"/>
          <w:szCs w:val="20"/>
          <w:color w:val="auto"/>
        </w:rPr>
      </w:pPr>
      <w:r>
        <w:rPr>
          <w:rFonts w:ascii="Times New Roman" w:cs="Times New Roman" w:eastAsia="Times New Roman" w:hAnsi="Times New Roman"/>
          <w:sz w:val="14"/>
          <w:szCs w:val="14"/>
          <w:color w:val="181717"/>
        </w:rPr>
        <w:t>Stock-based compensation expense is determined based on the grant date fair value and recognized over the award's vesting period. For restricted stock and restricted stock units, grant date fair value is based on the closing price of our stock on the date of grant. For stock options with service condition, we estimate the grant date fair value using the Black-Scholes valuation model. For stock options with market condition, we estimate grant date fair value using a Monte Carlo valuation model. We recognize forfeitures and the corresponding reductions in expense as they occur.</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181717"/>
        </w:rPr>
        <w:t>Our stock-based compensation programs are described more fully in Note 6.</w:t>
      </w:r>
    </w:p>
    <w:p>
      <w:pPr>
        <w:sectPr>
          <w:pgSz w:w="11900" w:h="16838" w:orient="portrait"/>
          <w:cols w:equalWidth="0" w:num="1">
            <w:col w:w="11220"/>
          </w:cols>
          <w:pgMar w:left="300" w:top="314" w:right="379" w:bottom="1440" w:gutter="0" w:footer="0" w:header="0"/>
        </w:sectPr>
      </w:pPr>
    </w:p>
    <w:bookmarkStart w:id="153" w:name="page154"/>
    <w:bookmarkEnd w:id="15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91" w:lineRule="exact"/>
        <w:rPr>
          <w:sz w:val="20"/>
          <w:szCs w:val="20"/>
          <w:color w:val="auto"/>
        </w:rPr>
      </w:pPr>
    </w:p>
    <w:p>
      <w:pPr>
        <w:ind w:right="120" w:firstLine="276"/>
        <w:spacing w:after="0" w:line="239" w:lineRule="auto"/>
        <w:rPr>
          <w:sz w:val="20"/>
          <w:szCs w:val="20"/>
          <w:color w:val="auto"/>
        </w:rPr>
      </w:pPr>
      <w:r>
        <w:rPr>
          <w:rFonts w:ascii="Times New Roman" w:cs="Times New Roman" w:eastAsia="Times New Roman" w:hAnsi="Times New Roman"/>
          <w:sz w:val="14"/>
          <w:szCs w:val="14"/>
          <w:color w:val="auto"/>
        </w:rPr>
        <w:t xml:space="preserve">From time to time we use financial instruments </w:t>
      </w:r>
      <w:r>
        <w:rPr>
          <w:rFonts w:ascii="Times New Roman" w:cs="Times New Roman" w:eastAsia="Times New Roman" w:hAnsi="Times New Roman"/>
          <w:sz w:val="14"/>
          <w:szCs w:val="14"/>
          <w:color w:val="181717"/>
        </w:rPr>
        <w:t>to manage our exposure to movements in foreign exchange rates and interest rates. The use of these financial instruments modifies our exposure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181717"/>
        </w:rPr>
        <w:t xml:space="preserve">to these risks in order to minimize the potential negative impact and/or to reduce the volatility that these risks may have on our financial results. </w:t>
      </w:r>
      <w:r>
        <w:rPr>
          <w:rFonts w:ascii="Times New Roman" w:cs="Times New Roman" w:eastAsia="Times New Roman" w:hAnsi="Times New Roman"/>
          <w:sz w:val="14"/>
          <w:szCs w:val="14"/>
          <w:color w:val="000000"/>
        </w:rPr>
        <w:t>We do not use derivative financial instruments for</w:t>
      </w:r>
      <w:r>
        <w:rPr>
          <w:rFonts w:ascii="Times New Roman" w:cs="Times New Roman" w:eastAsia="Times New Roman" w:hAnsi="Times New Roman"/>
          <w:sz w:val="14"/>
          <w:szCs w:val="14"/>
          <w:color w:val="181717"/>
        </w:rPr>
        <w:t xml:space="preserve"> </w:t>
      </w:r>
      <w:r>
        <w:rPr>
          <w:rFonts w:ascii="Times New Roman" w:cs="Times New Roman" w:eastAsia="Times New Roman" w:hAnsi="Times New Roman"/>
          <w:sz w:val="14"/>
          <w:szCs w:val="14"/>
          <w:color w:val="000000"/>
        </w:rPr>
        <w:t>trading or speculative purposes.</w:t>
      </w:r>
    </w:p>
    <w:p>
      <w:pPr>
        <w:spacing w:after="0" w:line="177"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We employ established practices and procedures to manage our exposure to changes in interest rates and foreign currencies. We use foreign exchange forward and option contracts to hedge certain short-term foreign currency denominated loans and third-party and intercompany transactions. We also use cross-currency swaps to hedge our net investments in our foreign subsidiaries. In addition, we use interest rate derivatives to hedge a portion of the interest rate exposure on our outstanding debt or in anticipation of a future debt issuance.</w:t>
      </w:r>
    </w:p>
    <w:p>
      <w:pPr>
        <w:spacing w:after="0" w:line="157"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As of December 31, 2024 and 2023, certain of our derivative instruments meet hedge accounting criteria and are designated as one of the following on the date it is entered into:</w:t>
      </w:r>
    </w:p>
    <w:p>
      <w:pPr>
        <w:spacing w:after="0" w:line="155"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Flow Hedge </w:t>
      </w:r>
      <w:r>
        <w:rPr>
          <w:rFonts w:ascii="Times New Roman" w:cs="Times New Roman" w:eastAsia="Times New Roman" w:hAnsi="Times New Roman"/>
          <w:sz w:val="14"/>
          <w:szCs w:val="14"/>
          <w:color w:val="auto"/>
        </w:rPr>
        <w:t>- A hedge of the exposure to variability in the cash flows of a recognized asset, liability or a forecasted transaction. For qualifying cash flow hedges, the changes in fair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hedging instruments are reported as Other comprehensive income (loss) ("OCI") and are reclassified to earnings in the same line item associated with the hedged item when the hedged item impacts earnings.</w:t>
      </w:r>
    </w:p>
    <w:p>
      <w:pPr>
        <w:spacing w:after="0" w:line="155"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Investment Hedge </w:t>
      </w:r>
      <w:r>
        <w:rPr>
          <w:rFonts w:ascii="Times New Roman" w:cs="Times New Roman" w:eastAsia="Times New Roman" w:hAnsi="Times New Roman"/>
          <w:sz w:val="14"/>
          <w:szCs w:val="14"/>
          <w:color w:val="auto"/>
        </w:rPr>
        <w:t>- A hedge of the exposure to changes in the value of the net investment in a foreign operation that could occur as a result of changes in foreign exchange rates between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operation’s local currency and the Company’s reporting currency. For qualifying net investment hedges, the changes in fair value of hedging instruments are reported as cumulative translation adjustment ("CTA"), a component of OCI, and remain in accumulated other comprehensive income ("AOCI") until the hedged net investment is sold or substantially liquidated.</w:t>
      </w:r>
    </w:p>
    <w:p>
      <w:pPr>
        <w:spacing w:after="0" w:line="157"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 instrument and the item being hedged. The hedge accounting effectiveness is monitored on an ongoing basis, and if considered ineffective, we discontinue hedge accounting prospectively. If a hedging instrument is not designated as a hedge or ceases to qualify as a hedge in accordance with hedge accounting guidelines, any subsequent gains and losses are recognized currently in income. See Note 10 for further discussion.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181717"/>
        </w:rPr>
        <w:t>Fair Value Measurements</w:t>
      </w:r>
    </w:p>
    <w:p>
      <w:pPr>
        <w:spacing w:after="0" w:line="191" w:lineRule="exact"/>
        <w:rPr>
          <w:sz w:val="20"/>
          <w:szCs w:val="20"/>
          <w:color w:val="auto"/>
        </w:rPr>
      </w:pPr>
    </w:p>
    <w:p>
      <w:pPr>
        <w:ind w:right="100" w:firstLine="318"/>
        <w:spacing w:after="0" w:line="246" w:lineRule="auto"/>
        <w:rPr>
          <w:sz w:val="20"/>
          <w:szCs w:val="20"/>
          <w:color w:val="auto"/>
        </w:rPr>
      </w:pPr>
      <w:r>
        <w:rPr>
          <w:rFonts w:ascii="Times New Roman" w:cs="Times New Roman" w:eastAsia="Times New Roman" w:hAnsi="Times New Roman"/>
          <w:sz w:val="14"/>
          <w:szCs w:val="14"/>
          <w:color w:val="181717"/>
        </w:rPr>
        <w:t>We account for certain assets and liabilities at fair value, including purchase accounting applied to assets and liabilities acquired in a business combination and long-lived assets that are written down to fair value when they are impaired.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181717"/>
              </w:rPr>
              <w:t>Level Input</w:t>
            </w:r>
          </w:p>
        </w:tc>
        <w:tc>
          <w:tcPr>
            <w:tcW w:w="1022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181717"/>
              </w:rPr>
              <w:t>Input Definition</w:t>
            </w: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181717"/>
              </w:rPr>
              <w:t>Level I</w:t>
            </w:r>
          </w:p>
        </w:tc>
        <w:tc>
          <w:tcPr>
            <w:tcW w:w="10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181717"/>
              </w:rPr>
              <w:t>Observable inputs utilizing quoted prices (unadjusted) for identical assets or liabilities in active markets at the measurement date.</w:t>
            </w:r>
          </w:p>
        </w:tc>
      </w:tr>
      <w:tr>
        <w:trPr>
          <w:trHeight w:val="144"/>
        </w:trPr>
        <w:tc>
          <w:tcPr>
            <w:tcW w:w="10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181717"/>
              </w:rPr>
              <w:t>Level II</w:t>
            </w:r>
          </w:p>
        </w:tc>
        <w:tc>
          <w:tcPr>
            <w:tcW w:w="1022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181717"/>
              </w:rPr>
              <w:t>Inputs other than quoted prices included in Level I that are either directly or indirectly observable for the asset or liability through corroboration with market data at the</w:t>
            </w:r>
          </w:p>
        </w:tc>
      </w:tr>
      <w:tr>
        <w:trPr>
          <w:trHeight w:val="184"/>
        </w:trPr>
        <w:tc>
          <w:tcPr>
            <w:tcW w:w="1060" w:type="dxa"/>
            <w:vAlign w:val="bottom"/>
          </w:tcPr>
          <w:p>
            <w:pPr>
              <w:spacing w:after="0"/>
              <w:rPr>
                <w:sz w:val="16"/>
                <w:szCs w:val="16"/>
                <w:color w:val="auto"/>
              </w:rPr>
            </w:pPr>
          </w:p>
        </w:tc>
        <w:tc>
          <w:tcPr>
            <w:tcW w:w="10220" w:type="dxa"/>
            <w:vAlign w:val="bottom"/>
          </w:tcPr>
          <w:p>
            <w:pPr>
              <w:ind w:left="320"/>
              <w:spacing w:after="0"/>
              <w:rPr>
                <w:sz w:val="20"/>
                <w:szCs w:val="20"/>
                <w:color w:val="auto"/>
              </w:rPr>
            </w:pPr>
            <w:r>
              <w:rPr>
                <w:rFonts w:ascii="Times New Roman" w:cs="Times New Roman" w:eastAsia="Times New Roman" w:hAnsi="Times New Roman"/>
                <w:sz w:val="14"/>
                <w:szCs w:val="14"/>
                <w:color w:val="181717"/>
              </w:rPr>
              <w:t>measurement date.</w:t>
            </w:r>
          </w:p>
        </w:tc>
      </w:tr>
      <w:tr>
        <w:trPr>
          <w:trHeight w:val="145"/>
        </w:trPr>
        <w:tc>
          <w:tcPr>
            <w:tcW w:w="10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181717"/>
              </w:rPr>
              <w:t>Level III</w:t>
            </w:r>
          </w:p>
        </w:tc>
        <w:tc>
          <w:tcPr>
            <w:tcW w:w="102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181717"/>
              </w:rPr>
              <w:t>Unobservable inputs for the asset or liability in which little or no market data exists, therefore requiring management’s best estimate of what market participants would use in</w:t>
            </w:r>
          </w:p>
        </w:tc>
      </w:tr>
      <w:tr>
        <w:trPr>
          <w:trHeight w:val="184"/>
        </w:trPr>
        <w:tc>
          <w:tcPr>
            <w:tcW w:w="1060" w:type="dxa"/>
            <w:vAlign w:val="bottom"/>
            <w:shd w:val="clear" w:color="auto" w:fill="CCEEFF"/>
          </w:tcPr>
          <w:p>
            <w:pPr>
              <w:spacing w:after="0"/>
              <w:rPr>
                <w:sz w:val="16"/>
                <w:szCs w:val="16"/>
                <w:color w:val="auto"/>
              </w:rPr>
            </w:pPr>
          </w:p>
        </w:tc>
        <w:tc>
          <w:tcPr>
            <w:tcW w:w="10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181717"/>
              </w:rPr>
              <w:t>pricing the asset or liability at the measurement date.</w:t>
            </w:r>
          </w:p>
        </w:tc>
      </w:tr>
    </w:tbl>
    <w:p>
      <w:pPr>
        <w:spacing w:after="0" w:line="240" w:lineRule="exact"/>
        <w:rPr>
          <w:sz w:val="20"/>
          <w:szCs w:val="20"/>
          <w:color w:val="auto"/>
        </w:rPr>
      </w:pPr>
    </w:p>
    <w:p>
      <w:pPr>
        <w:ind w:right="380" w:firstLine="318"/>
        <w:spacing w:after="0" w:line="271"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w:t>
      </w:r>
    </w:p>
    <w:p>
      <w:pPr>
        <w:sectPr>
          <w:pgSz w:w="11900" w:h="16838" w:orient="portrait"/>
          <w:cols w:equalWidth="0" w:num="1">
            <w:col w:w="11280"/>
          </w:cols>
          <w:pgMar w:left="300" w:top="314" w:right="319" w:bottom="1440" w:gutter="0" w:footer="0" w:header="0"/>
        </w:sectPr>
      </w:pPr>
    </w:p>
    <w:bookmarkStart w:id="154" w:name="page155"/>
    <w:bookmarkEnd w:id="15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requires us to make significant estimates and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Other significant assumptions include us projecting future cash flows related to revenues and expenses based on our business plans and outlook which can be significantly impacted by our future growth opportunities, general market environment and geographic sentiment. We may use third-party valuation consultants to assist in the determination of such estimates. Accordingly, the estimates presented herein may not necessarily be indicative of amounts we could realize in a current market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Accounting Pronouncements</w:t>
      </w:r>
    </w:p>
    <w:p>
      <w:pPr>
        <w:spacing w:after="0" w:line="202"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We consider the applicability and impact of all Accounting Standards Updates ("ASUs") and applicable authoritative guidance. The ASUs not listed below were assessed and determined to be not applicable.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202" w:lineRule="exact"/>
        <w:rPr>
          <w:sz w:val="20"/>
          <w:szCs w:val="20"/>
          <w:color w:val="auto"/>
        </w:rPr>
      </w:pPr>
    </w:p>
    <w:p>
      <w:pPr>
        <w:ind w:right="200" w:firstLine="350"/>
        <w:spacing w:after="0" w:line="268"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guidance is to be</w:t>
      </w:r>
    </w:p>
    <w:p>
      <w:pPr>
        <w:spacing w:after="0" w:line="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applied retrospectively to all prior periods presented in the financial statements. For public business entities, the guidance is effective for fiscal years beginning after December 15, 2023, and interim periods within those fiscal years, beginning after December 15, 2024. We adopted this update during the fourth quarter of 2024. The adoption of this update did not have a material impact on our consolidated balance sheets, statements of operations and statements of cash flows.</w:t>
      </w:r>
    </w:p>
    <w:p>
      <w:pPr>
        <w:spacing w:after="0" w:line="157"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 March 2020, the FASB issued ASU No. 2020-04 "Facilitation of the Effects of Reference Rate Reform on Financial Reporting" to provide temporary optional expedients and exceptions to the U.S. GAAP guidance on contract modifications and hedge accounting to ease the financial reporting burdens related to the expected market transition from the London Interbank Offered Rate ("LIBOR") to alternative reference rates. In January 2021, the FASB issued ASU 2021-01, “Reference Rate Reform - Scope,” which clarified the scope and application of the original guidance in ASU No. 2020-04. On December 21, 2022, the FASB issued ASU No. 2022-06 which extends the transition date to December 31, 2024. During the second quarter of 2023, we modified agreements governing our Senior Secured Credit Facility and interest rate swaps to complete the transition of reference rate from LIBOR to Secured Overnight Financing Rate ("SOFR"). This transition did not result in a financial impact to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2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the guidance is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pacing w:after="0" w:line="167"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which requires consistent categories and greater disaggregation of information in the rate reconciliation and income taxes paid disaggregated by jurisdiction. For public business entities, the guidance is effective for fiscal years beginning after December 15, 2024. The guidance is to be applied on a prospective basis, though retrospective application is permitted. We do not expect the adoption of this authoritative guidance to have a material impact on our consolidated balance sheets, statements of operations and statements of cash flows.</w:t>
      </w:r>
    </w:p>
    <w:p>
      <w:pPr>
        <w:sectPr>
          <w:pgSz w:w="11900" w:h="16838" w:orient="portrait"/>
          <w:cols w:equalWidth="0" w:num="1">
            <w:col w:w="11220"/>
          </w:cols>
          <w:pgMar w:left="300" w:top="314" w:right="379" w:bottom="1440" w:gutter="0" w:footer="0" w:header="0"/>
        </w:sectPr>
      </w:pPr>
    </w:p>
    <w:bookmarkStart w:id="155" w:name="page156"/>
    <w:bookmarkEnd w:id="15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Revenue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total amount of the transaction price for our revenue contracts allocated to performance obligations that are unsatisfied (or partially unsatisfied) as of December 31, 2024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4"/>
                <w:szCs w:val="14"/>
                <w:color w:val="auto"/>
              </w:rPr>
            </w:pPr>
          </w:p>
        </w:tc>
        <w:tc>
          <w:tcPr>
            <w:tcW w:w="12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20" w:type="dxa"/>
            <w:vAlign w:val="bottom"/>
          </w:tcPr>
          <w:p>
            <w:pPr>
              <w:spacing w:after="0"/>
              <w:rPr>
                <w:sz w:val="14"/>
                <w:szCs w:val="14"/>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Future 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$ 1,367.2</w:t>
            </w:r>
          </w:p>
        </w:tc>
        <w:tc>
          <w:tcPr>
            <w:tcW w:w="1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$ 797.4</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$ 435.9</w:t>
            </w: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$ 217.5</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$ 119.0</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$ 301.4</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$ 3,238.4</w:t>
            </w:r>
          </w:p>
        </w:tc>
      </w:tr>
    </w:tbl>
    <w:p>
      <w:pPr>
        <w:spacing w:after="0" w:line="198" w:lineRule="exact"/>
        <w:rPr>
          <w:sz w:val="20"/>
          <w:szCs w:val="20"/>
          <w:color w:val="auto"/>
        </w:rPr>
      </w:pPr>
    </w:p>
    <w:p>
      <w:pPr>
        <w:ind w:right="300" w:firstLine="350"/>
        <w:spacing w:after="0" w:line="319" w:lineRule="auto"/>
        <w:rPr>
          <w:sz w:val="20"/>
          <w:szCs w:val="20"/>
          <w:color w:val="auto"/>
        </w:rPr>
      </w:pPr>
      <w:r>
        <w:rPr>
          <w:rFonts w:ascii="Times New Roman" w:cs="Times New Roman" w:eastAsia="Times New Roman" w:hAnsi="Times New Roman"/>
          <w:sz w:val="14"/>
          <w:szCs w:val="14"/>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p>
      <w:pPr>
        <w:spacing w:after="0" w:line="13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4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recognized at a point in time</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$ 957.6</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$ 972.4</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$ 925.0</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recognized over time</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1,424.1</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1,341.6</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1,299.6</w:t>
            </w:r>
          </w:p>
        </w:tc>
      </w:tr>
      <w:tr>
        <w:trPr>
          <w:trHeight w:val="175"/>
        </w:trPr>
        <w:tc>
          <w:tcPr>
            <w:tcW w:w="594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Total revenue recognized</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$ 2,381.7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 Balances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6"/>
        </w:trPr>
        <w:tc>
          <w:tcPr>
            <w:tcW w:w="59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1640" w:type="dxa"/>
            <w:vAlign w:val="bottom"/>
            <w:tcBorders>
              <w:bottom w:val="single" w:sz="8" w:color="auto"/>
            </w:tcBorders>
          </w:tcPr>
          <w:p>
            <w:pPr>
              <w:spacing w:after="0"/>
              <w:rPr>
                <w:sz w:val="24"/>
                <w:szCs w:val="24"/>
                <w:color w:val="auto"/>
              </w:rPr>
            </w:pPr>
          </w:p>
        </w:tc>
      </w:tr>
      <w:tr>
        <w:trPr>
          <w:trHeight w:val="161"/>
        </w:trPr>
        <w:tc>
          <w:tcPr>
            <w:tcW w:w="59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$ 239.6</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$ 258.0</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$ 271.6</w:t>
            </w:r>
          </w:p>
        </w:tc>
      </w:tr>
      <w:tr>
        <w:trPr>
          <w:trHeight w:val="25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Short-term contract assets </w:t>
            </w:r>
            <w:r>
              <w:rPr>
                <w:rFonts w:ascii="Times New Roman" w:cs="Times New Roman" w:eastAsia="Times New Roman" w:hAnsi="Times New Roman"/>
                <w:sz w:val="18"/>
                <w:szCs w:val="18"/>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$ 5.4</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$ 4.3</w:t>
            </w:r>
          </w:p>
        </w:tc>
        <w:tc>
          <w:tcPr>
            <w:tcW w:w="2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$ 6.2</w:t>
            </w:r>
          </w:p>
        </w:tc>
      </w:tr>
      <w:tr>
        <w:trPr>
          <w:trHeight w:val="25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contract assets </w:t>
            </w:r>
            <w:r>
              <w:rPr>
                <w:rFonts w:ascii="Times New Roman" w:cs="Times New Roman" w:eastAsia="Times New Roman" w:hAnsi="Times New Roman"/>
                <w:sz w:val="18"/>
                <w:szCs w:val="18"/>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$ 32.8</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$ 18.0</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$ 5.6</w:t>
            </w:r>
          </w:p>
        </w:tc>
      </w:tr>
      <w:tr>
        <w:trPr>
          <w:trHeight w:val="18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deferred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$ 555.9</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$ 590.0</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$ 563.1</w:t>
            </w:r>
          </w:p>
        </w:tc>
      </w:tr>
      <w:tr>
        <w:trPr>
          <w:trHeight w:val="25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Long-term deferred revenue </w:t>
            </w:r>
            <w:r>
              <w:rPr>
                <w:rFonts w:ascii="Times New Roman" w:cs="Times New Roman" w:eastAsia="Times New Roman" w:hAnsi="Times New Roman"/>
                <w:sz w:val="18"/>
                <w:szCs w:val="18"/>
                <w:color w:val="auto"/>
                <w:vertAlign w:val="superscript"/>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$ 22.6</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$ 19.7</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w:t>
            </w:r>
          </w:p>
        </w:tc>
      </w:tr>
    </w:tbl>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(1) Included within other current assets in the consolidated balance sheet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(2) Included within other non-current assets in the consolidated balance sheet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(3) Included within other non-current liabilities in the consolidated balance sheet</w:t>
      </w:r>
    </w:p>
    <w:p>
      <w:pPr>
        <w:spacing w:after="0" w:line="247" w:lineRule="exact"/>
        <w:rPr>
          <w:sz w:val="20"/>
          <w:szCs w:val="20"/>
          <w:color w:val="auto"/>
        </w:rPr>
      </w:pPr>
    </w:p>
    <w:p>
      <w:pPr>
        <w:ind w:right="520" w:firstLine="350"/>
        <w:spacing w:after="0" w:line="271" w:lineRule="auto"/>
        <w:rPr>
          <w:sz w:val="20"/>
          <w:szCs w:val="20"/>
          <w:color w:val="auto"/>
        </w:rPr>
      </w:pPr>
      <w:r>
        <w:rPr>
          <w:rFonts w:ascii="Times New Roman" w:cs="Times New Roman" w:eastAsia="Times New Roman" w:hAnsi="Times New Roman"/>
          <w:sz w:val="14"/>
          <w:szCs w:val="14"/>
          <w:color w:val="auto"/>
        </w:rPr>
        <w:t>The increase in contract assets of $15.9 million from December 31, 2023 to December 31, 2024 was primarily due to new contract assets recognized, net of new amounts reclassified to receivables during 2024, partially offset by $22.0 million of contract assets included in the balance at January 1, 2024 that were reclassified to receivable when they became unconditional.</w:t>
      </w:r>
    </w:p>
    <w:p>
      <w:pPr>
        <w:spacing w:after="0" w:line="146" w:lineRule="exact"/>
        <w:rPr>
          <w:sz w:val="20"/>
          <w:szCs w:val="20"/>
          <w:color w:val="auto"/>
        </w:rPr>
      </w:pPr>
    </w:p>
    <w:p>
      <w:pPr>
        <w:ind w:right="520" w:firstLine="350"/>
        <w:spacing w:after="0" w:line="287" w:lineRule="auto"/>
        <w:rPr>
          <w:sz w:val="20"/>
          <w:szCs w:val="20"/>
          <w:color w:val="auto"/>
        </w:rPr>
      </w:pPr>
      <w:r>
        <w:rPr>
          <w:rFonts w:ascii="Times New Roman" w:cs="Times New Roman" w:eastAsia="Times New Roman" w:hAnsi="Times New Roman"/>
          <w:sz w:val="14"/>
          <w:szCs w:val="14"/>
          <w:color w:val="auto"/>
        </w:rPr>
        <w:t>The increase in contract assets of $10.5 million from December 31, 2022 to December 31, 2023 was primarily due to new contract assets recognized, net of new amounts reclassified to receivables during 2023, partially offset by $11.4 million of contract assets included in the balance at January 1, 2023 that were reclassified to receivable when they became unconditional.</w:t>
      </w:r>
    </w:p>
    <w:p>
      <w:pPr>
        <w:spacing w:after="0" w:line="135" w:lineRule="exact"/>
        <w:rPr>
          <w:sz w:val="20"/>
          <w:szCs w:val="20"/>
          <w:color w:val="auto"/>
        </w:r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The decrease in deferred revenue of $31.2 million from December 31, 2023 to December 31, 2024 was primarily due to $520.7 million of revenue recognized that was included in the deferred revenue balance at December 31, 2023, largely offset by cash payments received or due in advance of satisfying our performance obligations.</w:t>
      </w:r>
    </w:p>
    <w:p>
      <w:pPr>
        <w:spacing w:after="0" w:line="156"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color w:val="auto"/>
        </w:rPr>
        <w:t>The increase in deferred revenue of $32.7 million from December 31, 2022 to December 31, 2023 was primarily due to cash payments received or due in advance of satisfying our performance obligations, largely offset by $507.5 million of revenue recognized that was included in the deferred revenue balance at December 31, 2022.</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Note 17 for a schedule providing a further disaggregation of revenue.</w:t>
      </w:r>
    </w:p>
    <w:p>
      <w:pPr>
        <w:sectPr>
          <w:pgSz w:w="11900" w:h="16838" w:orient="portrait"/>
          <w:cols w:equalWidth="0" w:num="1">
            <w:col w:w="11280"/>
          </w:cols>
          <w:pgMar w:left="300" w:top="314" w:right="319" w:bottom="1440" w:gutter="0" w:footer="0" w:header="0"/>
        </w:sectPr>
      </w:pPr>
    </w:p>
    <w:bookmarkStart w:id="156" w:name="page157"/>
    <w:bookmarkEnd w:id="15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 Recognized for the Costs to Obtain a Contract</w:t>
      </w:r>
    </w:p>
    <w:p>
      <w:pPr>
        <w:spacing w:after="0" w:line="191"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Commission assets, net of accumulated amortization included in deferred costs in the consolidated balance sheet, were $169.3 million and $161.7 million as of December 31, 2024 and December 31, 2023, respectively.</w:t>
      </w:r>
    </w:p>
    <w:p>
      <w:pPr>
        <w:spacing w:after="0" w:line="145"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amortization of commission assets, reported in selling and administrative expenses within the consolidated income statement, was $49.9 million, $43.4 million and $37.2 million for the years ended December 31, 2024,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Restructuring Charges</w:t>
      </w:r>
    </w:p>
    <w:p>
      <w:pPr>
        <w:spacing w:after="0" w:line="202"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$16.9 million for the year ended December 31, 2024, consisting of:</w:t>
      </w:r>
    </w:p>
    <w:p>
      <w:pPr>
        <w:spacing w:after="0" w:line="232" w:lineRule="exact"/>
        <w:rPr>
          <w:sz w:val="20"/>
          <w:szCs w:val="20"/>
          <w:color w:val="auto"/>
        </w:rPr>
      </w:pPr>
    </w:p>
    <w:p>
      <w:pPr>
        <w:ind w:left="520" w:right="60" w:hanging="260"/>
        <w:spacing w:after="0" w:line="251" w:lineRule="auto"/>
        <w:tabs>
          <w:tab w:leader="none" w:pos="516"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$15.7 million under ongoing benefit arrangements. Approximately 375 employees were impacted. Most of the employees impacted exited the Company by the end of 2024. The cash payments for these employees will be substantially completed by the end of the first quarter of 2025; and</w:t>
      </w:r>
    </w:p>
    <w:p>
      <w:pPr>
        <w:spacing w:after="0" w:line="188" w:lineRule="exact"/>
        <w:rPr>
          <w:rFonts w:ascii="Arial" w:cs="Arial" w:eastAsia="Arial" w:hAnsi="Arial"/>
          <w:sz w:val="17"/>
          <w:szCs w:val="17"/>
          <w:color w:val="auto"/>
        </w:rPr>
      </w:pPr>
    </w:p>
    <w:p>
      <w:pPr>
        <w:ind w:left="500" w:hanging="240"/>
        <w:spacing w:after="0"/>
        <w:tabs>
          <w:tab w:leader="none" w:pos="500" w:val="left"/>
        </w:tabs>
        <w:numPr>
          <w:ilvl w:val="0"/>
          <w:numId w:val="59"/>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write down of right of use assets and costs to consolidate or close facilities of $1.2 million.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$13.2 million for the year ended December 31, 2023, consisting of:</w:t>
      </w:r>
    </w:p>
    <w:p>
      <w:pPr>
        <w:spacing w:after="0" w:line="232" w:lineRule="exact"/>
        <w:rPr>
          <w:sz w:val="20"/>
          <w:szCs w:val="20"/>
          <w:color w:val="auto"/>
        </w:rPr>
      </w:pPr>
    </w:p>
    <w:p>
      <w:pPr>
        <w:ind w:left="520" w:right="60" w:hanging="260"/>
        <w:spacing w:after="0" w:line="238" w:lineRule="auto"/>
        <w:tabs>
          <w:tab w:leader="none" w:pos="516"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$10.0 million under ongoing benefit arrangements. Approximately 190 employees were impacted. Most of the employees impacted exited the Company by the end of 2023. The cash payments for these employees were substantially completed by the end of the first quarter of 2024; and</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60"/>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those to consolidate or close facilities of $3.2 million.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recorded total restructuring charges of $20.5 million for the year ended December 31, 2022, consisting of:</w:t>
      </w:r>
    </w:p>
    <w:p>
      <w:pPr>
        <w:spacing w:after="0" w:line="232" w:lineRule="exact"/>
        <w:rPr>
          <w:sz w:val="20"/>
          <w:szCs w:val="20"/>
          <w:color w:val="auto"/>
        </w:rPr>
      </w:pPr>
    </w:p>
    <w:p>
      <w:pPr>
        <w:ind w:left="520" w:right="60" w:hanging="260"/>
        <w:spacing w:after="0" w:line="238" w:lineRule="auto"/>
        <w:tabs>
          <w:tab w:leader="none" w:pos="516" w:val="left"/>
        </w:tabs>
        <w:numPr>
          <w:ilvl w:val="0"/>
          <w:numId w:val="61"/>
        </w:numPr>
        <w:rPr>
          <w:rFonts w:ascii="Arial" w:cs="Arial" w:eastAsia="Arial" w:hAnsi="Arial"/>
          <w:sz w:val="17"/>
          <w:szCs w:val="17"/>
          <w:color w:val="auto"/>
        </w:rPr>
      </w:pPr>
      <w:r>
        <w:rPr>
          <w:rFonts w:ascii="Times New Roman" w:cs="Times New Roman" w:eastAsia="Times New Roman" w:hAnsi="Times New Roman"/>
          <w:sz w:val="14"/>
          <w:szCs w:val="14"/>
          <w:color w:val="auto"/>
        </w:rPr>
        <w:t>Severance costs of $14.0 million under ongoing benefit arrangements. Approximately 270 employees were impacted. Most of the employees impacted exited the Company by the end of 2022. The cash payments for these employees were substantially completed by the end of the first quarter of 2023; and</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61"/>
        </w:numPr>
        <w:rPr>
          <w:rFonts w:ascii="Arial" w:cs="Arial" w:eastAsia="Arial" w:hAnsi="Arial"/>
          <w:sz w:val="17"/>
          <w:szCs w:val="17"/>
          <w:color w:val="auto"/>
        </w:rPr>
      </w:pPr>
      <w:r>
        <w:rPr>
          <w:rFonts w:ascii="Times New Roman" w:cs="Times New Roman" w:eastAsia="Times New Roman" w:hAnsi="Times New Roman"/>
          <w:sz w:val="14"/>
          <w:szCs w:val="14"/>
          <w:color w:val="auto"/>
        </w:rPr>
        <w:t>Contract termination and other exit costs, including write down of right of use assets and costs to consolidate or close facilities of $6.5 million.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restructuring reserves and utilization:</w:t>
      </w:r>
    </w:p>
    <w:p>
      <w:pPr>
        <w:sectPr>
          <w:pgSz w:w="11900" w:h="16838" w:orient="portrait"/>
          <w:cols w:equalWidth="0" w:num="1">
            <w:col w:w="11040"/>
          </w:cols>
          <w:pgMar w:left="300" w:top="313" w:right="559" w:bottom="1440" w:gutter="0" w:footer="0" w:header="0"/>
        </w:sectPr>
      </w:pPr>
    </w:p>
    <w:bookmarkStart w:id="157" w:name="page158"/>
    <w:bookmarkEnd w:id="15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40" w:type="dxa"/>
            <w:vAlign w:val="bottom"/>
          </w:tcPr>
          <w:p>
            <w:pPr>
              <w:spacing w:after="0"/>
              <w:rPr>
                <w:sz w:val="11"/>
                <w:szCs w:val="11"/>
                <w:color w:val="auto"/>
              </w:rPr>
            </w:pPr>
          </w:p>
        </w:tc>
        <w:tc>
          <w:tcPr>
            <w:tcW w:w="104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Contract termination</w:t>
            </w:r>
          </w:p>
        </w:tc>
        <w:tc>
          <w:tcPr>
            <w:tcW w:w="1420" w:type="dxa"/>
            <w:vAlign w:val="bottom"/>
          </w:tcPr>
          <w:p>
            <w:pPr>
              <w:spacing w:after="0"/>
              <w:rPr>
                <w:sz w:val="11"/>
                <w:szCs w:val="11"/>
                <w:color w:val="auto"/>
              </w:rPr>
            </w:pPr>
          </w:p>
        </w:tc>
      </w:tr>
      <w:tr>
        <w:trPr>
          <w:trHeight w:val="117"/>
        </w:trPr>
        <w:tc>
          <w:tcPr>
            <w:tcW w:w="6740" w:type="dxa"/>
            <w:vAlign w:val="bottom"/>
          </w:tcPr>
          <w:p>
            <w:pPr>
              <w:spacing w:after="0"/>
              <w:rPr>
                <w:sz w:val="10"/>
                <w:szCs w:val="10"/>
                <w:color w:val="auto"/>
              </w:rPr>
            </w:pPr>
          </w:p>
        </w:tc>
        <w:tc>
          <w:tcPr>
            <w:tcW w:w="1040" w:type="dxa"/>
            <w:vAlign w:val="bottom"/>
          </w:tcPr>
          <w:p>
            <w:pPr>
              <w:jc w:val="center"/>
              <w:ind w:left="323"/>
              <w:spacing w:after="0" w:line="117" w:lineRule="exact"/>
              <w:rPr>
                <w:sz w:val="20"/>
                <w:szCs w:val="20"/>
                <w:color w:val="auto"/>
              </w:rPr>
            </w:pPr>
            <w:r>
              <w:rPr>
                <w:rFonts w:ascii="Times New Roman" w:cs="Times New Roman" w:eastAsia="Times New Roman" w:hAnsi="Times New Roman"/>
                <w:sz w:val="11"/>
                <w:szCs w:val="11"/>
                <w:b w:val="1"/>
                <w:bCs w:val="1"/>
                <w:color w:val="auto"/>
              </w:rPr>
              <w:t>and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and other</w:t>
            </w:r>
          </w:p>
        </w:tc>
        <w:tc>
          <w:tcPr>
            <w:tcW w:w="1420" w:type="dxa"/>
            <w:vAlign w:val="bottom"/>
          </w:tcPr>
          <w:p>
            <w:pPr>
              <w:spacing w:after="0"/>
              <w:rPr>
                <w:sz w:val="10"/>
                <w:szCs w:val="10"/>
                <w:color w:val="auto"/>
              </w:rPr>
            </w:pPr>
          </w:p>
        </w:tc>
      </w:tr>
      <w:tr>
        <w:trPr>
          <w:trHeight w:val="169"/>
        </w:trPr>
        <w:tc>
          <w:tcPr>
            <w:tcW w:w="6740" w:type="dxa"/>
            <w:vAlign w:val="bottom"/>
          </w:tcPr>
          <w:p>
            <w:pPr>
              <w:spacing w:after="0"/>
              <w:rPr>
                <w:sz w:val="14"/>
                <w:szCs w:val="14"/>
                <w:color w:val="auto"/>
              </w:rPr>
            </w:pPr>
          </w:p>
        </w:tc>
        <w:tc>
          <w:tcPr>
            <w:tcW w:w="104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exit costs</w:t>
            </w:r>
          </w:p>
        </w:tc>
        <w:tc>
          <w:tcPr>
            <w:tcW w:w="142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2021</w:t>
            </w:r>
          </w:p>
        </w:tc>
        <w:tc>
          <w:tcPr>
            <w:tcW w:w="10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w:t>
            </w: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w:t>
            </w: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25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2022 </w:t>
            </w:r>
            <w:r>
              <w:rPr>
                <w:rFonts w:ascii="Times New Roman" w:cs="Times New Roman" w:eastAsia="Times New Roman" w:hAnsi="Times New Roman"/>
                <w:sz w:val="18"/>
                <w:szCs w:val="18"/>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during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7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2022</w:t>
            </w:r>
          </w:p>
        </w:tc>
        <w:tc>
          <w:tcPr>
            <w:tcW w:w="10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$ 4.8</w:t>
            </w:r>
          </w:p>
        </w:tc>
        <w:tc>
          <w:tcPr>
            <w:tcW w:w="14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$ 2.2</w:t>
            </w:r>
          </w:p>
        </w:tc>
        <w:tc>
          <w:tcPr>
            <w:tcW w:w="14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$ 7.0</w:t>
            </w:r>
          </w:p>
        </w:tc>
      </w:tr>
      <w:tr>
        <w:trPr>
          <w:trHeight w:val="22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2023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bl>
    <w:p>
      <w:pPr>
        <w:spacing w:after="0" w:line="1" w:lineRule="exact"/>
        <w:rPr>
          <w:sz w:val="20"/>
          <w:szCs w:val="20"/>
          <w:color w:val="auto"/>
        </w:rPr>
      </w:pPr>
    </w:p>
    <w:p>
      <w:pPr>
        <w:sectPr>
          <w:pgSz w:w="11900" w:h="16838" w:orient="portrait"/>
          <w:cols w:equalWidth="0" w:num="1">
            <w:col w:w="11280"/>
          </w:cols>
          <w:pgMar w:left="300" w:top="314"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Payments made during 2023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2023</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Charge taken during 2024 </w:t>
      </w:r>
      <w:r>
        <w:rPr>
          <w:rFonts w:ascii="Times New Roman" w:cs="Times New Roman" w:eastAsia="Times New Roman" w:hAnsi="Times New Roman"/>
          <w:sz w:val="18"/>
          <w:szCs w:val="18"/>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Payments made during 2024</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remaining as of December 31, 2024</w:t>
      </w:r>
    </w:p>
    <w:p>
      <w:pPr>
        <w:spacing w:after="0" w:line="140"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 excludes charges accounted for under Topic 842.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71"/>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$ 0.8</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$ 3.2</w:t>
            </w:r>
          </w:p>
        </w:tc>
      </w:tr>
      <w:tr>
        <w:trPr>
          <w:trHeight w:val="220"/>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4"/>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71"/>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$ 3.3</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$ 0.4</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$ 3.7</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-538480</wp:posOffset>
            </wp:positionV>
            <wp:extent cx="7161530" cy="121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-262255</wp:posOffset>
            </wp:positionV>
            <wp:extent cx="7161530" cy="1143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6020" w:space="720"/>
            <w:col w:w="4540"/>
          </w:cols>
          <w:pgMar w:left="300" w:top="314" w:right="31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6"/>
          <w:szCs w:val="16"/>
          <w:b w:val="1"/>
          <w:bCs w:val="1"/>
          <w:color w:val="auto"/>
        </w:rPr>
        <w:t>Stock Based Compensation</w:t>
      </w:r>
    </w:p>
    <w:p>
      <w:pPr>
        <w:spacing w:after="0" w:line="20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color w:val="auto"/>
        </w:rPr>
        <w:t>Under the Dun &amp; Bradstreet 2020 Omnibus Incentive Plan (the "Plan"), we are authorized to issue up to 40,000,000 shares of the Company’s common stock in the form of stock-based awards, such as, but not limited to, restricted stock, restricted stock units and stock options. As of December 31, 2024, a total of 13,935,447 shares of our common stock were available for future grants under the Plan.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181717"/>
        </w:rPr>
        <w:t>The following table sets forth the components of our stock-based compensation and expected tax benefit related to the plans in effect during the respective year:</w:t>
      </w:r>
    </w:p>
    <w:p>
      <w:pPr>
        <w:spacing w:after="0" w:line="23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260" w:type="dxa"/>
        <w:tblCellMar>
          <w:top w:w="0" w:type="dxa"/>
          <w:left w:w="0" w:type="dxa"/>
          <w:bottom w:w="0" w:type="dxa"/>
          <w:right w:w="0" w:type="dxa"/>
        </w:tblCellMar>
      </w:tblPr>
      <w:tr>
        <w:trPr>
          <w:trHeight w:val="128"/>
        </w:trPr>
        <w:tc>
          <w:tcPr>
            <w:tcW w:w="734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2024</w:t>
            </w:r>
          </w:p>
        </w:tc>
        <w:tc>
          <w:tcPr>
            <w:tcW w:w="4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top w:val="single" w:sz="8" w:color="auto"/>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4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Stock-based compensation expense:</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Restricted stock and restricted stock units </w:t>
            </w:r>
            <w:r>
              <w:rPr>
                <w:rFonts w:ascii="Times New Roman" w:cs="Times New Roman" w:eastAsia="Times New Roman" w:hAnsi="Times New Roman"/>
                <w:sz w:val="14"/>
                <w:szCs w:val="14"/>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$ 62.2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$ 53.7</w:t>
            </w:r>
          </w:p>
        </w:tc>
      </w:tr>
      <w:tr>
        <w:trPr>
          <w:trHeight w:val="1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23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Incentive units </w:t>
            </w:r>
            <w:r>
              <w:rPr>
                <w:rFonts w:ascii="Times New Roman" w:cs="Times New Roman" w:eastAsia="Times New Roman" w:hAnsi="Times New Roman"/>
                <w:sz w:val="14"/>
                <w:szCs w:val="14"/>
                <w:color w:val="auto"/>
                <w:vertAlign w:val="superscript"/>
              </w:rPr>
              <w:t>(2)</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3"/>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compensation expense</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$ 66.0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7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5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tax benefit: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Restricted stock and restricted stock units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$ 6.5</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$ 6.8</w:t>
            </w:r>
          </w:p>
        </w:tc>
      </w:tr>
      <w:tr>
        <w:trPr>
          <w:trHeight w:val="172"/>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58"/>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compensation expense</w:t>
            </w:r>
          </w:p>
        </w:tc>
        <w:tc>
          <w:tcPr>
            <w:tcW w:w="7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$ 6.7</w:t>
            </w:r>
          </w:p>
        </w:tc>
        <w:tc>
          <w:tcPr>
            <w:tcW w:w="8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$ 7.4</w:t>
            </w:r>
          </w:p>
        </w:tc>
        <w:tc>
          <w:tcPr>
            <w:tcW w:w="1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$ 7.3</w:t>
            </w:r>
          </w:p>
        </w:tc>
      </w:tr>
    </w:tbl>
    <w:p>
      <w:pPr>
        <w:spacing w:after="0" w:line="99"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Higher expense for restricted stock and restricted stock units in 2023 and 2022 was primarily due to the additions of grants and the expense recognition associated with accelerated shares.</w:t>
      </w:r>
    </w:p>
    <w:p>
      <w:pPr>
        <w:spacing w:after="0" w:line="75"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stock-based awards granted prior to the IPO.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We accounted for stock options based on grant date fair value. Service condition options were valued using the Black-Scholes valuation model. Market condition options were valued using a Monte Carlo valuation model.</w:t>
      </w:r>
    </w:p>
    <w:p>
      <w:pPr>
        <w:spacing w:after="0" w:line="156"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On August 5, 2022, we granted to certain executives 4,914,868 stock options that contained both a service condition and a market condition. The stock options have a 10-year term and vest ratably over three years, commencing on the first anniversary of the grant date. The executives must remain continuously employed through the latter of (1) the vesting periods or (2) the time when the market condition is met. The market condition, which impacts the exercisability of the stock options, requires that D&amp;B’s share price must exceed the grant date share price by 20% for 20 trading days in any 30-day trading window during the 10-year term of the award. As these awards contain a market condition, the fair value on the date of grant was calculated using a Monte Carlo simulation model.</w:t>
      </w:r>
    </w:p>
    <w:p>
      <w:pPr>
        <w:sectPr>
          <w:pgSz w:w="11900" w:h="16838" w:orient="portrait"/>
          <w:cols w:equalWidth="0" w:num="1">
            <w:col w:w="11280"/>
          </w:cols>
          <w:pgMar w:left="300" w:top="314" w:right="319" w:bottom="1440" w:gutter="0" w:footer="0" w:header="0"/>
          <w:type w:val="continuous"/>
        </w:sectPr>
      </w:pPr>
    </w:p>
    <w:bookmarkStart w:id="158" w:name="page159"/>
    <w:bookmarkEnd w:id="15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weighted average assumptions were used for options granted:</w:t>
      </w:r>
    </w:p>
    <w:p>
      <w:pPr>
        <w:spacing w:after="0" w:line="4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8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3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Expected dividend yield </w:t>
            </w:r>
            <w:r>
              <w:rPr>
                <w:rFonts w:ascii="Times New Roman" w:cs="Times New Roman" w:eastAsia="Times New Roman" w:hAnsi="Times New Roman"/>
                <w:sz w:val="18"/>
                <w:szCs w:val="18"/>
                <w:color w:val="auto"/>
                <w:vertAlign w:val="superscript"/>
              </w:rPr>
              <w:t>(1)</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r>
      <w:tr>
        <w:trPr>
          <w:trHeight w:val="255"/>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Expected stock price volatility </w:t>
            </w:r>
            <w:r>
              <w:rPr>
                <w:rFonts w:ascii="Times New Roman" w:cs="Times New Roman" w:eastAsia="Times New Roman" w:hAnsi="Times New Roman"/>
                <w:sz w:val="18"/>
                <w:szCs w:val="18"/>
                <w:color w:val="auto"/>
                <w:vertAlign w:val="superscript"/>
              </w:rPr>
              <w:t>(2)</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255"/>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(3)</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r>
      <w:tr>
        <w:trPr>
          <w:trHeight w:val="255"/>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Expected life of options (in years) </w:t>
            </w:r>
            <w:r>
              <w:rPr>
                <w:rFonts w:ascii="Times New Roman" w:cs="Times New Roman" w:eastAsia="Times New Roman" w:hAnsi="Times New Roman"/>
                <w:sz w:val="18"/>
                <w:szCs w:val="18"/>
                <w:color w:val="auto"/>
                <w:vertAlign w:val="superscript"/>
              </w:rPr>
              <w:t>(4)</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r>
    </w:tbl>
    <w:p>
      <w:pPr>
        <w:spacing w:after="0" w:line="99" w:lineRule="exact"/>
        <w:rPr>
          <w:sz w:val="20"/>
          <w:szCs w:val="20"/>
          <w:color w:val="auto"/>
        </w:rPr>
      </w:pPr>
    </w:p>
    <w:p>
      <w:pPr>
        <w:ind w:left="500" w:hanging="240"/>
        <w:spacing w:after="0"/>
        <w:tabs>
          <w:tab w:leader="none" w:pos="5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2022 grants, the expected dividend yield was based on our quarterly dividend divided by the three-month average stock price as of the grant date, annualized and continuously compounded.</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2022 grants, expected stock price volatility was calculated based 50% on D&amp;B’s historical volatility and 50% on the leverage-adjusted volatility of our peer companies.</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Risk free interest rate was based on the term-matched, zero-coupon risk-free rate from the Treasury Constant Maturity yield curve, continuously compounded.</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2022 grants, the expected term was based on the midpoint between the time of hurdle achievement and the expiration date.</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stock options activity for the year ended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720" w:type="dxa"/>
            <w:vAlign w:val="bottom"/>
            <w:tcBorders>
              <w:bottom w:val="single" w:sz="8" w:color="auto"/>
            </w:tcBorders>
          </w:tcPr>
          <w:p>
            <w:pPr>
              <w:spacing w:after="0"/>
              <w:rPr>
                <w:sz w:val="14"/>
                <w:szCs w:val="14"/>
                <w:color w:val="auto"/>
              </w:rPr>
            </w:pPr>
          </w:p>
        </w:tc>
      </w:tr>
      <w:tr>
        <w:trPr>
          <w:trHeight w:val="184"/>
        </w:trPr>
        <w:tc>
          <w:tcPr>
            <w:tcW w:w="3840" w:type="dxa"/>
            <w:vAlign w:val="bottom"/>
          </w:tcPr>
          <w:p>
            <w:pPr>
              <w:spacing w:after="0"/>
              <w:rPr>
                <w:sz w:val="15"/>
                <w:szCs w:val="15"/>
                <w:color w:val="auto"/>
              </w:rPr>
            </w:pPr>
          </w:p>
        </w:tc>
        <w:tc>
          <w:tcPr>
            <w:tcW w:w="15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5"/>
                <w:szCs w:val="15"/>
                <w:color w:val="auto"/>
              </w:rPr>
            </w:pP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 average remaining</w:t>
            </w:r>
          </w:p>
        </w:tc>
        <w:tc>
          <w:tcPr>
            <w:tcW w:w="1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Aggregate intrinsic value (in</w:t>
            </w:r>
          </w:p>
        </w:tc>
      </w:tr>
      <w:tr>
        <w:trPr>
          <w:trHeight w:val="169"/>
        </w:trPr>
        <w:tc>
          <w:tcPr>
            <w:tcW w:w="3840" w:type="dxa"/>
            <w:vAlign w:val="bottom"/>
          </w:tcPr>
          <w:p>
            <w:pPr>
              <w:spacing w:after="0"/>
              <w:rPr>
                <w:sz w:val="14"/>
                <w:szCs w:val="14"/>
                <w:color w:val="auto"/>
              </w:rPr>
            </w:pPr>
          </w:p>
        </w:tc>
        <w:tc>
          <w:tcPr>
            <w:tcW w:w="154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4"/>
                <w:szCs w:val="14"/>
                <w:color w:val="auto"/>
              </w:rPr>
            </w:pPr>
          </w:p>
        </w:tc>
        <w:tc>
          <w:tcPr>
            <w:tcW w:w="1520" w:type="dxa"/>
            <w:vAlign w:val="bottom"/>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contractual term (in years)</w:t>
            </w:r>
          </w:p>
        </w:tc>
        <w:tc>
          <w:tcPr>
            <w:tcW w:w="172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172"/>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10,865,868</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$19.31</w:t>
            </w: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(64,499)</w:t>
            </w:r>
          </w:p>
        </w:tc>
        <w:tc>
          <w:tcPr>
            <w:tcW w:w="1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$15.89</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10,801,369</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$19.33</w:t>
            </w:r>
          </w:p>
        </w:tc>
        <w:tc>
          <w:tcPr>
            <w:tcW w:w="2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r>
        <w:trPr>
          <w:trHeight w:val="153"/>
        </w:trPr>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to vest as of December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4,721,369</w:t>
            </w:r>
          </w:p>
        </w:tc>
        <w:tc>
          <w:tcPr>
            <w:tcW w:w="1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$15.89</w:t>
            </w:r>
          </w:p>
        </w:tc>
        <w:tc>
          <w:tcPr>
            <w:tcW w:w="2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6,080,000</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$22.00</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jc w:val="both"/>
        <w:ind w:right="220" w:firstLine="255"/>
        <w:spacing w:after="0" w:line="271" w:lineRule="auto"/>
        <w:rPr>
          <w:sz w:val="20"/>
          <w:szCs w:val="20"/>
          <w:color w:val="auto"/>
        </w:rPr>
      </w:pPr>
      <w:r>
        <w:rPr>
          <w:rFonts w:ascii="Times New Roman" w:cs="Times New Roman" w:eastAsia="Times New Roman" w:hAnsi="Times New Roman"/>
          <w:sz w:val="14"/>
          <w:szCs w:val="14"/>
          <w:color w:val="auto"/>
        </w:rPr>
        <w:t>There were 4,914,868 stock options granted during 2022. As of December 31, 2024, total unrecognized compensation cost related to stock options was $1.7 million, which was expected to be recognized over a weighted average period of 0.7 years.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stock options were exercised for the years ended December 31, 2024, 2023 and 2022.</w:t>
      </w:r>
    </w:p>
    <w:p>
      <w:pPr>
        <w:sectPr>
          <w:pgSz w:w="11900" w:h="16838" w:orient="portrait"/>
          <w:cols w:equalWidth="0" w:num="1">
            <w:col w:w="11280"/>
          </w:cols>
          <w:pgMar w:left="300" w:top="314" w:right="319" w:bottom="1440" w:gutter="0" w:footer="0" w:header="0"/>
        </w:sectPr>
      </w:pPr>
    </w:p>
    <w:bookmarkStart w:id="159" w:name="page160"/>
    <w:bookmarkEnd w:id="15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and Restricted Stock Units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Restricted stock and restricted stock units are valued on the award grant date at the closing market price of our stock.</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restricted stock and restricted stock units activity for the year ended December 31,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Restricted stock and Restricted stock units</w:t>
            </w: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80" w:type="dxa"/>
            <w:vAlign w:val="bottom"/>
          </w:tcPr>
          <w:p>
            <w:pPr>
              <w:spacing w:after="0"/>
              <w:rPr>
                <w:sz w:val="15"/>
                <w:szCs w:val="15"/>
                <w:color w:val="auto"/>
              </w:rPr>
            </w:pPr>
          </w:p>
        </w:tc>
        <w:tc>
          <w:tcPr>
            <w:tcW w:w="1540" w:type="dxa"/>
            <w:vAlign w:val="bottom"/>
            <w:vMerge w:val="restart"/>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5"/>
                <w:szCs w:val="15"/>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1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 contractual</w:t>
            </w:r>
          </w:p>
        </w:tc>
        <w:tc>
          <w:tcPr>
            <w:tcW w:w="2040" w:type="dxa"/>
            <w:vAlign w:val="bottom"/>
            <w:vMerge w:val="restart"/>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Aggregate intrinsic value</w:t>
            </w: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 (in years)</w:t>
            </w: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8,682,523</w:t>
            </w:r>
          </w:p>
        </w:tc>
        <w:tc>
          <w:tcPr>
            <w:tcW w:w="16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$13.78</w:t>
            </w:r>
          </w:p>
        </w:tc>
        <w:tc>
          <w:tcPr>
            <w:tcW w:w="1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40" w:type="dxa"/>
            <w:vAlign w:val="bottom"/>
            <w:tcBorders>
              <w:top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5,505,936</w:t>
            </w:r>
          </w:p>
        </w:tc>
        <w:tc>
          <w:tcPr>
            <w:tcW w:w="2120" w:type="dxa"/>
            <w:vAlign w:val="bottom"/>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$10.43</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(246,148)</w:t>
            </w:r>
          </w:p>
        </w:tc>
        <w:tc>
          <w:tcPr>
            <w:tcW w:w="2120" w:type="dxa"/>
            <w:vAlign w:val="bottom"/>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$12.23</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(3,934,008)</w:t>
            </w:r>
          </w:p>
        </w:tc>
        <w:tc>
          <w:tcPr>
            <w:tcW w:w="2120" w:type="dxa"/>
            <w:vAlign w:val="bottom"/>
            <w:tcBorders>
              <w:bottom w:val="single" w:sz="8" w:color="CCEEFF"/>
            </w:tcBorders>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$14.78</w:t>
            </w:r>
          </w:p>
        </w:tc>
        <w:tc>
          <w:tcPr>
            <w:tcW w:w="1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10,008,303</w:t>
            </w:r>
          </w:p>
        </w:tc>
        <w:tc>
          <w:tcPr>
            <w:tcW w:w="2120" w:type="dxa"/>
            <w:vAlign w:val="bottom"/>
            <w:tcBorders>
              <w:bottom w:val="single" w:sz="8" w:color="CCEEFF"/>
            </w:tcBorders>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4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The weighted average grant date fair value per share of restricted stock and restricted stock units granted for the years ended December 31, 2023 and 2022 were $11.27 and $16.18, respectively. As of December 31, 2024, total unrecognized compensation cost related to non-vested restricted stock and restricted stock units was $42.2 million, which is expected to be recognized over a weighted average period of 1.9 years.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information relating to the vesting of restricted stock and restricted stock units:</w:t>
      </w:r>
    </w:p>
    <w:p>
      <w:pPr>
        <w:spacing w:after="0" w:line="4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shares vested</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$ 42.1</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$ 30.9</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$ 15.8</w:t>
            </w:r>
          </w:p>
        </w:tc>
      </w:tr>
      <w:tr>
        <w:trPr>
          <w:trHeight w:val="184"/>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benefit realized upon vesting</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$ 4.3</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$ 3.7</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$ 2.4</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p>
      <w:pPr>
        <w:spacing w:after="0" w:line="149"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Under the Dun &amp; Bradstreet Holdings, Inc. Employee Stock Purchase Plan, eligible employees are allowed to voluntarily make after-tax contributions ranging from 3% to 15% of eligible earnings. The Company contributes varying matching amounts to employees, as specified in the plan document, after a one year holding period. We recorded the associated expense of $2.4 million, $2.2 million and $2.9 million for the years ended December 31, 2024, 2023 and 2022, respectively.</w:t>
      </w:r>
    </w:p>
    <w:p>
      <w:pPr>
        <w:sectPr>
          <w:pgSz w:w="11900" w:h="16838" w:orient="portrait"/>
          <w:cols w:equalWidth="0" w:num="1">
            <w:col w:w="11280"/>
          </w:cols>
          <w:pgMar w:left="300" w:top="314" w:right="319" w:bottom="1440" w:gutter="0" w:footer="0" w:header="0"/>
        </w:sectPr>
      </w:pPr>
    </w:p>
    <w:bookmarkStart w:id="160" w:name="page161"/>
    <w:bookmarkEnd w:id="16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Pension and Postretirement Benefits</w:t>
      </w:r>
    </w:p>
    <w:p>
      <w:pPr>
        <w:spacing w:after="0" w:line="223"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64" w:lineRule="exact"/>
        <w:rPr>
          <w:sz w:val="20"/>
          <w:szCs w:val="20"/>
          <w:color w:val="auto"/>
        </w:rPr>
      </w:pPr>
    </w:p>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Effective June 30, 2007, we amended the U.S. Qualified Plan. Any pension benefit that had been accrued through such date under the plan was “frozen” at its then current value and no additional benefits, other than interest on such amounts, is accrued under the U.S. Qualified Plan.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employees in certain of our international operations are also provided with retirement benefits through defined benefit plans, representing the remaining balance of our pension obligations.</w:t>
      </w:r>
    </w:p>
    <w:p>
      <w:pPr>
        <w:spacing w:after="0" w:line="200"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Prior to January 1, 2019, we also provided various health care benefits for eligible retirees. Postretirement benefit costs and obligations are determined actuarially. Effective January 1, 2019, the pre-65 health plan was terminated and the post-65 health plan is closed to new participants.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of our non-U.S. based employees receive postretirement benefits through government-sponsored or administered programs.</w:t>
      </w:r>
    </w:p>
    <w:p>
      <w:pPr>
        <w:sectPr>
          <w:pgSz w:w="11900" w:h="16838" w:orient="portrait"/>
          <w:cols w:equalWidth="0" w:num="1">
            <w:col w:w="11240"/>
          </w:cols>
          <w:pgMar w:left="300" w:top="409" w:right="359" w:bottom="1440" w:gutter="0" w:footer="0" w:header="0"/>
        </w:sectPr>
      </w:pPr>
    </w:p>
    <w:bookmarkStart w:id="161" w:name="page162"/>
    <w:bookmarkEnd w:id="16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Benefit Obligation and Plan Assets</w:t>
      </w:r>
    </w:p>
    <w:p>
      <w:pPr>
        <w:spacing w:after="0" w:line="159" w:lineRule="exact"/>
        <w:rPr>
          <w:sz w:val="20"/>
          <w:szCs w:val="20"/>
          <w:color w:val="auto"/>
        </w:rPr>
      </w:pPr>
    </w:p>
    <w:p>
      <w:pPr>
        <w:ind w:right="120" w:firstLine="382"/>
        <w:spacing w:after="0" w:line="334" w:lineRule="auto"/>
        <w:rPr>
          <w:sz w:val="20"/>
          <w:szCs w:val="20"/>
          <w:color w:val="auto"/>
        </w:rPr>
      </w:pPr>
      <w:r>
        <w:rPr>
          <w:rFonts w:ascii="Times New Roman" w:cs="Times New Roman" w:eastAsia="Times New Roman" w:hAnsi="Times New Roman"/>
          <w:sz w:val="14"/>
          <w:szCs w:val="14"/>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53" w:lineRule="exact"/>
        <w:rPr>
          <w:sz w:val="20"/>
          <w:szCs w:val="20"/>
          <w:color w:val="auto"/>
        </w:rPr>
      </w:pPr>
    </w:p>
    <w:p>
      <w:pPr>
        <w:ind w:left="5940"/>
        <w:spacing w:after="0"/>
        <w:tabs>
          <w:tab w:leader="none" w:pos="8760" w:val="left"/>
        </w:tabs>
        <w:rPr>
          <w:sz w:val="20"/>
          <w:szCs w:val="20"/>
          <w:color w:val="auto"/>
        </w:rPr>
      </w:pPr>
      <w:r>
        <w:rPr>
          <w:rFonts w:ascii="Times New Roman" w:cs="Times New Roman" w:eastAsia="Times New Roman" w:hAnsi="Times New Roman"/>
          <w:sz w:val="13"/>
          <w:szCs w:val="13"/>
          <w:b w:val="1"/>
          <w:bCs w:val="1"/>
          <w:color w:val="auto"/>
        </w:rPr>
        <w:t>Pension plans</w:t>
      </w:r>
      <w:r>
        <w:rPr>
          <w:sz w:val="20"/>
          <w:szCs w:val="20"/>
          <w:color w:val="auto"/>
        </w:rPr>
        <w:tab/>
      </w:r>
      <w:r>
        <w:rPr>
          <w:rFonts w:ascii="Times New Roman" w:cs="Times New Roman" w:eastAsia="Times New Roman" w:hAnsi="Times New Roman"/>
          <w:sz w:val="12"/>
          <w:szCs w:val="12"/>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13970</wp:posOffset>
            </wp:positionV>
            <wp:extent cx="415036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4150360" cy="6985"/>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p>
      <w:pPr>
        <w:spacing w:after="0" w:line="32"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22860</wp:posOffset>
            </wp:positionV>
            <wp:extent cx="200088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6" w:lineRule="exact"/>
        <w:rPr>
          <w:sz w:val="20"/>
          <w:szCs w:val="20"/>
          <w:color w:val="auto"/>
        </w:rPr>
      </w:pPr>
    </w:p>
    <w:p>
      <w:pPr>
        <w:ind w:left="5420"/>
        <w:spacing w:after="0"/>
        <w:tabs>
          <w:tab w:leader="none" w:pos="7020" w:val="left"/>
        </w:tabs>
        <w:rPr>
          <w:sz w:val="20"/>
          <w:szCs w:val="20"/>
          <w:color w:val="auto"/>
        </w:rPr>
      </w:pPr>
      <w:r>
        <w:rPr>
          <w:rFonts w:ascii="Times New Roman" w:cs="Times New Roman" w:eastAsia="Times New Roman" w:hAnsi="Times New Roman"/>
          <w:sz w:val="8"/>
          <w:szCs w:val="8"/>
          <w:b w:val="1"/>
          <w:bCs w:val="1"/>
          <w:color w:val="auto"/>
        </w:rPr>
        <w:t>2024</w:t>
      </w:r>
      <w:r>
        <w:rPr>
          <w:sz w:val="20"/>
          <w:szCs w:val="20"/>
          <w:color w:val="auto"/>
        </w:rPr>
        <w:tab/>
      </w:r>
      <w:r>
        <w:rPr>
          <w:rFonts w:ascii="Times New Roman" w:cs="Times New Roman" w:eastAsia="Times New Roman" w:hAnsi="Times New Roman"/>
          <w:sz w:val="8"/>
          <w:szCs w:val="8"/>
          <w:b w:val="1"/>
          <w:bCs w:val="1"/>
          <w:color w:val="auto"/>
        </w:rPr>
        <w:t>2023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22860</wp:posOffset>
            </wp:positionV>
            <wp:extent cx="20008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8"/>
          <w:szCs w:val="8"/>
          <w:b w:val="1"/>
          <w:bCs w:val="1"/>
          <w:color w:val="auto"/>
        </w:rPr>
        <w:t>2024</w:t>
      </w:r>
      <w:r>
        <w:rPr>
          <w:sz w:val="20"/>
          <w:szCs w:val="20"/>
          <w:color w:val="auto"/>
        </w:rPr>
        <w:tab/>
      </w:r>
      <w:r>
        <w:rPr>
          <w:rFonts w:ascii="Times New Roman" w:cs="Times New Roman" w:eastAsia="Times New Roman" w:hAnsi="Times New Roman"/>
          <w:sz w:val="8"/>
          <w:szCs w:val="8"/>
          <w:b w:val="1"/>
          <w:bCs w:val="1"/>
          <w:color w:val="auto"/>
        </w:rPr>
        <w:t>2023</w:t>
      </w:r>
    </w:p>
    <w:p>
      <w:pPr>
        <w:spacing w:after="0" w:line="18" w:lineRule="exact"/>
        <w:rPr>
          <w:sz w:val="20"/>
          <w:szCs w:val="20"/>
          <w:color w:val="auto"/>
        </w:rPr>
      </w:pPr>
    </w:p>
    <w:p>
      <w:pPr>
        <w:sectPr>
          <w:pgSz w:w="11900" w:h="16838" w:orient="portrait"/>
          <w:cols w:equalWidth="0" w:num="2">
            <w:col w:w="8080" w:space="720"/>
            <w:col w:w="2480"/>
          </w:cols>
          <w:pgMar w:left="300" w:top="409" w:right="31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Change in benefit obligation:</w:t>
            </w: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Benefit obligation at beginning of year</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(1,417.5)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(1,400.4)</w:t>
            </w: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Service cost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Interest cost</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Benefits paid</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amendment</w:t>
            </w:r>
          </w:p>
        </w:tc>
        <w:tc>
          <w:tcPr>
            <w:tcW w:w="200" w:type="dxa"/>
            <w:vAlign w:val="bottom"/>
          </w:tcPr>
          <w:p>
            <w:pPr>
              <w:spacing w:after="0"/>
              <w:rPr>
                <w:sz w:val="14"/>
                <w:szCs w:val="14"/>
                <w:color w:val="auto"/>
              </w:rPr>
            </w:pPr>
          </w:p>
        </w:tc>
        <w:tc>
          <w:tcPr>
            <w:tcW w:w="9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Settlement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participants' contributions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Actuarial (loss) gain</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Effect of changes in foreign currency exchange rates</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 obligation at end of year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(1,309.3)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(1,417.5)</w:t>
            </w:r>
          </w:p>
        </w:tc>
        <w:tc>
          <w:tcPr>
            <w:tcW w:w="2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(0.8)</w:t>
            </w:r>
          </w:p>
        </w:tc>
      </w:tr>
      <w:tr>
        <w:trPr>
          <w:trHeight w:val="114"/>
        </w:trPr>
        <w:tc>
          <w:tcPr>
            <w:tcW w:w="47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Change in plan assets:</w:t>
            </w: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r>
      <w:tr>
        <w:trPr>
          <w:trHeight w:val="174"/>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Fair value of plan assets at beginning of year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$ 1,282.7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$ 1,250.2</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Actual return on plan assets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Employer contributions</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Plan participants' contributions</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Benefits paid</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(0.2)</w:t>
            </w: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Settlement</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changes in foreign currency exchange rates</w:t>
            </w:r>
          </w:p>
        </w:tc>
        <w:tc>
          <w:tcPr>
            <w:tcW w:w="8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Fair value of plan assets at end of year</w:t>
            </w: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$ 1,204.2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$ 1,282.7</w:t>
            </w: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funded status of plan</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(105.1)</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(134.8)</w:t>
            </w:r>
          </w:p>
        </w:tc>
        <w:tc>
          <w:tcPr>
            <w:tcW w:w="2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(0.8)</w:t>
            </w:r>
          </w:p>
        </w:tc>
      </w:tr>
      <w:tr>
        <w:trPr>
          <w:trHeight w:val="20"/>
        </w:trPr>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607"/>
        </w:trPr>
        <w:tc>
          <w:tcPr>
            <w:tcW w:w="4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Pension plans</w:t>
            </w: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Postretirement benefit obligations</w:t>
            </w:r>
          </w:p>
        </w:tc>
        <w:tc>
          <w:tcPr>
            <w:tcW w:w="280" w:type="dxa"/>
            <w:vAlign w:val="bottom"/>
            <w:tcBorders>
              <w:bottom w:val="single" w:sz="8" w:color="auto"/>
            </w:tcBorders>
          </w:tcPr>
          <w:p>
            <w:pPr>
              <w:spacing w:after="0"/>
              <w:rPr>
                <w:sz w:val="24"/>
                <w:szCs w:val="24"/>
                <w:color w:val="auto"/>
              </w:rPr>
            </w:pPr>
          </w:p>
        </w:tc>
      </w:tr>
      <w:tr>
        <w:trPr>
          <w:trHeight w:val="147"/>
        </w:trPr>
        <w:tc>
          <w:tcPr>
            <w:tcW w:w="4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r>
      <w:tr>
        <w:trPr>
          <w:trHeight w:val="15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recorded in the consolidated balance sheets:</w:t>
            </w:r>
          </w:p>
        </w:tc>
        <w:tc>
          <w:tcPr>
            <w:tcW w:w="9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44"/>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Prepaid pension assets </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4"/>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Short-term pension and postretirement benefits </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(0.1)</w:t>
            </w:r>
          </w:p>
        </w:tc>
      </w:tr>
      <w:tr>
        <w:trPr>
          <w:trHeight w:val="244"/>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Long-term pension and postretirement benefits </w:t>
            </w:r>
            <w:r>
              <w:rPr>
                <w:rFonts w:ascii="Times New Roman" w:cs="Times New Roman" w:eastAsia="Times New Roman" w:hAnsi="Times New Roman"/>
                <w:sz w:val="16"/>
                <w:szCs w:val="16"/>
                <w:color w:val="auto"/>
                <w:vertAlign w:val="superscript"/>
              </w:rPr>
              <w:t>(3)</w:t>
            </w:r>
          </w:p>
        </w:tc>
        <w:tc>
          <w:tcPr>
            <w:tcW w:w="94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(109.3)</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(139.0)</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(0.7)</w:t>
            </w:r>
          </w:p>
        </w:tc>
      </w:tr>
      <w:tr>
        <w:trPr>
          <w:trHeight w:val="18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amount recognized</w:t>
            </w:r>
          </w:p>
        </w:tc>
        <w:tc>
          <w:tcPr>
            <w:tcW w:w="940" w:type="dxa"/>
            <w:vAlign w:val="bottom"/>
            <w:tcBorders>
              <w:bottom w:val="single" w:sz="8" w:color="auto"/>
            </w:tcBorders>
            <w:gridSpan w:val="2"/>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(105.1)</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(134.8)</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(0.8)</w:t>
            </w:r>
          </w:p>
        </w:tc>
      </w:tr>
      <w:tr>
        <w:trPr>
          <w:trHeight w:val="20"/>
        </w:trPr>
        <w:tc>
          <w:tcPr>
            <w:tcW w:w="46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56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Accumulated benefit obligation</w:t>
            </w:r>
          </w:p>
        </w:tc>
        <w:tc>
          <w:tcPr>
            <w:tcW w:w="5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$ 1,303.8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$ 1,410.9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N/A</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468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Amount recognized in accumulated other comprehensive loss consists of:</w:t>
            </w:r>
          </w:p>
        </w:tc>
        <w:tc>
          <w:tcPr>
            <w:tcW w:w="940" w:type="dxa"/>
            <w:vAlign w:val="bottom"/>
            <w:gridSpan w:val="2"/>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68"/>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Actuarial loss (gain)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(0.1)</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Prior service cost (credit)</w:t>
            </w:r>
          </w:p>
        </w:tc>
        <w:tc>
          <w:tcPr>
            <w:tcW w:w="940" w:type="dxa"/>
            <w:vAlign w:val="bottom"/>
            <w:tcBorders>
              <w:bottom w:val="single" w:sz="8" w:color="auto"/>
            </w:tcBorders>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w:t>
            </w:r>
          </w:p>
        </w:tc>
      </w:tr>
      <w:tr>
        <w:trPr>
          <w:trHeight w:val="16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amount recognized - pretax</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(1.4)</w:t>
            </w:r>
          </w:p>
        </w:tc>
      </w:tr>
      <w:tr>
        <w:trPr>
          <w:trHeight w:val="20"/>
        </w:trPr>
        <w:tc>
          <w:tcPr>
            <w:tcW w:w="4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non-current assets in the consolidated balance sheet.</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accrued payroll in the consolidated balance sheet.</w:t>
      </w:r>
    </w:p>
    <w:p>
      <w:pPr>
        <w:spacing w:after="0" w:line="4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long-term pension and postretirement benefits in the consolidated balance sheet.</w:t>
      </w:r>
    </w:p>
    <w:p>
      <w:pPr>
        <w:sectPr>
          <w:pgSz w:w="11900" w:h="16838" w:orient="portrait"/>
          <w:cols w:equalWidth="0" w:num="1">
            <w:col w:w="11280"/>
          </w:cols>
          <w:pgMar w:left="300" w:top="409" w:right="319" w:bottom="1440" w:gutter="0" w:footer="0" w:header="0"/>
          <w:type w:val="continuous"/>
        </w:sectPr>
      </w:pPr>
    </w:p>
    <w:bookmarkStart w:id="162" w:name="page163"/>
    <w:bookmarkEnd w:id="16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above actuarial loss (gain) and prior service cost and credit represent the cumulative effect of demographic, investment experience and plan amendment, as well as assumption changes that have been made in measuring the plans’ liabilities.</w:t>
      </w:r>
    </w:p>
    <w:p>
      <w:pPr>
        <w:spacing w:after="0" w:line="145"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In addition, we provide retirement benefits to certain former executives. At December 31, 2024 and 2023, the associated obligations were $4.0 million and $4.5 million, respectively, of which $3.6 million and $4.1 million, respectively, were also reflected within "Long-term pension and postretirement benefits."</w:t>
      </w:r>
    </w:p>
    <w:p>
      <w:pPr>
        <w:spacing w:after="0" w:line="145"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 for the U.S. Qualified Plan is 19 years, and three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162" w:lineRule="exact"/>
        <w:rPr>
          <w:sz w:val="20"/>
          <w:szCs w:val="20"/>
          <w:color w:val="auto"/>
        </w:rPr>
      </w:pPr>
    </w:p>
    <w:p>
      <w:pPr>
        <w:ind w:right="300" w:firstLine="318"/>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2024, significant changes in the pension projected benefit obligation include an actuarial gain of $63.8 million of which approximately $80 million and $1 million was attributable to the change in discount rates and mortality assumptions gains, respectively, partially offset by a loss of approximately $11 million due to the updates to the annuity conversion assumption and interest crediting rates for cash balance accounts for our U.S. plan and approximately $8 million primarily related to other actuarial losses.</w:t>
      </w:r>
    </w:p>
    <w:p>
      <w:pPr>
        <w:spacing w:after="0" w:line="168"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2023, significant changes in the pension projected benefit obligation include an actuarial loss of $28.9 million of which approximately $33 million and $6 million was attributable to the change in discount rates and actuarial experience losses, respectively, partially offset by a gain of approximately $5 million due to the updates to the annuity conversion assumptions for cash balance accounts for our U.S. plan and approximately $5 million primarily related to mortality assumptions.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Underfunded or Unfunded Accumulated Benefit Obligations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December 31, 2024 and December 31, 2023, our underfunded or unfunded accumulated benefit obligation and the related projected benefit obligation were as follows:</w:t>
      </w:r>
    </w:p>
    <w:p>
      <w:pPr>
        <w:spacing w:after="0" w:line="18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r>
      <w:tr>
        <w:trPr>
          <w:trHeight w:val="16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1,181.0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1,257.9</w:t>
            </w:r>
          </w:p>
        </w:tc>
      </w:tr>
      <w:tr>
        <w:trPr>
          <w:trHeight w:val="183"/>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Unfunded accumulated benefit obligation</w:t>
            </w:r>
          </w:p>
        </w:tc>
        <w:tc>
          <w:tcPr>
            <w:tcW w:w="9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r>
      <w:tr>
        <w:trPr>
          <w:trHeight w:val="20"/>
        </w:trPr>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32"/>
        </w:trPr>
        <w:tc>
          <w:tcPr>
            <w:tcW w:w="90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Projected benefit obligation</w:t>
            </w:r>
          </w:p>
        </w:tc>
        <w:tc>
          <w:tcPr>
            <w:tcW w:w="180" w:type="dxa"/>
            <w:vAlign w:val="bottom"/>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1,291.6</w:t>
            </w:r>
          </w:p>
        </w:tc>
        <w:tc>
          <w:tcPr>
            <w:tcW w:w="100" w:type="dxa"/>
            <w:vAlign w:val="bottom"/>
          </w:tcPr>
          <w:p>
            <w:pPr>
              <w:spacing w:after="0"/>
              <w:rPr>
                <w:sz w:val="11"/>
                <w:szCs w:val="11"/>
                <w:color w:val="auto"/>
              </w:rPr>
            </w:pPr>
          </w:p>
        </w:tc>
        <w:tc>
          <w:tcPr>
            <w:tcW w:w="1100" w:type="dxa"/>
            <w:vAlign w:val="bottom"/>
          </w:tcPr>
          <w:p>
            <w:pPr>
              <w:jc w:val="right"/>
              <w:ind w:right="38"/>
              <w:spacing w:after="0" w:line="133"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1,398.2</w:t>
            </w:r>
          </w:p>
        </w:tc>
      </w:tr>
      <w:tr>
        <w:trPr>
          <w:trHeight w:val="20"/>
        </w:trPr>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The underfunded or unfunded accumulated benefit obligations at December 31, 2024 consisted of $47.6 million and $57.5 million related to our U.S. Qualified Plan and non-U.S. defined benefit plans, respectively.</w:t>
      </w:r>
    </w:p>
    <w:p>
      <w:pPr>
        <w:spacing w:after="0" w:line="145"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The underfunded or unfunded accumulated benefit obligations at December 31, 2023 consisted of $67.7 million and $66.1 million related to our U.S. Qualified Plan and non-U.S. defined benefit plans, respectively.</w:t>
      </w:r>
    </w:p>
    <w:p>
      <w:pPr>
        <w:spacing w:after="0" w:line="145"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The decrease of $28.7 million for the underfunded or unfunded accumulated benefit obligations at December 31, 2024 was due to lower benefit obligation at December 31, 2024 primarily as a result of change in discount rates, partially offset by lower plan assets at December 31, 2024.</w:t>
      </w:r>
    </w:p>
    <w:p>
      <w:pPr>
        <w:sectPr>
          <w:pgSz w:w="11900" w:h="16838" w:orient="portrait"/>
          <w:cols w:equalWidth="0" w:num="1">
            <w:col w:w="11280"/>
          </w:cols>
          <w:pgMar w:left="300" w:top="409" w:right="319" w:bottom="1440" w:gutter="0" w:footer="0" w:header="0"/>
        </w:sectPr>
      </w:pPr>
    </w:p>
    <w:bookmarkStart w:id="163" w:name="page164"/>
    <w:bookmarkEnd w:id="16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Periodic Pension Cost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components of the net periodic cost (income) associated with our pension plans and our postretirement benefit obligations:</w:t>
      </w:r>
    </w:p>
    <w:p>
      <w:pPr>
        <w:sectPr>
          <w:pgSz w:w="11900" w:h="16838" w:orient="portrait"/>
          <w:cols w:equalWidth="0" w:num="1">
            <w:col w:w="11280"/>
          </w:cols>
          <w:pgMar w:left="300" w:top="4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Components of net periodic cost (income):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Service cost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Interest cost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Expected return on plan assets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Amortization of prior service cost (credit)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Amortization of actuarial loss (gain)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Net periodic cost (income)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825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825625" cy="6985"/>
                    </a:xfrm>
                    <a:prstGeom prst="rect">
                      <a:avLst/>
                    </a:prstGeom>
                    <a:noFill/>
                  </pic:spPr>
                </pic:pic>
              </a:graphicData>
            </a:graphic>
          </wp:anchor>
        </w:drawing>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2024</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2023</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92"/>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$ 1.6</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r>
      <w:tr>
        <w:trPr>
          <w:trHeight w:val="170"/>
        </w:trPr>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(17.5)</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(16.3)</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(40.9)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-680085</wp:posOffset>
            </wp:positionV>
            <wp:extent cx="7155180" cy="1079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-464185</wp:posOffset>
            </wp:positionV>
            <wp:extent cx="7155180" cy="1079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-248920</wp:posOffset>
            </wp:positionV>
            <wp:extent cx="7155180" cy="1079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1825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1825625" cy="6985"/>
                    </a:xfrm>
                    <a:prstGeom prst="rect">
                      <a:avLst/>
                    </a:prstGeom>
                    <a:noFill/>
                  </pic:spPr>
                </pic:pic>
              </a:graphicData>
            </a:graphic>
          </wp:anchor>
        </w:drawing>
      </w:r>
    </w:p>
    <w:p>
      <w:pPr>
        <w:spacing w:after="0" w:line="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8"/>
          <w:szCs w:val="8"/>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92"/>
        </w:trPr>
        <w:tc>
          <w:tcPr>
            <w:tcW w:w="540" w:type="dxa"/>
            <w:vAlign w:val="bottom"/>
          </w:tcPr>
          <w:p>
            <w:pPr>
              <w:spacing w:after="0"/>
              <w:rPr>
                <w:sz w:val="24"/>
                <w:szCs w:val="24"/>
                <w:color w:val="auto"/>
              </w:rPr>
            </w:pPr>
          </w:p>
        </w:tc>
        <w:tc>
          <w:tcPr>
            <w:tcW w:w="98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0"/>
        </w:trPr>
        <w:tc>
          <w:tcPr>
            <w:tcW w:w="540" w:type="dxa"/>
            <w:vAlign w:val="bottom"/>
          </w:tcPr>
          <w:p>
            <w:pPr>
              <w:spacing w:after="0"/>
              <w:rPr>
                <w:sz w:val="14"/>
                <w:szCs w:val="14"/>
                <w:color w:val="auto"/>
              </w:rPr>
            </w:pPr>
          </w:p>
        </w:tc>
        <w:tc>
          <w:tcPr>
            <w:tcW w:w="98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40" w:type="dxa"/>
            <w:vAlign w:val="bottom"/>
          </w:tcPr>
          <w:p>
            <w:pPr>
              <w:spacing w:after="0"/>
              <w:rPr>
                <w:sz w:val="14"/>
                <w:szCs w:val="14"/>
                <w:color w:val="auto"/>
              </w:rPr>
            </w:pPr>
          </w:p>
        </w:tc>
        <w:tc>
          <w:tcPr>
            <w:tcW w:w="98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540" w:type="dxa"/>
            <w:vAlign w:val="bottom"/>
          </w:tcPr>
          <w:p>
            <w:pPr>
              <w:spacing w:after="0"/>
              <w:rPr>
                <w:sz w:val="14"/>
                <w:szCs w:val="14"/>
                <w:color w:val="auto"/>
              </w:rPr>
            </w:pPr>
          </w:p>
        </w:tc>
        <w:tc>
          <w:tcPr>
            <w:tcW w:w="98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(0.4)</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(0.4)</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(0.4)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3">
            <w:col w:w="4660" w:space="720"/>
            <w:col w:w="2860" w:space="160"/>
            <w:col w:w="2880"/>
          </w:cols>
          <w:pgMar w:left="300" w:top="409"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4"/>
          <w:szCs w:val="14"/>
          <w:color w:val="auto"/>
        </w:rPr>
        <w:t>We also recorded a settlement gain of $0.4 million for the year ended December 31, 2024 and a settlement charge $2.1 million for the year ended December 31, 2022.</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other changes in plan assets and benefit obligations recognized in Other Comprehensive Income (Loss):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bottom w:val="single" w:sz="8" w:color="auto"/>
            </w:tcBorders>
            <w:gridSpan w:val="5"/>
          </w:tcPr>
          <w:p>
            <w:pPr>
              <w:jc w:val="center"/>
              <w:ind w:left="541"/>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3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8"/>
                <w:szCs w:val="8"/>
                <w:b w:val="1"/>
                <w:bCs w:val="1"/>
                <w:color w:val="auto"/>
              </w:rPr>
              <w:t>2022</w:t>
            </w:r>
          </w:p>
        </w:tc>
        <w:tc>
          <w:tcPr>
            <w:tcW w:w="1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8"/>
                <w:szCs w:val="8"/>
                <w:b w:val="1"/>
                <w:bCs w:val="1"/>
                <w:color w:val="auto"/>
              </w:rPr>
              <w:t>2024</w:t>
            </w: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Other changes in plan assets and benefit obligations recognized in other comprehensive income (loss)</w:t>
            </w: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Actuarial (loss) gain arising during the year, before tax benefit (expense) of $(4.8), $1.1, and $15.6 for the years ended December 31,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$ 3.9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(3.6)</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(61.9)</w:t>
            </w: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00" w:type="dxa"/>
            <w:vAlign w:val="bottom"/>
          </w:tcPr>
          <w:p>
            <w:pPr>
              <w:spacing w:after="0"/>
              <w:rPr>
                <w:sz w:val="13"/>
                <w:szCs w:val="13"/>
                <w:color w:val="auto"/>
              </w:rPr>
            </w:pPr>
          </w:p>
        </w:tc>
        <w:tc>
          <w:tcPr>
            <w:tcW w:w="13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$ 0.2</w:t>
            </w:r>
          </w:p>
        </w:tc>
        <w:tc>
          <w:tcPr>
            <w:tcW w:w="0" w:type="dxa"/>
            <w:vAlign w:val="bottom"/>
          </w:tcPr>
          <w:p>
            <w:pPr>
              <w:spacing w:after="0"/>
              <w:rPr>
                <w:sz w:val="1"/>
                <w:szCs w:val="1"/>
                <w:color w:val="auto"/>
              </w:rPr>
            </w:pPr>
          </w:p>
        </w:tc>
      </w:tr>
      <w:tr>
        <w:trPr>
          <w:trHeight w:val="16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2024, 2023 and 2022, respectively.</w:t>
            </w:r>
          </w:p>
        </w:tc>
        <w:tc>
          <w:tcPr>
            <w:tcW w:w="3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Prior service credit (cost) arising during the year, before tax benefit (expense) of $0.2, $(0.2), and less than $0.1 for the years ended</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(0.1)</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$ 0.5</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$ 0.2</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00" w:type="dxa"/>
            <w:vAlign w:val="bottom"/>
            <w:shd w:val="clear" w:color="auto" w:fill="CCEEFF"/>
          </w:tcPr>
          <w:p>
            <w:pPr>
              <w:spacing w:after="0"/>
              <w:rPr>
                <w:sz w:val="13"/>
                <w:szCs w:val="13"/>
                <w:color w:val="auto"/>
              </w:rPr>
            </w:pPr>
          </w:p>
        </w:tc>
        <w:tc>
          <w:tcPr>
            <w:tcW w:w="132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0" w:type="dxa"/>
            <w:vAlign w:val="bottom"/>
          </w:tcPr>
          <w:p>
            <w:pPr>
              <w:spacing w:after="0"/>
              <w:rPr>
                <w:sz w:val="1"/>
                <w:szCs w:val="1"/>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31, 2024, 2023 and 2022, respectively</w:t>
            </w:r>
          </w:p>
        </w:tc>
        <w:tc>
          <w:tcPr>
            <w:tcW w:w="3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Less: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Amortization of actuarial (loss) gain, before tax benefit (expense) of $(2.2), $(0.7), less than $0.1 for the years ended December 31,</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$ 1.7</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$ 2.4</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2024, 2023 and 2022, respectively.</w:t>
            </w:r>
          </w:p>
        </w:tc>
        <w:tc>
          <w:tcPr>
            <w:tcW w:w="36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Amortization of prior service (cost) credit, before tax benefit (expense) of $(0.6), $(0.1), and $(0.1) for the years ended December</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$ 0.1</w:t>
            </w:r>
          </w:p>
        </w:tc>
        <w:tc>
          <w:tcPr>
            <w:tcW w:w="8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$ 0.4</w:t>
            </w:r>
          </w:p>
        </w:tc>
        <w:tc>
          <w:tcPr>
            <w:tcW w:w="0" w:type="dxa"/>
            <w:vAlign w:val="bottom"/>
          </w:tcPr>
          <w:p>
            <w:pPr>
              <w:spacing w:after="0"/>
              <w:rPr>
                <w:sz w:val="1"/>
                <w:szCs w:val="1"/>
                <w:color w:val="auto"/>
              </w:rPr>
            </w:pPr>
          </w:p>
        </w:tc>
      </w:tr>
      <w:tr>
        <w:trPr>
          <w:trHeight w:val="15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31, 2024, 2023 and 2022, respectively.</w:t>
            </w: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w:t>
      </w:r>
    </w:p>
    <w:p>
      <w:pPr>
        <w:sectPr>
          <w:pgSz w:w="11900" w:h="16838" w:orient="portrait"/>
          <w:cols w:equalWidth="0" w:num="1">
            <w:col w:w="11280"/>
          </w:cols>
          <w:pgMar w:left="300" w:top="409" w:right="319" w:bottom="1440" w:gutter="0" w:footer="0" w:header="0"/>
          <w:type w:val="continuous"/>
        </w:sectPr>
      </w:pPr>
    </w:p>
    <w:bookmarkStart w:id="164" w:name="page165"/>
    <w:bookmarkEnd w:id="16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760"/>
        <w:spacing w:after="0" w:line="521" w:lineRule="auto"/>
        <w:rPr>
          <w:sz w:val="20"/>
          <w:szCs w:val="20"/>
          <w:color w:val="auto"/>
        </w:rPr>
      </w:pPr>
      <w:r>
        <w:rPr>
          <w:rFonts w:ascii="Times New Roman" w:cs="Times New Roman" w:eastAsia="Times New Roman" w:hAnsi="Times New Roman"/>
          <w:sz w:val="14"/>
          <w:szCs w:val="14"/>
          <w:color w:val="auto"/>
        </w:rPr>
        <w:t xml:space="preserve">Since the market-related value of assets recognizes gains or losses over a five-year period, the future value of assets will be impacted as previously deferred gains or losses are amortized. </w:t>
      </w:r>
      <w:r>
        <w:rPr>
          <w:rFonts w:ascii="Times New Roman" w:cs="Times New Roman" w:eastAsia="Times New Roman" w:hAnsi="Times New Roman"/>
          <w:sz w:val="14"/>
          <w:szCs w:val="14"/>
          <w:i w:val="1"/>
          <w:iCs w:val="1"/>
          <w:color w:val="auto"/>
        </w:rPr>
        <w:t>Assumptions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significant weighted-average assumptions we used to determine the projected benefit obligation and the periodic benefit cost: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Postretirement benefit obligations</w:t>
            </w:r>
          </w:p>
        </w:tc>
        <w:tc>
          <w:tcPr>
            <w:tcW w:w="680" w:type="dxa"/>
            <w:vAlign w:val="bottom"/>
            <w:tcBorders>
              <w:bottom w:val="single" w:sz="8" w:color="auto"/>
            </w:tcBorders>
          </w:tcPr>
          <w:p>
            <w:pPr>
              <w:spacing w:after="0"/>
              <w:rPr>
                <w:sz w:val="13"/>
                <w:szCs w:val="13"/>
                <w:color w:val="auto"/>
              </w:rPr>
            </w:pPr>
          </w:p>
        </w:tc>
      </w:tr>
      <w:tr>
        <w:trPr>
          <w:trHeight w:val="118"/>
        </w:trPr>
        <w:tc>
          <w:tcPr>
            <w:tcW w:w="48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680" w:type="dxa"/>
            <w:vAlign w:val="bottom"/>
            <w:tcBorders>
              <w:bottom w:val="single" w:sz="8" w:color="auto"/>
            </w:tcBorders>
          </w:tcPr>
          <w:p>
            <w:pPr>
              <w:spacing w:after="0"/>
              <w:rPr>
                <w:sz w:val="10"/>
                <w:szCs w:val="10"/>
                <w:color w:val="auto"/>
              </w:rPr>
            </w:pPr>
          </w:p>
        </w:tc>
      </w:tr>
      <w:tr>
        <w:trPr>
          <w:trHeight w:val="118"/>
        </w:trPr>
        <w:tc>
          <w:tcPr>
            <w:tcW w:w="48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2024</w:t>
            </w:r>
          </w:p>
        </w:tc>
        <w:tc>
          <w:tcPr>
            <w:tcW w:w="10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1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6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 for determining projected benefit obligation at December 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Discount rate in effect for determining service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 in effect for determining interest cost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expected long-term return on plan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Rate of compensation increase for determining projected benefit obligation at December 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Rate of compensation increase for determining net pension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83"/>
        </w:trPr>
        <w:tc>
          <w:tcPr>
            <w:tcW w:w="48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4.45% /</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Interest credit rates for cash balance </w:t>
            </w:r>
            <w:r>
              <w:rPr>
                <w:rFonts w:ascii="Times New Roman" w:cs="Times New Roman" w:eastAsia="Times New Roman" w:hAnsi="Times New Roman"/>
                <w:sz w:val="14"/>
                <w:szCs w:val="14"/>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N/A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bl>
    <w:p>
      <w:pPr>
        <w:spacing w:after="0" w:line="216" w:lineRule="exact"/>
        <w:rPr>
          <w:sz w:val="20"/>
          <w:szCs w:val="20"/>
          <w:color w:val="auto"/>
        </w:rPr>
      </w:pPr>
    </w:p>
    <w:p>
      <w:pPr>
        <w:ind w:left="520" w:right="100" w:hanging="260"/>
        <w:spacing w:after="0" w:line="301" w:lineRule="auto"/>
        <w:tabs>
          <w:tab w:leader="none" w:pos="514"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our U.S. Qualified plan, interest for benefits accrued prior to January 1, 1997 is based on 30-year Treasury yield with a guaranteed minimum rate of 3.00% for accruals prior to January 1, 1997 and 4.45% for accruals after January 1, 1997. The resulting assumed interest rate for accruals prior to January 1, 1997 is 4.78%, 4.02% and 3.94% for December 31, 2024, 2023 and 2022, respectively. The resulting assumed interest rate for accruals after January 1, 1997 is 4.78% for December 31, 2024 and 4.45% for December 31, 2023 and 2022.</w:t>
      </w:r>
    </w:p>
    <w:p>
      <w:pPr>
        <w:spacing w:after="0" w:line="153"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The expected long-term rate of return assumption was 5.60%, 5.40% and 5.50% for 2024, 2023 and 2022, respectively,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167"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164" w:lineRule="exact"/>
        <w:rPr>
          <w:sz w:val="20"/>
          <w:szCs w:val="20"/>
          <w:color w:val="auto"/>
        </w:rPr>
      </w:pPr>
    </w:p>
    <w:p>
      <w:pPr>
        <w:ind w:right="260" w:firstLine="318"/>
        <w:spacing w:after="0" w:line="271" w:lineRule="auto"/>
        <w:rPr>
          <w:sz w:val="20"/>
          <w:szCs w:val="20"/>
          <w:color w:val="auto"/>
        </w:rPr>
      </w:pPr>
      <w:r>
        <w:rPr>
          <w:rFonts w:ascii="Times New Roman" w:cs="Times New Roman" w:eastAsia="Times New Roman" w:hAnsi="Times New Roman"/>
          <w:sz w:val="14"/>
          <w:szCs w:val="14"/>
          <w:color w:val="auto"/>
        </w:rPr>
        <w:t>For the mortality assumption we used PRI 2012 mortality table (“PRI-2012”) for our U.S. plans at December 31, 2024 and 2023, together with mortality improvement projection scales MP-2021. The mortality improvement projection scale was adjusted for COVID-19 factors with a declining projection scale for the remeasurement as of December 31, 2024 and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Assets (U.S. Qualified Plan and non-U.S. pension plans)</w:t>
      </w:r>
    </w:p>
    <w:p>
      <w:pPr>
        <w:spacing w:after="0" w:line="181"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 finance pension obligations, thus improving our plan’s funded status. We predominantly invest in assets that can be sold readily and efficiently to ensure our ability to reasonably meet expected cash flow requirements.</w:t>
      </w:r>
    </w:p>
    <w:p>
      <w:pPr>
        <w:sectPr>
          <w:pgSz w:w="11900" w:h="16838" w:orient="portrait"/>
          <w:cols w:equalWidth="0" w:num="1">
            <w:col w:w="11280"/>
          </w:cols>
          <w:pgMar w:left="300" w:top="409" w:right="319" w:bottom="1440" w:gutter="0" w:footer="0" w:header="0"/>
        </w:sectPr>
      </w:pPr>
    </w:p>
    <w:bookmarkStart w:id="165" w:name="page166"/>
    <w:bookmarkEnd w:id="16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94" w:lineRule="exact"/>
        <w:rPr>
          <w:sz w:val="20"/>
          <w:szCs w:val="20"/>
          <w:color w:val="auto"/>
        </w:rPr>
      </w:pPr>
    </w:p>
    <w:p>
      <w:pPr>
        <w:ind w:right="340" w:firstLine="318"/>
        <w:spacing w:after="0" w:line="262" w:lineRule="auto"/>
        <w:rPr>
          <w:sz w:val="20"/>
          <w:szCs w:val="20"/>
          <w:color w:val="auto"/>
        </w:rPr>
      </w:pPr>
      <w:r>
        <w:rPr>
          <w:rFonts w:ascii="Times New Roman" w:cs="Times New Roman" w:eastAsia="Times New Roman" w:hAnsi="Times New Roman"/>
          <w:sz w:val="14"/>
          <w:szCs w:val="14"/>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41"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4"/>
          <w:szCs w:val="14"/>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plan assets are primarily invested in funds offered and managed by Aon Investment USA, Inc.</w:t>
      </w:r>
    </w:p>
    <w:p>
      <w:pPr>
        <w:spacing w:after="0" w:line="179"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private credit, real estate and hedge fund of funds strategies.</w:t>
      </w:r>
    </w:p>
    <w:p>
      <w:pPr>
        <w:spacing w:after="0" w:line="141" w:lineRule="exact"/>
        <w:rPr>
          <w:sz w:val="20"/>
          <w:szCs w:val="20"/>
          <w:color w:val="auto"/>
        </w:rPr>
      </w:pPr>
    </w:p>
    <w:p>
      <w:pPr>
        <w:ind w:right="120" w:firstLine="318"/>
        <w:spacing w:after="0" w:line="262" w:lineRule="auto"/>
        <w:rPr>
          <w:sz w:val="20"/>
          <w:szCs w:val="20"/>
          <w:color w:val="auto"/>
        </w:rPr>
      </w:pPr>
      <w:r>
        <w:rPr>
          <w:rFonts w:ascii="Times New Roman" w:cs="Times New Roman" w:eastAsia="Times New Roman" w:hAnsi="Times New Roman"/>
          <w:sz w:val="14"/>
          <w:szCs w:val="14"/>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41"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4"/>
          <w:szCs w:val="14"/>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private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Investment Valuation</w:t>
      </w:r>
    </w:p>
    <w:p>
      <w:pPr>
        <w:spacing w:after="0" w:line="51"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Our pension plan assets are measured at fair value in accordance with ASC 820, “Fair Value Measurement and Disclosures.” ASC 820 defines fair value and establishes a framework for measuring fair value under current accounting pronouncements. See Note 2 to our consolidated financial statements for further detail on fair value measurement.</w:t>
      </w:r>
    </w:p>
    <w:p>
      <w:pPr>
        <w:spacing w:after="0" w:line="124"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4"/>
          <w:szCs w:val="14"/>
          <w:color w:val="auto"/>
        </w:rPr>
        <w:t>The following is a description of the valuation methodologies used for the investments measured at fair value, including the general classification of such investments pursuant to the valuation hierarchy.</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financial instrument’s level or categorization within the fair value hierarchy is based on the lowest level of any input that is significant to the fair value measurement.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Aon Collective Trust Investment Funds</w:t>
      </w:r>
    </w:p>
    <w:p>
      <w:pPr>
        <w:spacing w:after="0" w:line="16"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4"/>
          <w:szCs w:val="14"/>
          <w:color w:val="auto"/>
        </w:rPr>
        <w:t>Aon Collective Investment Trust ("CIT") Funds are offered under the Aon CITs and their units are valued at the reported Net Asset Value ("NAV"). Some Funds are within Level 1 of the valuation hierarchy as the NAV is determined and published daily and are the basis for current transactions, while other Funds do not publish a daily NAV, therefore, are excluded from the fair value hierarchy.</w:t>
      </w:r>
    </w:p>
    <w:p>
      <w:pPr>
        <w:spacing w:after="0" w:line="165" w:lineRule="exact"/>
        <w:rPr>
          <w:sz w:val="20"/>
          <w:szCs w:val="20"/>
          <w:color w:val="auto"/>
        </w:rPr>
      </w:pPr>
    </w:p>
    <w:p>
      <w:pPr>
        <w:ind w:left="840" w:right="180" w:hanging="262"/>
        <w:spacing w:after="0" w:line="287" w:lineRule="auto"/>
        <w:tabs>
          <w:tab w:leader="none" w:pos="83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sectPr>
          <w:pgSz w:w="11900" w:h="16838" w:orient="portrait"/>
          <w:cols w:equalWidth="0" w:num="1">
            <w:col w:w="11240"/>
          </w:cols>
          <w:pgMar w:left="300" w:top="409" w:right="359" w:bottom="1440" w:gutter="0" w:footer="0" w:header="0"/>
        </w:sectPr>
      </w:pPr>
    </w:p>
    <w:bookmarkStart w:id="166" w:name="page167"/>
    <w:bookmarkEnd w:id="16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5" w:lineRule="exact"/>
        <w:rPr>
          <w:sz w:val="20"/>
          <w:szCs w:val="20"/>
          <w:color w:val="auto"/>
        </w:rPr>
      </w:pPr>
    </w:p>
    <w:p>
      <w:pPr>
        <w:ind w:left="840" w:right="680" w:hanging="262"/>
        <w:spacing w:after="0" w:line="263" w:lineRule="auto"/>
        <w:tabs>
          <w:tab w:leader="none" w:pos="83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income funds’ investment objectives are to seek current income and capital appreciation by investing in a diversified portfolio of domestic and foreign debt securities, government obligations and bond funds with various durations.</w:t>
      </w:r>
    </w:p>
    <w:p>
      <w:pPr>
        <w:ind w:left="840" w:right="180" w:hanging="262"/>
        <w:spacing w:after="0" w:line="266" w:lineRule="auto"/>
        <w:tabs>
          <w:tab w:leader="none" w:pos="83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NISA Collective Investment Trust Funds</w:t>
      </w:r>
    </w:p>
    <w:p>
      <w:pPr>
        <w:spacing w:after="0" w:line="43" w:lineRule="exact"/>
        <w:rPr>
          <w:sz w:val="20"/>
          <w:szCs w:val="20"/>
          <w:color w:val="auto"/>
        </w:rPr>
      </w:pPr>
    </w:p>
    <w:p>
      <w:pPr>
        <w:ind w:right="440" w:firstLine="318"/>
        <w:spacing w:after="0" w:line="271" w:lineRule="auto"/>
        <w:rPr>
          <w:sz w:val="20"/>
          <w:szCs w:val="20"/>
          <w:color w:val="auto"/>
        </w:rPr>
      </w:pPr>
      <w:r>
        <w:rPr>
          <w:rFonts w:ascii="Times New Roman" w:cs="Times New Roman" w:eastAsia="Times New Roman" w:hAnsi="Times New Roman"/>
          <w:sz w:val="14"/>
          <w:szCs w:val="14"/>
          <w:color w:val="auto"/>
        </w:rPr>
        <w:t>NISA Collective Investment Trust ("CIT") Funds are offered under the NISA CITs and their units are valued at the reported Net Asset Value ("NAV"). Funds do not publish a daily NAV, therefore, are excluded from the fair value hierarchy.</w:t>
      </w:r>
    </w:p>
    <w:p>
      <w:pPr>
        <w:spacing w:after="0" w:line="188" w:lineRule="exact"/>
        <w:rPr>
          <w:sz w:val="20"/>
          <w:szCs w:val="20"/>
          <w:color w:val="auto"/>
        </w:rPr>
      </w:pPr>
    </w:p>
    <w:p>
      <w:pPr>
        <w:ind w:left="520" w:right="120" w:hanging="260"/>
        <w:spacing w:after="0" w:line="238" w:lineRule="auto"/>
        <w:tabs>
          <w:tab w:leader="none" w:pos="516" w:val="left"/>
        </w:tabs>
        <w:numPr>
          <w:ilvl w:val="0"/>
          <w:numId w:val="69"/>
        </w:numPr>
        <w:rPr>
          <w:rFonts w:ascii="Arial" w:cs="Arial" w:eastAsia="Arial" w:hAnsi="Arial"/>
          <w:sz w:val="17"/>
          <w:szCs w:val="17"/>
          <w:color w:val="auto"/>
        </w:rPr>
      </w:pPr>
      <w:r>
        <w:rPr>
          <w:rFonts w:ascii="Times New Roman" w:cs="Times New Roman" w:eastAsia="Times New Roman" w:hAnsi="Times New Roman"/>
          <w:sz w:val="14"/>
          <w:szCs w:val="14"/>
          <w:color w:val="auto"/>
        </w:rPr>
        <w:t>NISA Ultra Mid Treasury CIF Fund seeks to track 4.5 times (4.5x) leveraged total return of the Bloomberg 7 - 10 Year Treasury Index minus financing costs. Leverage will be reset at least quarterly with additional leverage provisions.</w:t>
      </w:r>
    </w:p>
    <w:p>
      <w:pPr>
        <w:spacing w:after="0" w:line="17" w:lineRule="exact"/>
        <w:rPr>
          <w:rFonts w:ascii="Arial" w:cs="Arial" w:eastAsia="Arial" w:hAnsi="Arial"/>
          <w:sz w:val="17"/>
          <w:szCs w:val="17"/>
          <w:color w:val="auto"/>
        </w:rPr>
      </w:pPr>
    </w:p>
    <w:p>
      <w:pPr>
        <w:ind w:left="520" w:right="60" w:hanging="260"/>
        <w:spacing w:after="0" w:line="238" w:lineRule="auto"/>
        <w:tabs>
          <w:tab w:leader="none" w:pos="516" w:val="left"/>
        </w:tabs>
        <w:numPr>
          <w:ilvl w:val="0"/>
          <w:numId w:val="69"/>
        </w:numPr>
        <w:rPr>
          <w:rFonts w:ascii="Arial" w:cs="Arial" w:eastAsia="Arial" w:hAnsi="Arial"/>
          <w:sz w:val="17"/>
          <w:szCs w:val="17"/>
          <w:color w:val="auto"/>
        </w:rPr>
      </w:pPr>
      <w:r>
        <w:rPr>
          <w:rFonts w:ascii="Times New Roman" w:cs="Times New Roman" w:eastAsia="Times New Roman" w:hAnsi="Times New Roman"/>
          <w:sz w:val="14"/>
          <w:szCs w:val="14"/>
          <w:color w:val="auto"/>
        </w:rPr>
        <w:t>NISA Ultra Long Treasury CIF Fund seeks to track 3 times (3x) leveraged total return of the Bloomberg Long Treasury Index minus financing costs. Leverage will be reset at least quarterly with additional leverage provisions.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Aon Alternative Investment Funds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investments are valued at the reported NAV; however, these investments do not publish a daily NAV, therefore, are excluded from the fair value hierarchy.</w:t>
      </w:r>
    </w:p>
    <w:p>
      <w:pPr>
        <w:spacing w:after="0" w:line="200"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145"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45" w:lineRule="exact"/>
        <w:rPr>
          <w:sz w:val="20"/>
          <w:szCs w:val="20"/>
          <w:color w:val="auto"/>
        </w:rPr>
      </w:pPr>
    </w:p>
    <w:p>
      <w:pPr>
        <w:jc w:val="both"/>
        <w:ind w:right="320" w:firstLine="318"/>
        <w:spacing w:after="0" w:line="287" w:lineRule="auto"/>
        <w:rPr>
          <w:sz w:val="20"/>
          <w:szCs w:val="20"/>
          <w:color w:val="auto"/>
        </w:rPr>
      </w:pPr>
      <w:r>
        <w:rPr>
          <w:rFonts w:ascii="Times New Roman" w:cs="Times New Roman" w:eastAsia="Times New Roman" w:hAnsi="Times New Roman"/>
          <w:sz w:val="14"/>
          <w:szCs w:val="14"/>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145"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145"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Aon Return Enhancing Alternatives Portfolio SP (the "Fund") is also a segregated portfolio of Aon Alternatives Fund SPC, a Cayman Islands exempted company registered as a segregated portfolio company. The Portfolio's investment objective is to generate attractive returns over a full market cycle by investing in a range of alternative investment opportunities.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Investment Funds ("STIF")</w:t>
      </w:r>
    </w:p>
    <w:p>
      <w:pPr>
        <w:spacing w:after="0" w:line="138"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Venture Capital Fund</w:t>
      </w:r>
    </w:p>
    <w:p>
      <w:pPr>
        <w:spacing w:after="0" w:line="138"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The Fund is structured as a conventional, private venture capital firm. The Fund will target investments that are in early-stage technology companies. The Fund expects to invest in seed stage development companies, principally in the software and</w:t>
      </w:r>
    </w:p>
    <w:p>
      <w:pPr>
        <w:sectPr>
          <w:pgSz w:w="11900" w:h="16838" w:orient="portrait"/>
          <w:cols w:equalWidth="0" w:num="1">
            <w:col w:w="11260"/>
          </w:cols>
          <w:pgMar w:left="300" w:top="409" w:right="339" w:bottom="1440" w:gutter="0" w:footer="0" w:header="0"/>
        </w:sectPr>
      </w:pPr>
    </w:p>
    <w:bookmarkStart w:id="167" w:name="page168"/>
    <w:bookmarkEnd w:id="16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technology-enabled businesses sector. It is classified as other investments measured at the NAV and is excluded from the fair value hierarchy.</w:t>
      </w:r>
    </w:p>
    <w:p>
      <w:pPr>
        <w:spacing w:after="0" w:line="168"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4"/>
          <w:szCs w:val="14"/>
          <w:color w:val="auto"/>
        </w:rPr>
        <w:t>The U.S. Qualified Plan has an additional unfunded commitment of $18.9 million and $21.3 million to the Aon Private Credit Opportunities Fund I, Aon Private Credit Opportunities Fund II and Aon Opportunistic Credit Fund at December 31, 2024 and 2023, respectively.</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transfers among the levels of the fair value hierarchy during the years ended December 31, 2024 and 2023.</w:t>
      </w:r>
    </w:p>
    <w:p>
      <w:pPr>
        <w:spacing w:after="0" w:line="179"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plan assets at fair value as of December 31,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Significant unobservable</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5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1260" w:type="dxa"/>
            <w:vAlign w:val="bottom"/>
          </w:tcPr>
          <w:p>
            <w:pPr>
              <w:jc w:val="center"/>
              <w:ind w:left="1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assets (Level I)</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5"/>
              </w:rPr>
              <w:t>(Level II)</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7"/>
              </w:rPr>
              <w:t>(Level III)</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 funds</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48"/>
        </w:trPr>
        <w:tc>
          <w:tcPr>
            <w:tcW w:w="5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funds</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238.1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0" w:type="dxa"/>
            <w:vAlign w:val="bottom"/>
          </w:tcPr>
          <w:p>
            <w:pPr>
              <w:spacing w:after="0"/>
              <w:rPr>
                <w:sz w:val="1"/>
                <w:szCs w:val="1"/>
                <w:color w:val="auto"/>
              </w:rPr>
            </w:pPr>
          </w:p>
        </w:tc>
      </w:tr>
      <w:tr>
        <w:trPr>
          <w:trHeight w:val="16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508.0</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8"/>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Aon Collective Investment Trust Funds</w:t>
            </w: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751.9</w:t>
            </w:r>
          </w:p>
        </w:tc>
        <w:tc>
          <w:tcPr>
            <w:tcW w:w="1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751.9</w:t>
            </w:r>
          </w:p>
        </w:tc>
        <w:tc>
          <w:tcPr>
            <w:tcW w:w="0" w:type="dxa"/>
            <w:vAlign w:val="bottom"/>
          </w:tcPr>
          <w:p>
            <w:pPr>
              <w:spacing w:after="0"/>
              <w:rPr>
                <w:sz w:val="1"/>
                <w:szCs w:val="1"/>
                <w:color w:val="auto"/>
              </w:rPr>
            </w:pPr>
          </w:p>
        </w:tc>
      </w:tr>
      <w:tr>
        <w:trPr>
          <w:trHeight w:val="16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768.9</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0" w:type="dxa"/>
            <w:vAlign w:val="bottom"/>
          </w:tcPr>
          <w:p>
            <w:pPr>
              <w:spacing w:after="0"/>
              <w:rPr>
                <w:sz w:val="1"/>
                <w:szCs w:val="1"/>
                <w:color w:val="auto"/>
              </w:rPr>
            </w:pPr>
          </w:p>
        </w:tc>
      </w:tr>
      <w:tr>
        <w:trPr>
          <w:trHeight w:val="149"/>
        </w:trPr>
        <w:tc>
          <w:tcPr>
            <w:tcW w:w="51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Investments Measured at Net Asset Value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0" w:type="dxa"/>
            <w:vAlign w:val="bottom"/>
          </w:tcPr>
          <w:p>
            <w:pPr>
              <w:spacing w:after="0"/>
              <w:rPr>
                <w:sz w:val="1"/>
                <w:szCs w:val="1"/>
                <w:color w:val="auto"/>
              </w:rPr>
            </w:pPr>
          </w:p>
        </w:tc>
      </w:tr>
      <w:tr>
        <w:trPr>
          <w:trHeight w:val="16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NISA Collective Investment Trust Funds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Alternative Investment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w:t>
            </w:r>
          </w:p>
        </w:tc>
        <w:tc>
          <w:tcPr>
            <w:tcW w:w="0" w:type="dxa"/>
            <w:vAlign w:val="bottom"/>
          </w:tcPr>
          <w:p>
            <w:pPr>
              <w:spacing w:after="0"/>
              <w:rPr>
                <w:sz w:val="1"/>
                <w:szCs w:val="1"/>
                <w:color w:val="auto"/>
              </w:rPr>
            </w:pPr>
          </w:p>
        </w:tc>
      </w:tr>
      <w:tr>
        <w:trPr>
          <w:trHeight w:val="172"/>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Venture Capital Fund</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8"/>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Non-U.S. commingled equity and fixed income</w:t>
            </w:r>
          </w:p>
        </w:tc>
        <w:tc>
          <w:tcPr>
            <w:tcW w:w="1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0" w:type="dxa"/>
            <w:vAlign w:val="bottom"/>
          </w:tcPr>
          <w:p>
            <w:pPr>
              <w:spacing w:after="0"/>
              <w:rPr>
                <w:sz w:val="1"/>
                <w:szCs w:val="1"/>
                <w:color w:val="auto"/>
              </w:rPr>
            </w:pPr>
          </w:p>
        </w:tc>
      </w:tr>
      <w:tr>
        <w:trPr>
          <w:trHeight w:val="16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investments measured at net asset value</w:t>
            </w: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435.3</w:t>
            </w:r>
          </w:p>
        </w:tc>
        <w:tc>
          <w:tcPr>
            <w:tcW w:w="0" w:type="dxa"/>
            <w:vAlign w:val="bottom"/>
          </w:tcPr>
          <w:p>
            <w:pPr>
              <w:spacing w:after="0"/>
              <w:rPr>
                <w:sz w:val="1"/>
                <w:szCs w:val="1"/>
                <w:color w:val="auto"/>
              </w:rPr>
            </w:pPr>
          </w:p>
        </w:tc>
      </w:tr>
      <w:tr>
        <w:trPr>
          <w:trHeight w:val="16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at fair value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1,204.2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168" w:name="page169"/>
    <w:bookmarkEnd w:id="16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plan assets at fair value as of December 31, 2023:</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2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9"/>
              </w:rPr>
              <w:t>Significant other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5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markets for identical</w:t>
            </w:r>
          </w:p>
        </w:tc>
        <w:tc>
          <w:tcPr>
            <w:tcW w:w="1260" w:type="dxa"/>
            <w:vAlign w:val="bottom"/>
          </w:tcPr>
          <w:p>
            <w:pPr>
              <w:jc w:val="center"/>
              <w:ind w:left="116"/>
              <w:spacing w:after="0" w:line="128"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80" w:type="dxa"/>
            <w:vAlign w:val="bottom"/>
            <w:gridSpan w:val="2"/>
            <w:vMerge w:val="continue"/>
          </w:tcPr>
          <w:p>
            <w:pPr>
              <w:spacing w:after="0"/>
              <w:rPr>
                <w:sz w:val="14"/>
                <w:szCs w:val="14"/>
                <w:color w:val="auto"/>
              </w:rPr>
            </w:pPr>
          </w:p>
        </w:tc>
        <w:tc>
          <w:tcPr>
            <w:tcW w:w="114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assets (Level I)</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9"/>
              </w:rPr>
              <w:t>(Level II)</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(Level III)</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 funds</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48"/>
        </w:trPr>
        <w:tc>
          <w:tcPr>
            <w:tcW w:w="50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funds</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222.3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622.7</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8"/>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Aon Collective Investment Trust Funds</w:t>
            </w:r>
          </w:p>
        </w:tc>
        <w:tc>
          <w:tcPr>
            <w:tcW w:w="11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848.3</w:t>
            </w:r>
          </w:p>
        </w:tc>
        <w:tc>
          <w:tcPr>
            <w:tcW w:w="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848.3</w:t>
            </w:r>
          </w:p>
        </w:tc>
        <w:tc>
          <w:tcPr>
            <w:tcW w:w="0" w:type="dxa"/>
            <w:vAlign w:val="bottom"/>
          </w:tcPr>
          <w:p>
            <w:pPr>
              <w:spacing w:after="0"/>
              <w:rPr>
                <w:sz w:val="1"/>
                <w:szCs w:val="1"/>
                <w:color w:val="auto"/>
              </w:rPr>
            </w:pPr>
          </w:p>
        </w:tc>
      </w:tr>
      <w:tr>
        <w:trPr>
          <w:trHeight w:val="16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871.7</w:t>
            </w:r>
          </w:p>
        </w:tc>
        <w:tc>
          <w:tcPr>
            <w:tcW w:w="1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871.7</w:t>
            </w:r>
          </w:p>
        </w:tc>
        <w:tc>
          <w:tcPr>
            <w:tcW w:w="0" w:type="dxa"/>
            <w:vAlign w:val="bottom"/>
          </w:tcPr>
          <w:p>
            <w:pPr>
              <w:spacing w:after="0"/>
              <w:rPr>
                <w:sz w:val="1"/>
                <w:szCs w:val="1"/>
                <w:color w:val="auto"/>
              </w:rPr>
            </w:pPr>
          </w:p>
        </w:tc>
      </w:tr>
      <w:tr>
        <w:trPr>
          <w:trHeight w:val="149"/>
        </w:trPr>
        <w:tc>
          <w:tcPr>
            <w:tcW w:w="50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Investments Measured at Net Asset Value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Aon Collective Investment Trust Funds</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Aon Alternative Investment Funds: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 income funds</w:t>
            </w: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16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Venture Capital Fund</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72"/>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Non-U.S. commingled equity and fixed income</w:t>
            </w: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0" w:type="dxa"/>
            <w:vAlign w:val="bottom"/>
          </w:tcPr>
          <w:p>
            <w:pPr>
              <w:spacing w:after="0"/>
              <w:rPr>
                <w:sz w:val="1"/>
                <w:szCs w:val="1"/>
                <w:color w:val="auto"/>
              </w:rPr>
            </w:pPr>
          </w:p>
        </w:tc>
      </w:tr>
      <w:tr>
        <w:trPr>
          <w:trHeight w:val="158"/>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investments measured at net asset value</w:t>
            </w:r>
          </w:p>
        </w:tc>
        <w:tc>
          <w:tcPr>
            <w:tcW w:w="1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at fair value</w:t>
            </w: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1,282.7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Allocations</w:t>
      </w:r>
    </w:p>
    <w:p>
      <w:pPr>
        <w:spacing w:after="0" w:line="170" w:lineRule="exact"/>
        <w:rPr>
          <w:sz w:val="20"/>
          <w:szCs w:val="20"/>
          <w:color w:val="auto"/>
        </w:rPr>
      </w:pPr>
    </w:p>
    <w:p>
      <w:pPr>
        <w:jc w:val="both"/>
        <w:ind w:right="40" w:firstLine="318"/>
        <w:spacing w:after="0" w:line="319" w:lineRule="auto"/>
        <w:rPr>
          <w:sz w:val="20"/>
          <w:szCs w:val="20"/>
          <w:color w:val="auto"/>
        </w:rPr>
      </w:pPr>
      <w:r>
        <w:rPr>
          <w:rFonts w:ascii="Times New Roman" w:cs="Times New Roman" w:eastAsia="Times New Roman" w:hAnsi="Times New Roman"/>
          <w:sz w:val="14"/>
          <w:szCs w:val="14"/>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41% return-seeking assets (range of 30% to 50%) and 59% liability-hedging assets (range of 50% to 70%).</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the weighted average asset allocations and target asset allocations by asset category, as of the measurement dates of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Asset allocations</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bottom w:val="single" w:sz="8" w:color="auto"/>
            </w:tcBorders>
            <w:gridSpan w:val="3"/>
          </w:tcPr>
          <w:p>
            <w:pPr>
              <w:jc w:val="center"/>
              <w:ind w:left="622"/>
              <w:spacing w:after="0"/>
              <w:rPr>
                <w:sz w:val="20"/>
                <w:szCs w:val="20"/>
                <w:color w:val="auto"/>
              </w:rPr>
            </w:pPr>
            <w:r>
              <w:rPr>
                <w:rFonts w:ascii="Times New Roman" w:cs="Times New Roman" w:eastAsia="Times New Roman" w:hAnsi="Times New Roman"/>
                <w:sz w:val="11"/>
                <w:szCs w:val="11"/>
                <w:b w:val="1"/>
                <w:bCs w:val="1"/>
                <w:color w:val="auto"/>
              </w:rPr>
              <w:t>Target asset allocations</w:t>
            </w:r>
          </w:p>
        </w:tc>
        <w:tc>
          <w:tcPr>
            <w:tcW w:w="700" w:type="dxa"/>
            <w:vAlign w:val="bottom"/>
            <w:tcBorders>
              <w:bottom w:val="single" w:sz="8" w:color="auto"/>
            </w:tcBorders>
          </w:tcPr>
          <w:p>
            <w:pPr>
              <w:spacing w:after="0"/>
              <w:rPr>
                <w:sz w:val="13"/>
                <w:szCs w:val="13"/>
                <w:color w:val="auto"/>
              </w:rPr>
            </w:pPr>
          </w:p>
        </w:tc>
      </w:tr>
      <w:tr>
        <w:trPr>
          <w:trHeight w:val="154"/>
        </w:trPr>
        <w:tc>
          <w:tcPr>
            <w:tcW w:w="59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00" w:type="dxa"/>
            <w:vAlign w:val="bottom"/>
            <w:tcBorders>
              <w:bottom w:val="single" w:sz="8" w:color="auto"/>
            </w:tcBorders>
          </w:tcPr>
          <w:p>
            <w:pPr>
              <w:spacing w:after="0"/>
              <w:rPr>
                <w:sz w:val="13"/>
                <w:szCs w:val="13"/>
                <w:color w:val="auto"/>
              </w:rPr>
            </w:pPr>
          </w:p>
        </w:tc>
      </w:tr>
      <w:tr>
        <w:trPr>
          <w:trHeight w:val="114"/>
        </w:trPr>
        <w:tc>
          <w:tcPr>
            <w:tcW w:w="5980" w:type="dxa"/>
            <w:vAlign w:val="bottom"/>
          </w:tcPr>
          <w:p>
            <w:pPr>
              <w:spacing w:after="0"/>
              <w:rPr>
                <w:sz w:val="9"/>
                <w:szCs w:val="9"/>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Pr>
          <w:p>
            <w:pPr>
              <w:spacing w:after="0"/>
              <w:rPr>
                <w:sz w:val="9"/>
                <w:szCs w:val="9"/>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67"/>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Return-seeking assets</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Liability-hedging assets</w:t>
            </w: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4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20"/>
        </w:trPr>
        <w:tc>
          <w:tcPr>
            <w:tcW w:w="5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Contributions and Benefit Payments</w:t>
      </w:r>
    </w:p>
    <w:p>
      <w:pPr>
        <w:spacing w:after="0" w:line="212" w:lineRule="exact"/>
        <w:rPr>
          <w:sz w:val="20"/>
          <w:szCs w:val="20"/>
          <w:color w:val="auto"/>
        </w:rPr>
      </w:pPr>
    </w:p>
    <w:p>
      <w:pPr>
        <w:ind w:right="140" w:firstLine="350"/>
        <w:spacing w:after="0" w:line="271" w:lineRule="auto"/>
        <w:rPr>
          <w:sz w:val="20"/>
          <w:szCs w:val="20"/>
          <w:color w:val="auto"/>
        </w:rPr>
      </w:pPr>
      <w:r>
        <w:rPr>
          <w:rFonts w:ascii="Times New Roman" w:cs="Times New Roman" w:eastAsia="Times New Roman" w:hAnsi="Times New Roman"/>
          <w:sz w:val="14"/>
          <w:szCs w:val="14"/>
          <w:color w:val="auto"/>
        </w:rPr>
        <w:t>We expect to contribute $4.4 million to our non-U.S. pension plans and $0.2 million to our postretirement benefit plan in 2025. We did not make a contribution in 2024 and are not required to make a contribution to the U.S. Qualified Plan in 2025 for</w:t>
      </w:r>
    </w:p>
    <w:p>
      <w:pPr>
        <w:sectPr>
          <w:pgSz w:w="11900" w:h="16838" w:orient="portrait"/>
          <w:cols w:equalWidth="0" w:num="1">
            <w:col w:w="11280"/>
          </w:cols>
          <w:pgMar w:left="300" w:top="409" w:right="319" w:bottom="1440" w:gutter="0" w:footer="0" w:header="0"/>
        </w:sectPr>
      </w:pPr>
    </w:p>
    <w:bookmarkStart w:id="169" w:name="page170"/>
    <w:bookmarkEnd w:id="16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the 2024 plan year based on the minimum funding requirements as defined in the Pension Protection Act of 2006 as amended. Final funding requirements for 2024 will be determined based on our January 2025 funding actuarial valuation.</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expected benefit payments from our pension plans and postretirement plans through 2034. Actual benefit payments may differ from expected benefit payments.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amounts are net of expected plan participant contributions: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Pension plans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Postretirement benefit plans</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15"/>
                <w:szCs w:val="15"/>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2030 - 2034</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401(k) Plan</w:t>
      </w:r>
    </w:p>
    <w:p>
      <w:pPr>
        <w:spacing w:after="0" w:line="170" w:lineRule="exact"/>
        <w:rPr>
          <w:sz w:val="20"/>
          <w:szCs w:val="20"/>
          <w:color w:val="auto"/>
        </w:rPr>
      </w:pPr>
    </w:p>
    <w:p>
      <w:pPr>
        <w:ind w:right="180" w:firstLine="350"/>
        <w:spacing w:after="0" w:line="309" w:lineRule="auto"/>
        <w:rPr>
          <w:sz w:val="20"/>
          <w:szCs w:val="20"/>
          <w:color w:val="auto"/>
        </w:rPr>
      </w:pPr>
      <w:r>
        <w:rPr>
          <w:rFonts w:ascii="Times New Roman" w:cs="Times New Roman" w:eastAsia="Times New Roman" w:hAnsi="Times New Roman"/>
          <w:sz w:val="14"/>
          <w:szCs w:val="14"/>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had expense associated with our 401(k) Plan of $10.4 million, $10.6 million and $10.7 million for the years ended December 31, 2024, 2023 and 2022, respectively.</w:t>
      </w:r>
    </w:p>
    <w:p>
      <w:pPr>
        <w:sectPr>
          <w:pgSz w:w="11900" w:h="16838" w:orient="portrait"/>
          <w:cols w:equalWidth="0" w:num="1">
            <w:col w:w="11280"/>
          </w:cols>
          <w:pgMar w:left="300" w:top="409" w:right="319" w:bottom="1440" w:gutter="0" w:footer="0" w:header="0"/>
        </w:sectPr>
      </w:pPr>
    </w:p>
    <w:bookmarkStart w:id="170" w:name="page171"/>
    <w:bookmarkEnd w:id="17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Income Taxes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Income (loss) before provision for income taxes consisted of: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0" w:type="dxa"/>
            <w:vAlign w:val="bottom"/>
            <w:tcBorders>
              <w:bottom w:val="single" w:sz="8" w:color="auto"/>
            </w:tcBorders>
          </w:tcPr>
          <w:p>
            <w:pPr>
              <w:spacing w:after="0"/>
              <w:rPr>
                <w:sz w:val="11"/>
                <w:szCs w:val="11"/>
                <w:color w:val="auto"/>
              </w:rPr>
            </w:pPr>
          </w:p>
        </w:tc>
      </w:tr>
      <w:tr>
        <w:trPr>
          <w:trHeight w:val="139"/>
        </w:trPr>
        <w:tc>
          <w:tcPr>
            <w:tcW w:w="7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67"/>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(396.6)</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(360.7)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(266.6)</w:t>
            </w:r>
          </w:p>
        </w:tc>
      </w:tr>
      <w:tr>
        <w:trPr>
          <w:trHeight w:val="18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Non-U.S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335.3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w:t>
            </w:r>
          </w:p>
        </w:tc>
      </w:tr>
      <w:tr>
        <w:trPr>
          <w:trHeight w:val="185"/>
        </w:trPr>
        <w:tc>
          <w:tcPr>
            <w:tcW w:w="7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 and equity in net income of affiliates</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(27.2)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81"/>
        </w:trPr>
        <w:tc>
          <w:tcPr>
            <w:tcW w:w="7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200" w:type="dxa"/>
            <w:vAlign w:val="bottom"/>
            <w:tcBorders>
              <w:bottom w:val="single" w:sz="8" w:color="auto"/>
            </w:tcBorders>
          </w:tcPr>
          <w:p>
            <w:pPr>
              <w:spacing w:after="0"/>
              <w:rPr>
                <w:sz w:val="24"/>
                <w:szCs w:val="24"/>
                <w:color w:val="auto"/>
              </w:rPr>
            </w:pPr>
          </w:p>
        </w:tc>
      </w:tr>
      <w:tr>
        <w:trPr>
          <w:trHeight w:val="131"/>
        </w:trPr>
        <w:tc>
          <w:tcPr>
            <w:tcW w:w="7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tax provision:</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$ 29.2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$ 62.8</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6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current tax provision</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$ 123.8</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$ 97.7</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$ 123.9</w:t>
            </w:r>
          </w:p>
        </w:tc>
      </w:tr>
      <w:tr>
        <w:trPr>
          <w:trHeight w:val="149"/>
        </w:trPr>
        <w:tc>
          <w:tcPr>
            <w:tcW w:w="72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provision: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(94.1)</w:t>
            </w:r>
          </w:p>
        </w:tc>
      </w:tr>
      <w:tr>
        <w:trPr>
          <w:trHeight w:val="16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2"/>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5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deferred tax provision</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(157.5)</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(131.9)</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(152.7)</w:t>
            </w:r>
          </w:p>
        </w:tc>
      </w:tr>
      <w:tr>
        <w:trPr>
          <w:trHeight w:val="183"/>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income taxes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(33.7)</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(34.2)</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(28.8)</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7"/>
        </w:trPr>
        <w:tc>
          <w:tcPr>
            <w:tcW w:w="10080" w:type="dxa"/>
            <w:vAlign w:val="bottom"/>
            <w:gridSpan w:val="10"/>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significant differences between the U.S. Federal statutory tax rate and our effective tax rate for financial statement purposes:</w:t>
            </w:r>
          </w:p>
        </w:tc>
        <w:tc>
          <w:tcPr>
            <w:tcW w:w="1200" w:type="dxa"/>
            <w:vAlign w:val="bottom"/>
          </w:tcPr>
          <w:p>
            <w:pPr>
              <w:spacing w:after="0"/>
              <w:rPr>
                <w:sz w:val="24"/>
                <w:szCs w:val="24"/>
                <w:color w:val="auto"/>
              </w:rPr>
            </w:pPr>
          </w:p>
        </w:tc>
      </w:tr>
      <w:tr>
        <w:trPr>
          <w:trHeight w:val="175"/>
        </w:trPr>
        <w:tc>
          <w:tcPr>
            <w:tcW w:w="7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200" w:type="dxa"/>
            <w:vAlign w:val="bottom"/>
            <w:tcBorders>
              <w:bottom w:val="single" w:sz="8" w:color="auto"/>
            </w:tcBorders>
          </w:tcPr>
          <w:p>
            <w:pPr>
              <w:spacing w:after="0"/>
              <w:rPr>
                <w:sz w:val="15"/>
                <w:szCs w:val="15"/>
                <w:color w:val="auto"/>
              </w:rPr>
            </w:pPr>
          </w:p>
        </w:tc>
      </w:tr>
      <w:tr>
        <w:trPr>
          <w:trHeight w:val="133"/>
        </w:trPr>
        <w:tc>
          <w:tcPr>
            <w:tcW w:w="7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0"/>
                <w:szCs w:val="10"/>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55180"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Statutory tax rate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State and local taxes, net of U.S. Federal tax benefits </w:t>
      </w:r>
      <w:r>
        <w:rPr>
          <w:rFonts w:ascii="Times New Roman" w:cs="Times New Roman" w:eastAsia="Times New Roman" w:hAnsi="Times New Roman"/>
          <w:sz w:val="16"/>
          <w:szCs w:val="16"/>
          <w:color w:val="auto"/>
          <w:vertAlign w:val="superscript"/>
        </w:rPr>
        <w:t>(1)</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Nondeductible charges </w:t>
      </w:r>
      <w:r>
        <w:rPr>
          <w:rFonts w:ascii="Times New Roman" w:cs="Times New Roman" w:eastAsia="Times New Roman" w:hAnsi="Times New Roman"/>
          <w:sz w:val="16"/>
          <w:szCs w:val="16"/>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taxes on foreign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Non-U.S. taxes </w:t>
      </w:r>
      <w:r>
        <w:rPr>
          <w:rFonts w:ascii="Times New Roman" w:cs="Times New Roman" w:eastAsia="Times New Roman" w:hAnsi="Times New Roman"/>
          <w:sz w:val="16"/>
          <w:szCs w:val="16"/>
          <w:color w:val="auto"/>
          <w:vertAlign w:val="superscript"/>
        </w:rPr>
        <w:t>(3)</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Valuation allowance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Tax credits and deductions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Tax contingencies related to uncertain tax positions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GILTI tax </w:t>
      </w:r>
      <w:r>
        <w:rPr>
          <w:rFonts w:ascii="Times New Roman" w:cs="Times New Roman" w:eastAsia="Times New Roman" w:hAnsi="Times New Roman"/>
          <w:sz w:val="16"/>
          <w:szCs w:val="16"/>
          <w:color w:val="auto"/>
          <w:vertAlign w:val="superscript"/>
        </w:rPr>
        <w:t>(4)</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Pillar 2 global minimum tax</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Effective tax rate</w:t>
      </w:r>
    </w:p>
    <w:p>
      <w:pPr>
        <w:spacing w:after="0" w:line="154" w:lineRule="exact"/>
        <w:rPr>
          <w:sz w:val="20"/>
          <w:szCs w:val="20"/>
          <w:color w:val="auto"/>
        </w:rPr>
      </w:pPr>
    </w:p>
    <w:p>
      <w:pPr>
        <w:ind w:left="500" w:hanging="240"/>
        <w:spacing w:after="0"/>
        <w:tabs>
          <w:tab w:leader="none" w:pos="50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the impact of state apportionment changes in each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40" w:type="dxa"/>
            <w:vAlign w:val="bottom"/>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244"/>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r>
      <w:tr>
        <w:trPr>
          <w:trHeight w:val="170"/>
        </w:trPr>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42.2 %</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106.0 %</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-1360170</wp:posOffset>
            </wp:positionV>
            <wp:extent cx="7155180" cy="154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55180" cy="15494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-1097280</wp:posOffset>
            </wp:positionV>
            <wp:extent cx="7155180" cy="154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55180" cy="15494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-835025</wp:posOffset>
            </wp:positionV>
            <wp:extent cx="7155180" cy="1079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-619125</wp:posOffset>
            </wp:positionV>
            <wp:extent cx="7155180" cy="107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-356235</wp:posOffset>
            </wp:positionV>
            <wp:extent cx="7155180" cy="1079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-140970</wp:posOffset>
            </wp:positionV>
            <wp:extent cx="7155180" cy="1282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300" w:lineRule="exact"/>
        <w:rPr>
          <w:sz w:val="20"/>
          <w:szCs w:val="20"/>
          <w:color w:val="auto"/>
        </w:rPr>
      </w:pPr>
    </w:p>
    <w:p>
      <w:pPr>
        <w:sectPr>
          <w:pgSz w:w="11900" w:h="16838" w:orient="portrait"/>
          <w:cols w:equalWidth="0" w:num="2">
            <w:col w:w="6500" w:space="720"/>
            <w:col w:w="4060"/>
          </w:cols>
          <w:pgMar w:left="300" w:top="409" w:right="319" w:bottom="1440" w:gutter="0" w:footer="0" w:header="0"/>
          <w:type w:val="continuous"/>
        </w:sectPr>
      </w:pPr>
    </w:p>
    <w:p>
      <w:pPr>
        <w:ind w:left="500" w:hanging="240"/>
        <w:spacing w:after="0"/>
        <w:tabs>
          <w:tab w:leader="none" w:pos="50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impact for 2024, 2023 and 2022 reflects non-deductible compensation costs.</w:t>
      </w:r>
    </w:p>
    <w:p>
      <w:pPr>
        <w:spacing w:after="0" w:line="22" w:lineRule="exact"/>
        <w:rPr>
          <w:rFonts w:ascii="Times New Roman" w:cs="Times New Roman" w:eastAsia="Times New Roman" w:hAnsi="Times New Roman"/>
          <w:sz w:val="11"/>
          <w:szCs w:val="11"/>
          <w:color w:val="auto"/>
        </w:rPr>
      </w:pPr>
    </w:p>
    <w:p>
      <w:pPr>
        <w:ind w:left="520" w:right="20" w:hanging="260"/>
        <w:spacing w:after="0" w:line="280" w:lineRule="auto"/>
        <w:tabs>
          <w:tab w:leader="none" w:pos="514"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2023, the impact was primarily due to higher non-U.S. pre-tax income. For the year ended December 31, 2022, the impact was primarily the effect of lower consolidated pre-tax loss, compared to the prior year.</w:t>
      </w:r>
    </w:p>
    <w:p>
      <w:pPr>
        <w:spacing w:after="0" w:line="19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due to a reduction to the Global intangible low-taxed income ("GILTI") inclusion in the U.S. due to an election allowing for the exclusion of certain income.</w:t>
      </w:r>
    </w:p>
    <w:p>
      <w:pPr>
        <w:spacing w:after="0" w:line="205"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Income taxes paid were $101.9 million, $101.8 million and $143.8 million for the years ended December 31, 2024, 2023 and 2022, respectively. Income taxes refunded were $8.0 million, $1.6 million and $4.0 million for the years ended December 31, 2024, 2023 and 2022, respectively.</w:t>
      </w:r>
    </w:p>
    <w:p>
      <w:pPr>
        <w:sectPr>
          <w:pgSz w:w="11900" w:h="16838" w:orient="portrait"/>
          <w:cols w:equalWidth="0" w:num="1">
            <w:col w:w="11280"/>
          </w:cols>
          <w:pgMar w:left="300" w:top="409" w:right="319" w:bottom="1440" w:gutter="0" w:footer="0" w:header="0"/>
          <w:type w:val="continuous"/>
        </w:sectPr>
      </w:pPr>
    </w:p>
    <w:bookmarkStart w:id="171" w:name="page172"/>
    <w:bookmarkEnd w:id="17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Deferred tax assets (liabilities) are comprised of the following:</w:t>
      </w:r>
    </w:p>
    <w:p>
      <w:pPr>
        <w:spacing w:after="0" w:line="2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losses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$ 69.6</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$ 69.7</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carryforward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Bad debts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loss and credit carryforwards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and postretirement benefits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 842 - Lease liability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$ 383.7</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$ 343.6</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6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deferred tax assets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$ 345.5</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$ 304.4</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71"/>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(995.3)</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(1,109.0)</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Commission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 842 - ROU asset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8"/>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(1,063.5)</w:t>
            </w:r>
          </w:p>
        </w:tc>
        <w:tc>
          <w:tcPr>
            <w:tcW w:w="100" w:type="dxa"/>
            <w:vAlign w:val="bottom"/>
            <w:tcBorders>
              <w:bottom w:val="single" w:sz="8" w:color="CCEEFF"/>
            </w:tcBorders>
          </w:tcPr>
          <w:p>
            <w:pPr>
              <w:spacing w:after="0"/>
              <w:rPr>
                <w:sz w:val="13"/>
                <w:szCs w:val="13"/>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(1,174.5)</w:t>
            </w:r>
          </w:p>
        </w:tc>
      </w:tr>
      <w:tr>
        <w:trPr>
          <w:trHeight w:val="183"/>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(718.0)</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(870.1)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20" w:firstLine="318"/>
        <w:spacing w:after="0" w:line="270" w:lineRule="auto"/>
        <w:rPr>
          <w:sz w:val="20"/>
          <w:szCs w:val="20"/>
          <w:color w:val="auto"/>
        </w:rPr>
      </w:pPr>
      <w:r>
        <w:rPr>
          <w:rFonts w:ascii="Times New Roman" w:cs="Times New Roman" w:eastAsia="Times New Roman" w:hAnsi="Times New Roman"/>
          <w:sz w:val="14"/>
          <w:szCs w:val="14"/>
          <w:color w:val="auto"/>
        </w:rPr>
        <w:t>As a result of the enactment of the 2017 Tax Cuts and Jobs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57"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We have federal, state and local, and foreign tax loss carryforwards, the tax effect of which was $69.6 million as of December 31, 2024. Of the $69.6 million, $52.2 million have an indefinite carry-forward period with the remainder of $17.4 million expiring at various times between 2025 and 2044. Additionally, we have non-U.S. capital loss carryforwards. The associated tax effect was $12.3 million and $12.6 million as of December 31, 2024 and 2023, respectively.</w:t>
      </w:r>
    </w:p>
    <w:p>
      <w:pPr>
        <w:spacing w:after="0" w:line="157"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We have established valuation allowances against certain U.S. state and non-U.S. net operating losses and capital loss carryforwards in the amounts of $37.0 million and $39.2 million as of December 31, 2024 and 2023, respectively. In our opinion, certain U.S. state and non-U.S. net operating losses and capital loss carryforwards are more likely than not to expire before we can utilize them.</w:t>
      </w:r>
    </w:p>
    <w:p>
      <w:pPr>
        <w:spacing w:after="0" w:line="157" w:lineRule="exact"/>
        <w:rPr>
          <w:sz w:val="20"/>
          <w:szCs w:val="20"/>
          <w:color w:val="auto"/>
        </w:rPr>
      </w:pPr>
    </w:p>
    <w:p>
      <w:pPr>
        <w:ind w:right="260" w:firstLine="350"/>
        <w:spacing w:after="0" w:line="270" w:lineRule="auto"/>
        <w:rPr>
          <w:sz w:val="20"/>
          <w:szCs w:val="20"/>
          <w:color w:val="auto"/>
        </w:rPr>
      </w:pPr>
      <w:r>
        <w:rPr>
          <w:rFonts w:ascii="Times New Roman" w:cs="Times New Roman" w:eastAsia="Times New Roman" w:hAnsi="Times New Roman"/>
          <w:sz w:val="14"/>
          <w:szCs w:val="14"/>
          <w:color w:val="auto"/>
        </w:rPr>
        <w:t>We or one of our subsidiaries file income tax returns in the U.S. federal, and various state, local and foreign jurisdictions. In the U.S. federal jurisdiction, we are no longer subject to examination by the Internal Revenue Service (“IRS”) for years prior to 2019. In state and local jurisdictions, with a few exceptions, we are no longer subject to examinations by tax authorities for years prior to 2020. In foreign jurisdictions, with a few exceptions, we are no longer subject to examinations by tax authorities for years prior to 2017.</w:t>
      </w:r>
    </w:p>
    <w:p>
      <w:pPr>
        <w:sectPr>
          <w:pgSz w:w="11900" w:h="16838" w:orient="portrait"/>
          <w:cols w:equalWidth="0" w:num="1">
            <w:col w:w="11280"/>
          </w:cols>
          <w:pgMar w:left="300" w:top="409" w:right="319" w:bottom="1440" w:gutter="0" w:footer="0" w:header="0"/>
        </w:sectPr>
      </w:pPr>
    </w:p>
    <w:bookmarkStart w:id="172" w:name="page173"/>
    <w:bookmarkEnd w:id="17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ectPr>
          <w:pgSz w:w="11900" w:h="16838" w:orient="portrait"/>
          <w:cols w:equalWidth="0" w:num="1">
            <w:col w:w="11260"/>
          </w:cols>
          <w:pgMar w:left="300" w:top="409" w:right="339" w:bottom="1440" w:gutter="0" w:footer="0" w:header="0"/>
        </w:sectPr>
      </w:pPr>
    </w:p>
    <w:p>
      <w:pPr>
        <w:spacing w:after="0" w:line="3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reconciliation of the gross unrecognized tax benefits: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5180" cy="114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55180" cy="168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55180" cy="161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55180" cy="16192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68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55180" cy="161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55180" cy="16192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68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55180" cy="16827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Additions for current year</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s tax positions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Increase in prior years</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tax positions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Settlements with taxing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55180" cy="114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Reduction due to expired statute of limitations </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55180" cy="134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unrecognized tax benefits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hanging="115"/>
        <w:spacing w:after="0"/>
        <w:tabs>
          <w:tab w:leader="none" w:pos="1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18.6</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0.4</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(0.3)</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14605</wp:posOffset>
            </wp:positionV>
            <wp:extent cx="139446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10" w:lineRule="exact"/>
        <w:rPr>
          <w:sz w:val="20"/>
          <w:szCs w:val="20"/>
          <w:color w:val="auto"/>
        </w:rPr>
      </w:pPr>
    </w:p>
    <w:p>
      <w:pPr>
        <w:ind w:left="120" w:hanging="115"/>
        <w:spacing w:after="0"/>
        <w:tabs>
          <w:tab w:leader="none" w:pos="1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18.9</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0.5</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0.2</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14605</wp:posOffset>
            </wp:positionV>
            <wp:extent cx="139446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10" w:lineRule="exact"/>
        <w:rPr>
          <w:sz w:val="20"/>
          <w:szCs w:val="20"/>
          <w:color w:val="auto"/>
        </w:rPr>
      </w:pPr>
    </w:p>
    <w:p>
      <w:pPr>
        <w:ind w:left="120" w:hanging="115"/>
        <w:spacing w:after="0"/>
        <w:tabs>
          <w:tab w:leader="none" w:pos="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17.4</w:t>
      </w:r>
    </w:p>
    <w:p>
      <w:pPr>
        <w:spacing w:after="0" w:line="115" w:lineRule="exact"/>
        <w:rPr>
          <w:rFonts w:ascii="Times New Roman" w:cs="Times New Roman" w:eastAsia="Times New Roman" w:hAnsi="Times New Roman"/>
          <w:sz w:val="13"/>
          <w:szCs w:val="13"/>
          <w:color w:val="auto"/>
        </w:rPr>
      </w:pPr>
    </w:p>
    <w:p>
      <w:pPr>
        <w:ind w:left="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0.6</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0.5</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(4.7)</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(0.6)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34925</wp:posOffset>
            </wp:positionV>
            <wp:extent cx="13944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1394460" cy="698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10180" w:space="720"/>
            <w:col w:w="360"/>
          </w:cols>
          <w:pgMar w:left="300" w:top="409" w:right="339" w:bottom="1440" w:gutter="0" w:footer="0" w:header="0"/>
          <w:type w:val="continuous"/>
        </w:sectPr>
      </w:pPr>
    </w:p>
    <w:p>
      <w:pPr>
        <w:spacing w:after="0" w:line="119" w:lineRule="exact"/>
        <w:rPr>
          <w:sz w:val="20"/>
          <w:szCs w:val="20"/>
          <w:color w:val="auto"/>
        </w:rPr>
      </w:pPr>
    </w:p>
    <w:p>
      <w:pPr>
        <w:ind w:left="500" w:hanging="240"/>
        <w:spacing w:after="0"/>
        <w:tabs>
          <w:tab w:leader="none" w:pos="5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2018 tax year.</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2019 tax year.</w:t>
      </w:r>
    </w:p>
    <w:p>
      <w:pPr>
        <w:spacing w:after="0" w:line="53"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decrease was primarily due to the release of reserves as a result of the expiration of the statute of limitations for the 2020 tax year.</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amount of gross unrecognized tax benefits of $13.2 million that, if recognized, would impact the effective tax rate is $12.4 million, net of tax benefits.</w:t>
      </w:r>
    </w:p>
    <w:p>
      <w:pPr>
        <w:spacing w:after="0" w:line="200" w:lineRule="exact"/>
        <w:rPr>
          <w:sz w:val="20"/>
          <w:szCs w:val="20"/>
          <w:color w:val="auto"/>
        </w:rPr>
      </w:pPr>
    </w:p>
    <w:p>
      <w:pPr>
        <w:ind w:right="360" w:firstLine="318"/>
        <w:spacing w:after="0" w:line="270" w:lineRule="auto"/>
        <w:rPr>
          <w:sz w:val="20"/>
          <w:szCs w:val="20"/>
          <w:color w:val="auto"/>
        </w:rPr>
      </w:pPr>
      <w:r>
        <w:rPr>
          <w:rFonts w:ascii="Times New Roman" w:cs="Times New Roman" w:eastAsia="Times New Roman" w:hAnsi="Times New Roman"/>
          <w:sz w:val="14"/>
          <w:szCs w:val="14"/>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years ended December 31, 2024, 2023 and 2022 was $1.7 million $1.5 million and $0.8 million, respectively. The total amount of accrued interest, net of tax benefits, as of December 31, 2024 and 2023 was $3.6 million and $3.1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Earnings (Loss) Per Share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Basic earnings (loss) per share is computed by dividing net income (loss) for the period by the weighted-average number of common shares outstanding during the period.</w:t>
      </w:r>
    </w:p>
    <w:p>
      <w:pPr>
        <w:spacing w:after="0" w:line="179" w:lineRule="exact"/>
        <w:rPr>
          <w:sz w:val="20"/>
          <w:szCs w:val="20"/>
          <w:color w:val="auto"/>
        </w:rPr>
      </w:pPr>
    </w:p>
    <w:p>
      <w:pPr>
        <w:ind w:right="20" w:firstLine="350"/>
        <w:spacing w:after="0" w:line="309" w:lineRule="auto"/>
        <w:rPr>
          <w:sz w:val="20"/>
          <w:szCs w:val="20"/>
          <w:color w:val="auto"/>
        </w:rPr>
      </w:pPr>
      <w:r>
        <w:rPr>
          <w:rFonts w:ascii="Times New Roman" w:cs="Times New Roman" w:eastAsia="Times New Roman" w:hAnsi="Times New Roman"/>
          <w:sz w:val="14"/>
          <w:szCs w:val="14"/>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ectPr>
          <w:pgSz w:w="11900" w:h="16838" w:orient="portrait"/>
          <w:cols w:equalWidth="0" w:num="1">
            <w:col w:w="11260"/>
          </w:cols>
          <w:pgMar w:left="300" w:top="409" w:right="339" w:bottom="1440" w:gutter="0" w:footer="0" w:header="0"/>
          <w:type w:val="continuous"/>
        </w:sectPr>
      </w:pPr>
    </w:p>
    <w:bookmarkStart w:id="173" w:name="page174"/>
    <w:bookmarkEnd w:id="17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(loss)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24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180" w:type="dxa"/>
            <w:vAlign w:val="bottom"/>
            <w:tcBorders>
              <w:bottom w:val="single" w:sz="8" w:color="auto"/>
            </w:tcBorders>
          </w:tcPr>
          <w:p>
            <w:pPr>
              <w:spacing w:after="0"/>
              <w:rPr>
                <w:sz w:val="11"/>
                <w:szCs w:val="11"/>
                <w:color w:val="auto"/>
              </w:rPr>
            </w:pPr>
          </w:p>
        </w:tc>
      </w:tr>
      <w:tr>
        <w:trPr>
          <w:trHeight w:val="131"/>
        </w:trPr>
        <w:tc>
          <w:tcPr>
            <w:tcW w:w="72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7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(28.6)</w:t>
            </w: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(47.0)</w:t>
            </w:r>
          </w:p>
        </w:tc>
        <w:tc>
          <w:tcPr>
            <w:tcW w:w="1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7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5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number of shares outstanding-basic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432,354,671</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430,495,779</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429,106,164</w:t>
            </w:r>
          </w:p>
        </w:tc>
      </w:tr>
      <w:tr>
        <w:trPr>
          <w:trHeight w:val="224"/>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Weighted average number of shares outstanding-diluted </w:t>
            </w:r>
            <w:r>
              <w:rPr>
                <w:rFonts w:ascii="Times New Roman" w:cs="Times New Roman" w:eastAsia="Times New Roman" w:hAnsi="Times New Roman"/>
                <w:sz w:val="7"/>
                <w:szCs w:val="7"/>
                <w:b w:val="1"/>
                <w:bCs w:val="1"/>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432,354,671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430,495,779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429,106,164</w:t>
            </w:r>
          </w:p>
        </w:tc>
      </w:tr>
      <w:tr>
        <w:trPr>
          <w:trHeight w:val="179"/>
        </w:trPr>
        <w:tc>
          <w:tcPr>
            <w:tcW w:w="7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54"/>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Earnings (loss) per share of common stock:</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Basic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(0.07)</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(0.01)</w:t>
            </w:r>
          </w:p>
        </w:tc>
      </w:tr>
      <w:tr>
        <w:trPr>
          <w:trHeight w:val="149"/>
        </w:trPr>
        <w:tc>
          <w:tcPr>
            <w:tcW w:w="7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Diluted</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(0.07)</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(0.11)</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(0.01)</w:t>
            </w:r>
          </w:p>
        </w:tc>
      </w:tr>
    </w:tbl>
    <w:p>
      <w:pPr>
        <w:spacing w:after="0" w:line="120" w:lineRule="exact"/>
        <w:rPr>
          <w:sz w:val="20"/>
          <w:szCs w:val="20"/>
          <w:color w:val="auto"/>
        </w:rPr>
      </w:pPr>
    </w:p>
    <w:p>
      <w:pPr>
        <w:ind w:left="520" w:right="120" w:hanging="260"/>
        <w:spacing w:after="0" w:line="320" w:lineRule="auto"/>
        <w:tabs>
          <w:tab w:leader="none" w:pos="514"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 number of shares outstanding used in the computation of diluted earnings per share excludes the effect of potentially issuable common shares totaling 10,966,541 shares, 11,681,260 shares and 9,618,019 shares for the years ended December 31, 2024, 2023 and 2022, respectively. These potentially issuable common shares were not included in the calculation of diluted earnings per share because their effect would be anti-dilutive.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Financial Instruments</w:t>
      </w:r>
    </w:p>
    <w:p>
      <w:pPr>
        <w:spacing w:after="0" w:line="138" w:lineRule="exact"/>
        <w:rPr>
          <w:sz w:val="20"/>
          <w:szCs w:val="20"/>
          <w:color w:val="auto"/>
        </w:rPr>
      </w:pPr>
    </w:p>
    <w:p>
      <w:pPr>
        <w:ind w:right="720" w:firstLine="350"/>
        <w:spacing w:after="0" w:line="263" w:lineRule="auto"/>
        <w:rPr>
          <w:sz w:val="20"/>
          <w:szCs w:val="20"/>
          <w:color w:val="auto"/>
        </w:rPr>
      </w:pPr>
      <w:r>
        <w:rPr>
          <w:rFonts w:ascii="Times New Roman" w:cs="Times New Roman" w:eastAsia="Times New Roman" w:hAnsi="Times New Roman"/>
          <w:sz w:val="14"/>
          <w:szCs w:val="14"/>
          <w:color w:val="auto"/>
        </w:rPr>
        <w:t>The Company is exposed to global market risks, including risks from changes in foreign exchange rates and changes in interest rates. Accordingly, we use derivatives to manage the aforementioned financial exposures that occur in</w:t>
      </w:r>
    </w:p>
    <w:p>
      <w:pPr>
        <w:spacing w:after="0" w:line="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4"/>
          <w:szCs w:val="14"/>
          <w:color w:val="auto"/>
        </w:rPr>
        <w:t>the normal course of business. We do not use derivatives for trading or speculative purposes. By their nature, all such instruments involve risk, including the credit risk of non-performance by counterparties. However, at December 31, 2024 and 2023, there was no significant risk of loss in the event of non-performance of the counterparties to these financial instruments. We control our exposure to credit risk through monitoring procedures and by selection of reputable counterparties. Collateral is generally not required for these types of investments. See Note 2 for our financial instruments accounting policy.</w:t>
      </w:r>
    </w:p>
    <w:p>
      <w:pPr>
        <w:spacing w:after="0" w:line="166"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Our trade receivables do not represent a significant concentration of credit risk at December 31, 2024 and 2023, because we sell to a large number of clients in different geographical locations and industries.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13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93"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We use interest rate swaps to manage the impact of interest rate changes on our earnings. Under the swap agreements, we make monthly payments based on the fixed interest rate and receive monthly payments based on the floating rate. The purpose of the swaps is to mitigate the variation of future cash flows from changes in the floating interest rates on our existing debt. The swaps are designated and accounted for as cash flow hedges. Changes in the fair value of the hedging instruments are recorded in OCI, net of tax, and reclassified to earnings in the same line item associated with the hedged item when the hedged item impacts earnings.</w:t>
      </w:r>
    </w:p>
    <w:p>
      <w:pPr>
        <w:spacing w:after="0" w:line="162" w:lineRule="exact"/>
        <w:rPr>
          <w:sz w:val="20"/>
          <w:szCs w:val="20"/>
          <w:color w:val="auto"/>
        </w:rPr>
      </w:pPr>
    </w:p>
    <w:p>
      <w:pPr>
        <w:ind w:right="200" w:firstLine="350"/>
        <w:spacing w:after="0" w:line="263" w:lineRule="auto"/>
        <w:rPr>
          <w:sz w:val="20"/>
          <w:szCs w:val="20"/>
          <w:color w:val="auto"/>
        </w:rPr>
      </w:pPr>
      <w:r>
        <w:rPr>
          <w:rFonts w:ascii="Times New Roman" w:cs="Times New Roman" w:eastAsia="Times New Roman" w:hAnsi="Times New Roman"/>
          <w:sz w:val="14"/>
          <w:szCs w:val="14"/>
          <w:color w:val="auto"/>
        </w:rPr>
        <w:t>On September 12, 2024, we entered into an interest rate swap with a notional amount of $1 billion effective September 16, 2024 through March 27, 2028. For this swap, the Company pays a fixed rate of 3.246% and receives the one-month SOFR rate.</w:t>
      </w:r>
    </w:p>
    <w:p>
      <w:pPr>
        <w:spacing w:after="0" w:line="1" w:lineRule="exact"/>
        <w:rPr>
          <w:sz w:val="20"/>
          <w:szCs w:val="20"/>
          <w:color w:val="auto"/>
        </w:rPr>
      </w:pPr>
    </w:p>
    <w:p>
      <w:pPr>
        <w:ind w:right="180" w:firstLine="350"/>
        <w:spacing w:after="0" w:line="259" w:lineRule="auto"/>
        <w:rPr>
          <w:sz w:val="20"/>
          <w:szCs w:val="20"/>
          <w:color w:val="auto"/>
        </w:rPr>
      </w:pPr>
      <w:r>
        <w:rPr>
          <w:rFonts w:ascii="Times New Roman" w:cs="Times New Roman" w:eastAsia="Times New Roman" w:hAnsi="Times New Roman"/>
          <w:sz w:val="14"/>
          <w:szCs w:val="14"/>
          <w:color w:val="auto"/>
        </w:rPr>
        <w:t>On August 2, 2024 and August 5, 2024, we entered into two three-year interest rate swaps, with a notional amount of $350 million and $250 million, respectively. Both swaps have a forward starting effective date of March 27, 2025 and a maturity date of March 27, 2028 ("forward starting interest rate swaps"). The Company pays 3.229% on the $350 million swap and 3.240% on the $250 million swap, and receives the one-month SOFR rate for both swaps.</w:t>
      </w:r>
    </w:p>
    <w:p>
      <w:pPr>
        <w:spacing w:after="0" w:line="165"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Effective August 28, 2023, we amended our interest rate swap agreements with an aggregate notional amount of $1,000 million that originally matured on March 27, 2024 ("2024 interest rate swaps"). The amendments extended the maturity date to March 27, 2025. Under the amended agreements, the Company pays a fixed rate of 3.214% and receives the one-month SOFR rate. As a result of the amendment, the 2024 interest rate swaps were de-designated and the unrealized gain of $29.0 million</w:t>
      </w:r>
    </w:p>
    <w:p>
      <w:pPr>
        <w:sectPr>
          <w:pgSz w:w="11900" w:h="16838" w:orient="portrait"/>
          <w:cols w:equalWidth="0" w:num="1">
            <w:col w:w="11280"/>
          </w:cols>
          <w:pgMar w:left="300" w:top="409" w:right="319" w:bottom="1440" w:gutter="0" w:footer="0" w:header="0"/>
        </w:sectPr>
      </w:pPr>
    </w:p>
    <w:bookmarkStart w:id="174" w:name="page175"/>
    <w:bookmarkEnd w:id="17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included within accumulated other comprehensive income (loss) was frozen and systematically reclassified to earnings as a reduction to interest expense over the original term of the 2024 interest rate swaps. Additionally, the amended swaps had an aggregate fair value of $29.0 million at inception and is recorded ratably to accumulated other comprehensive income (loss) and reclassified to earnings as an increase to interest expense over the term of the amended interest rate swaps. At the inception of the amended interest rate swaps, we performed a quantitative effectiveness assessment and determined that the swaps qualified for cash flow hedge accounting. Changes in the fair value of the hedging instruments are recorded in OCI, net of tax, and reclassified to earnings in the same line item associated with the hedged item when the hedged item impacts earnings. Additionally, we perform quantitative tests to assess hedging effectiveness over the remaining life of the amended swaps.</w:t>
      </w:r>
    </w:p>
    <w:p>
      <w:pPr>
        <w:spacing w:after="0" w:line="338" w:lineRule="exact"/>
        <w:rPr>
          <w:sz w:val="20"/>
          <w:szCs w:val="20"/>
          <w:color w:val="auto"/>
        </w:rPr>
      </w:pPr>
    </w:p>
    <w:p>
      <w:pPr>
        <w:ind w:right="180" w:firstLine="350"/>
        <w:spacing w:after="0" w:line="264" w:lineRule="auto"/>
        <w:rPr>
          <w:sz w:val="20"/>
          <w:szCs w:val="20"/>
          <w:color w:val="auto"/>
        </w:rPr>
      </w:pPr>
      <w:r>
        <w:rPr>
          <w:rFonts w:ascii="Times New Roman" w:cs="Times New Roman" w:eastAsia="Times New Roman" w:hAnsi="Times New Roman"/>
          <w:sz w:val="14"/>
          <w:szCs w:val="14"/>
          <w:color w:val="auto"/>
        </w:rPr>
        <w:t>On February 2, 2023, the Company entered into two three-year interest rate swaps with an aggregate notional amount of $1,500 million, effective January 27, 2023 through February 8, 2026. For these swaps, the Company pays a fixed rate of 3.695% and received the one-month LIBOR rate through June 27, 2023 and receives the one-month Term SOFR rate after June 27, 2023 for the remainder of the term. On September 12, 2024, we terminated one of the interest rate swaps with a notional amount of $1 billion and received $0.2 million. The unrealized gain of $0.2 million included within OCI has been reclassified to earnings during the year ended December 31, 2024.</w:t>
      </w:r>
    </w:p>
    <w:p>
      <w:pPr>
        <w:spacing w:after="0" w:line="162"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On March 2, 2022, the Company entered into three-year interest rate swaps with an aggregate notional amount of $250 million, effective February 28, 2022 through February 27, 2025. For these swaps, the Company pays a fixed rate of 1.629% and receives the one-month Term SOFR rate.</w:t>
      </w:r>
    </w:p>
    <w:p>
      <w:pPr>
        <w:spacing w:after="0" w:line="145"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During the second quarter of 2023, we modified our Senior Secured Credit Facility to complete the transition of reference rate from LIBOR to SOFR. As a result, our interest rate swap agreements which previously received one-month LIBOR interest were also modified to receive one-month SOFR interest. We utilized the expedients set forth in ASC Topic 848, including those relating to derivative instruments used in hedging relationships. This transition did not result in a financial impact to our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interest rate swaps in effect as of December 31, 2024 and 2023:</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3"/>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180"/>
        </w:trPr>
        <w:tc>
          <w:tcPr>
            <w:tcW w:w="6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14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159"/>
        </w:trPr>
        <w:tc>
          <w:tcPr>
            <w:tcW w:w="6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2"/>
        </w:trPr>
        <w:tc>
          <w:tcPr>
            <w:tcW w:w="624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8"/>
              </w:rPr>
              <w:t>February 27, 2025</w:t>
            </w:r>
          </w:p>
        </w:tc>
        <w:tc>
          <w:tcPr>
            <w:tcW w:w="13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1.629%</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rPr>
              <w:t>$250.0</w:t>
            </w: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$250.0</w:t>
            </w:r>
          </w:p>
        </w:tc>
      </w:tr>
      <w:tr>
        <w:trPr>
          <w:trHeight w:val="242"/>
        </w:trPr>
        <w:tc>
          <w:tcPr>
            <w:tcW w:w="6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March 27, 2025</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3.214%</w:t>
            </w:r>
          </w:p>
        </w:tc>
        <w:tc>
          <w:tcPr>
            <w:tcW w:w="2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7"/>
              </w:rPr>
              <w:t>1,000.0</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1,000.0</w:t>
            </w:r>
          </w:p>
        </w:tc>
      </w:tr>
      <w:tr>
        <w:trPr>
          <w:trHeight w:val="172"/>
        </w:trPr>
        <w:tc>
          <w:tcPr>
            <w:tcW w:w="6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w w:val="98"/>
              </w:rPr>
              <w:t>February 8, 2026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3.695%</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5"/>
              </w:rPr>
              <w:t>500.0</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1,500.0</w:t>
            </w:r>
          </w:p>
        </w:tc>
      </w:tr>
      <w:tr>
        <w:trPr>
          <w:trHeight w:val="168"/>
        </w:trPr>
        <w:tc>
          <w:tcPr>
            <w:tcW w:w="624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March 27, 2028</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3.246%</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color w:val="auto"/>
                <w:w w:val="97"/>
              </w:rPr>
              <w:t>1,000.0</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rate swaps</w:t>
            </w: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6"/>
              </w:rPr>
              <w:t>$2,750.0</w:t>
            </w:r>
          </w:p>
        </w:tc>
        <w:tc>
          <w:tcPr>
            <w:tcW w:w="5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$2,750.0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addition, we had forward starting interest rate swaps with an aggregate notional amount of $600 million at December 31, 2024. See above for additional detail.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 Management</w:t>
      </w:r>
    </w:p>
    <w:p>
      <w:pPr>
        <w:spacing w:after="0" w:line="13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Certain derivatives are designated as accounting hedges.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Foreign exchange forward contracts</w:t>
      </w:r>
    </w:p>
    <w:p>
      <w:pPr>
        <w:spacing w:after="0" w:line="85"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To decrease earnings volatility, we currently hedge substantially all our intercompany balance positions denominated in a currency other than the functional currency applicable to each of our various subsidiaries with short-term, foreign exchange forward contracts. The underlying transactions and the corresponding foreign exchange forward contracts are marked to market at the end of each quarter and the fair value changes are reflected within “Non-operating income (expense) – net” in the consolidated statements of operations and comprehensive income (loss).</w:t>
      </w:r>
    </w:p>
    <w:p>
      <w:pPr>
        <w:sectPr>
          <w:pgSz w:w="11900" w:h="16838" w:orient="portrait"/>
          <w:cols w:equalWidth="0" w:num="1">
            <w:col w:w="11280"/>
          </w:cols>
          <w:pgMar w:left="300" w:top="409" w:right="319" w:bottom="1440" w:gutter="0" w:footer="0" w:header="0"/>
        </w:sectPr>
      </w:pPr>
    </w:p>
    <w:bookmarkStart w:id="175" w:name="page176"/>
    <w:bookmarkEnd w:id="17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These contracts are denominated primarily in the Euro, Swedish Krona, British pound sterling and Norwegian Krone. Our foreign exchange forward contracts are not designated as hedging instruments and typically have maturities of 12 months or less.</w:t>
      </w:r>
    </w:p>
    <w:p>
      <w:pPr>
        <w:spacing w:after="0" w:line="145" w:lineRule="exact"/>
        <w:rPr>
          <w:sz w:val="20"/>
          <w:szCs w:val="20"/>
          <w:color w:val="auto"/>
        </w:rPr>
      </w:pPr>
    </w:p>
    <w:p>
      <w:pPr>
        <w:ind w:right="80" w:firstLine="350"/>
        <w:spacing w:after="0" w:line="253" w:lineRule="auto"/>
        <w:rPr>
          <w:sz w:val="20"/>
          <w:szCs w:val="20"/>
          <w:color w:val="auto"/>
        </w:rPr>
      </w:pPr>
      <w:r>
        <w:rPr>
          <w:rFonts w:ascii="Times New Roman" w:cs="Times New Roman" w:eastAsia="Times New Roman" w:hAnsi="Times New Roman"/>
          <w:sz w:val="14"/>
          <w:szCs w:val="14"/>
          <w:color w:val="auto"/>
        </w:rPr>
        <w:t>As of December 31, 2024 and December 31, 2023, the notional amounts of our foreign exchange contracts were $583.5 million and $653.1 million, respectively. Realized gains and losses associated with these contracts were $32.7 million and $33.5 million, respectively, for the year ended December 31, 2024; $29.6 million and $24.3 million, respectively, for the year ended December 31, 2023; and $34.1 million and $48.2 million, respectively, for the year ended December 31, 2022. Unrealized gains and losses associated with these contracts were $1.3 million and $3.4 million, respectively, at December 31, 2024; $8.0 million and $2.3 million, respectively, at December 31, 2023; and $3.5 million and $0.3 million, respectively, at December 31, 2022.</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Cross-currency interest rate swaps</w:t>
      </w:r>
    </w:p>
    <w:p>
      <w:pPr>
        <w:spacing w:after="0" w:line="202"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To protect the value of our investments in our foreign operations against adverse changes in foreign currency exchange rates, we hedge a portion of our net investment in one or more of our foreign subsidiaries by using cross-currency interest rate swaps. Cross currency swaps are designated as net investment hedges of a portion of our foreign investments denominated in the non-U.S. dollar currency. The component of the gains and losses on our net investment in these designated foreign operations driven by changes in foreign exchange rates, are partly offset by movements in the fair value of our cross-currency swap contracts. The change in the fair value of the swaps in each period is reported in OCI, net of tax. Such amounts will remain in accumulated OCI until the liquidation or substantial liquidation of our investment in the underlying foreign operations. Through the respective maturity dates of each of the swap contracts, we receive monthly fixed-rate interest payments, which are recorded as contra expense within "Interest expense" in the consolidated statements of operations and comprehensive income (loss). They are designated as net investment hedges of a portion of our foreign investments denominated in the Euro currency.</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cross-currency swaps in effect as of December 31, 2024 and 2023:</w:t>
      </w: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01205" cy="1282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01205" cy="12827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200"/>
        </w:trPr>
        <w:tc>
          <w:tcPr>
            <w:tcW w:w="3780" w:type="dxa"/>
            <w:vAlign w:val="bottom"/>
            <w:tcBorders>
              <w:top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36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3"/>
                <w:szCs w:val="13"/>
                <w:color w:val="auto"/>
                <w:w w:val="93"/>
              </w:rPr>
              <w:t xml:space="preserve">July 19, 2025 </w:t>
            </w:r>
            <w:r>
              <w:rPr>
                <w:rFonts w:ascii="Times New Roman" w:cs="Times New Roman" w:eastAsia="Times New Roman" w:hAnsi="Times New Roman"/>
                <w:sz w:val="18"/>
                <w:szCs w:val="18"/>
                <w:color w:val="auto"/>
                <w:w w:val="93"/>
                <w:vertAlign w:val="superscript"/>
              </w:rPr>
              <w:t>(1)</w:t>
            </w:r>
          </w:p>
        </w:tc>
        <w:tc>
          <w:tcPr>
            <w:tcW w:w="160" w:type="dxa"/>
            <w:vAlign w:val="bottom"/>
          </w:tcPr>
          <w:p>
            <w:pPr>
              <w:spacing w:after="0"/>
              <w:rPr>
                <w:sz w:val="14"/>
                <w:szCs w:val="14"/>
                <w:color w:val="auto"/>
              </w:rPr>
            </w:pPr>
          </w:p>
        </w:tc>
        <w:tc>
          <w:tcPr>
            <w:tcW w:w="1540" w:type="dxa"/>
            <w:vAlign w:val="bottom"/>
            <w:tcBorders>
              <w:top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080" w:type="dxa"/>
            <w:vAlign w:val="bottom"/>
            <w:tcBorders>
              <w:top w:val="single" w:sz="8" w:color="auto"/>
            </w:tcBorders>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4"/>
                <w:szCs w:val="14"/>
                <w:color w:val="auto"/>
              </w:rPr>
            </w:pPr>
          </w:p>
        </w:tc>
        <w:tc>
          <w:tcPr>
            <w:tcW w:w="1500" w:type="dxa"/>
            <w:vAlign w:val="bottom"/>
            <w:tcBorders>
              <w:top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tcBorders>
              <w:top w:val="single" w:sz="8" w:color="auto"/>
            </w:tcBorders>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1.883%</w:t>
            </w:r>
          </w:p>
        </w:tc>
      </w:tr>
      <w:tr>
        <w:trPr>
          <w:trHeight w:val="180"/>
        </w:trPr>
        <w:tc>
          <w:tcPr>
            <w:tcW w:w="3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July 19, 2026</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1.723%</w:t>
            </w:r>
          </w:p>
        </w:tc>
      </w:tr>
      <w:tr>
        <w:trPr>
          <w:trHeight w:val="180"/>
        </w:trPr>
        <w:tc>
          <w:tcPr>
            <w:tcW w:w="37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3"/>
              </w:rPr>
              <w:t xml:space="preserve">July 19, 2027 </w:t>
            </w:r>
            <w:r>
              <w:rPr>
                <w:rFonts w:ascii="Times New Roman" w:cs="Times New Roman" w:eastAsia="Times New Roman" w:hAnsi="Times New Roman"/>
                <w:sz w:val="18"/>
                <w:szCs w:val="18"/>
                <w:color w:val="auto"/>
                <w:w w:val="93"/>
                <w:vertAlign w:val="superscript"/>
              </w:rPr>
              <w:t>(1)</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1.400%</w:t>
            </w:r>
          </w:p>
        </w:tc>
      </w:tr>
      <w:tr>
        <w:trPr>
          <w:trHeight w:val="180"/>
        </w:trPr>
        <w:tc>
          <w:tcPr>
            <w:tcW w:w="3780" w:type="dxa"/>
            <w:vAlign w:val="bottom"/>
            <w:gridSpan w:val="2"/>
            <w:shd w:val="clear" w:color="auto" w:fill="CCEEFF"/>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1.676%</w:t>
            </w:r>
          </w:p>
        </w:tc>
      </w:tr>
      <w:tr>
        <w:trPr>
          <w:trHeight w:val="180"/>
        </w:trPr>
        <w:tc>
          <w:tcPr>
            <w:tcW w:w="378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2028 </w:t>
            </w:r>
            <w:r>
              <w:rPr>
                <w:rFonts w:ascii="Times New Roman" w:cs="Times New Roman" w:eastAsia="Times New Roman" w:hAnsi="Times New Roman"/>
                <w:sz w:val="18"/>
                <w:szCs w:val="18"/>
                <w:color w:val="auto"/>
                <w:w w:val="96"/>
                <w:vertAlign w:val="superscript"/>
              </w:rPr>
              <w:t>(1)</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69.2</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3"/>
                <w:szCs w:val="13"/>
                <w:color w:val="auto"/>
                <w:w w:val="96"/>
              </w:rPr>
              <w:t>75.0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1.685%</w:t>
            </w:r>
          </w:p>
        </w:tc>
      </w:tr>
      <w:tr>
        <w:trPr>
          <w:trHeight w:val="180"/>
        </w:trPr>
        <w:tc>
          <w:tcPr>
            <w:tcW w:w="3780" w:type="dxa"/>
            <w:vAlign w:val="bottom"/>
            <w:gridSpan w:val="2"/>
            <w:shd w:val="clear" w:color="auto" w:fill="CCEEFF"/>
          </w:tcPr>
          <w:p>
            <w:pPr>
              <w:jc w:val="center"/>
              <w:ind w:right="160"/>
              <w:spacing w:after="0" w:line="181" w:lineRule="exact"/>
              <w:rPr>
                <w:sz w:val="20"/>
                <w:szCs w:val="20"/>
                <w:color w:val="auto"/>
              </w:rPr>
            </w:pPr>
            <w:r>
              <w:rPr>
                <w:rFonts w:ascii="Times New Roman" w:cs="Times New Roman" w:eastAsia="Times New Roman" w:hAnsi="Times New Roman"/>
                <w:sz w:val="13"/>
                <w:szCs w:val="13"/>
                <w:color w:val="auto"/>
                <w:w w:val="96"/>
              </w:rPr>
              <w:t xml:space="preserve">April 16, 2029 </w:t>
            </w:r>
            <w:r>
              <w:rPr>
                <w:rFonts w:ascii="Times New Roman" w:cs="Times New Roman" w:eastAsia="Times New Roman" w:hAnsi="Times New Roman"/>
                <w:sz w:val="18"/>
                <w:szCs w:val="18"/>
                <w:color w:val="auto"/>
                <w:w w:val="96"/>
                <w:vertAlign w:val="superscript"/>
              </w:rPr>
              <w:t>(1)</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92.2</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100.0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1.703%</w:t>
            </w:r>
          </w:p>
        </w:tc>
      </w:tr>
      <w:tr>
        <w:trPr>
          <w:trHeight w:val="164"/>
        </w:trPr>
        <w:tc>
          <w:tcPr>
            <w:tcW w:w="3780" w:type="dxa"/>
            <w:vAlign w:val="bottom"/>
            <w:tcBorders>
              <w:bottom w:val="single" w:sz="8" w:color="CCEEFF"/>
            </w:tcBorders>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€602.6</w:t>
            </w:r>
          </w:p>
        </w:tc>
        <w:tc>
          <w:tcPr>
            <w:tcW w:w="260" w:type="dxa"/>
            <w:vAlign w:val="bottom"/>
            <w:tcBorders>
              <w:top w:val="single" w:sz="8" w:color="auto"/>
              <w:bottom w:val="single" w:sz="8" w:color="auto"/>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$625.0</w:t>
            </w:r>
          </w:p>
        </w:tc>
        <w:tc>
          <w:tcPr>
            <w:tcW w:w="320" w:type="dxa"/>
            <w:vAlign w:val="bottom"/>
            <w:tcBorders>
              <w:top w:val="single" w:sz="8" w:color="auto"/>
              <w:bottom w:val="single" w:sz="8" w:color="auto"/>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r>
      <w:tr>
        <w:trPr>
          <w:trHeight w:val="200"/>
        </w:trPr>
        <w:tc>
          <w:tcPr>
            <w:tcW w:w="3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bl>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Pay</w:t>
            </w:r>
          </w:p>
        </w:tc>
        <w:tc>
          <w:tcPr>
            <w:tcW w:w="150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Receive</w:t>
            </w:r>
          </w:p>
        </w:tc>
      </w:tr>
      <w:tr>
        <w:trPr>
          <w:trHeight w:val="184"/>
        </w:trPr>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Pr>
          <w:p>
            <w:pPr>
              <w:spacing w:after="0"/>
              <w:rPr>
                <w:sz w:val="16"/>
                <w:szCs w:val="16"/>
                <w:color w:val="auto"/>
              </w:rPr>
            </w:pPr>
          </w:p>
        </w:tc>
        <w:tc>
          <w:tcPr>
            <w:tcW w:w="15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9"/>
        </w:trPr>
        <w:tc>
          <w:tcPr>
            <w:tcW w:w="3620" w:type="dxa"/>
            <w:vAlign w:val="bottom"/>
            <w:tcBorders>
              <w:top w:val="single" w:sz="8" w:color="auto"/>
            </w:tcBorders>
            <w:shd w:val="clear" w:color="auto" w:fill="CCEEFF"/>
          </w:tcPr>
          <w:p>
            <w:pPr>
              <w:jc w:val="center"/>
              <w:ind w:right="1755"/>
              <w:spacing w:after="0" w:line="179" w:lineRule="exact"/>
              <w:rPr>
                <w:sz w:val="20"/>
                <w:szCs w:val="20"/>
                <w:color w:val="auto"/>
              </w:rPr>
            </w:pPr>
            <w:r>
              <w:rPr>
                <w:rFonts w:ascii="Times New Roman" w:cs="Times New Roman" w:eastAsia="Times New Roman" w:hAnsi="Times New Roman"/>
                <w:sz w:val="13"/>
                <w:szCs w:val="13"/>
                <w:color w:val="auto"/>
                <w:w w:val="95"/>
              </w:rPr>
              <w:t xml:space="preserve">July 19, 2024 </w:t>
            </w:r>
            <w:r>
              <w:rPr>
                <w:rFonts w:ascii="Times New Roman" w:cs="Times New Roman" w:eastAsia="Times New Roman" w:hAnsi="Times New Roman"/>
                <w:sz w:val="18"/>
                <w:szCs w:val="18"/>
                <w:color w:val="auto"/>
                <w:w w:val="95"/>
                <w:vertAlign w:val="superscript"/>
              </w:rPr>
              <w:t>(2)</w:t>
            </w:r>
          </w:p>
        </w:tc>
        <w:tc>
          <w:tcPr>
            <w:tcW w:w="1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€124.0</w:t>
            </w:r>
          </w:p>
        </w:tc>
        <w:tc>
          <w:tcPr>
            <w:tcW w:w="2080" w:type="dxa"/>
            <w:vAlign w:val="bottom"/>
            <w:tcBorders>
              <w:top w:val="single" w:sz="8" w:color="auto"/>
            </w:tcBorders>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4"/>
              </w:rPr>
              <w:t>$125.0</w:t>
            </w:r>
          </w:p>
        </w:tc>
        <w:tc>
          <w:tcPr>
            <w:tcW w:w="2120" w:type="dxa"/>
            <w:vAlign w:val="bottom"/>
            <w:tcBorders>
              <w:top w:val="single" w:sz="8" w:color="auto"/>
            </w:tcBorders>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2.205%</w:t>
            </w:r>
          </w:p>
        </w:tc>
      </w:tr>
      <w:tr>
        <w:trPr>
          <w:trHeight w:val="173"/>
        </w:trPr>
        <w:tc>
          <w:tcPr>
            <w:tcW w:w="3780" w:type="dxa"/>
            <w:vAlign w:val="bottom"/>
            <w:gridSpan w:val="2"/>
          </w:tcPr>
          <w:p>
            <w:pPr>
              <w:jc w:val="center"/>
              <w:ind w:right="1980"/>
              <w:spacing w:after="0"/>
              <w:rPr>
                <w:sz w:val="20"/>
                <w:szCs w:val="20"/>
                <w:color w:val="auto"/>
              </w:rPr>
            </w:pPr>
            <w:r>
              <w:rPr>
                <w:rFonts w:ascii="Times New Roman" w:cs="Times New Roman" w:eastAsia="Times New Roman" w:hAnsi="Times New Roman"/>
                <w:sz w:val="13"/>
                <w:szCs w:val="13"/>
                <w:color w:val="auto"/>
                <w:w w:val="96"/>
              </w:rPr>
              <w:t>July 19, 2025</w:t>
            </w:r>
          </w:p>
        </w:tc>
        <w:tc>
          <w:tcPr>
            <w:tcW w:w="154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5"/>
                <w:szCs w:val="15"/>
                <w:color w:val="auto"/>
              </w:rPr>
            </w:pPr>
          </w:p>
        </w:tc>
        <w:tc>
          <w:tcPr>
            <w:tcW w:w="150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tcPr>
          <w:p>
            <w:pPr>
              <w:jc w:val="center"/>
              <w:ind w:left="255"/>
              <w:spacing w:after="0"/>
              <w:rPr>
                <w:sz w:val="20"/>
                <w:szCs w:val="20"/>
                <w:color w:val="auto"/>
              </w:rPr>
            </w:pPr>
            <w:r>
              <w:rPr>
                <w:rFonts w:ascii="Times New Roman" w:cs="Times New Roman" w:eastAsia="Times New Roman" w:hAnsi="Times New Roman"/>
                <w:sz w:val="13"/>
                <w:szCs w:val="13"/>
                <w:color w:val="auto"/>
                <w:w w:val="99"/>
              </w:rPr>
              <w:t>1.883%</w:t>
            </w:r>
          </w:p>
        </w:tc>
      </w:tr>
      <w:tr>
        <w:trPr>
          <w:trHeight w:val="188"/>
        </w:trPr>
        <w:tc>
          <w:tcPr>
            <w:tcW w:w="3780" w:type="dxa"/>
            <w:vAlign w:val="bottom"/>
            <w:gridSpan w:val="2"/>
            <w:shd w:val="clear" w:color="auto" w:fill="CCEEFF"/>
          </w:tcPr>
          <w:p>
            <w:pPr>
              <w:jc w:val="center"/>
              <w:ind w:right="1980"/>
              <w:spacing w:after="0"/>
              <w:rPr>
                <w:sz w:val="20"/>
                <w:szCs w:val="20"/>
                <w:color w:val="auto"/>
              </w:rPr>
            </w:pPr>
            <w:r>
              <w:rPr>
                <w:rFonts w:ascii="Times New Roman" w:cs="Times New Roman" w:eastAsia="Times New Roman" w:hAnsi="Times New Roman"/>
                <w:sz w:val="13"/>
                <w:szCs w:val="13"/>
                <w:color w:val="auto"/>
                <w:w w:val="96"/>
              </w:rPr>
              <w:t>July 19, 2026</w:t>
            </w:r>
          </w:p>
        </w:tc>
        <w:tc>
          <w:tcPr>
            <w:tcW w:w="15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w w:val="95"/>
              </w:rPr>
              <w:t>124.0</w:t>
            </w:r>
          </w:p>
        </w:tc>
        <w:tc>
          <w:tcPr>
            <w:tcW w:w="208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3"/>
                <w:szCs w:val="13"/>
                <w:color w:val="auto"/>
                <w:w w:val="95"/>
              </w:rPr>
              <w:t>125.0</w:t>
            </w:r>
          </w:p>
        </w:tc>
        <w:tc>
          <w:tcPr>
            <w:tcW w:w="2120" w:type="dxa"/>
            <w:vAlign w:val="bottom"/>
            <w:gridSpan w:val="2"/>
            <w:shd w:val="clear" w:color="auto" w:fill="CCEEFF"/>
          </w:tcPr>
          <w:p>
            <w:pPr>
              <w:jc w:val="center"/>
              <w:ind w:left="255"/>
              <w:spacing w:after="0"/>
              <w:rPr>
                <w:sz w:val="20"/>
                <w:szCs w:val="20"/>
                <w:color w:val="auto"/>
              </w:rPr>
            </w:pPr>
            <w:r>
              <w:rPr>
                <w:rFonts w:ascii="Times New Roman" w:cs="Times New Roman" w:eastAsia="Times New Roman" w:hAnsi="Times New Roman"/>
                <w:sz w:val="13"/>
                <w:szCs w:val="13"/>
                <w:color w:val="auto"/>
                <w:w w:val="99"/>
              </w:rPr>
              <w:t>1.723%</w:t>
            </w:r>
          </w:p>
        </w:tc>
      </w:tr>
      <w:tr>
        <w:trPr>
          <w:trHeight w:val="164"/>
        </w:trPr>
        <w:tc>
          <w:tcPr>
            <w:tcW w:w="37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color w:val="auto"/>
                <w:w w:val="96"/>
              </w:rPr>
              <w:t>Total cross-currency swaps</w:t>
            </w:r>
          </w:p>
        </w:tc>
        <w:tc>
          <w:tcPr>
            <w:tcW w:w="1540" w:type="dxa"/>
            <w:vAlign w:val="bottom"/>
            <w:tcBorders>
              <w:top w:val="single" w:sz="8" w:color="auto"/>
              <w:bottom w:val="single" w:sz="8" w:color="auto"/>
            </w:tcBorders>
          </w:tcPr>
          <w:p>
            <w:pPr>
              <w:jc w:val="center"/>
              <w:ind w:left="195"/>
              <w:spacing w:after="0"/>
              <w:rPr>
                <w:sz w:val="20"/>
                <w:szCs w:val="20"/>
                <w:color w:val="auto"/>
              </w:rPr>
            </w:pPr>
            <w:r>
              <w:rPr>
                <w:rFonts w:ascii="Times New Roman" w:cs="Times New Roman" w:eastAsia="Times New Roman" w:hAnsi="Times New Roman"/>
                <w:sz w:val="13"/>
                <w:szCs w:val="13"/>
                <w:color w:val="auto"/>
              </w:rPr>
              <w:t>€372.0</w:t>
            </w:r>
          </w:p>
        </w:tc>
        <w:tc>
          <w:tcPr>
            <w:tcW w:w="260" w:type="dxa"/>
            <w:vAlign w:val="bottom"/>
            <w:tcBorders>
              <w:top w:val="single" w:sz="8" w:color="auto"/>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center"/>
              <w:ind w:left="255"/>
              <w:spacing w:after="0"/>
              <w:rPr>
                <w:sz w:val="20"/>
                <w:szCs w:val="20"/>
                <w:color w:val="auto"/>
              </w:rPr>
            </w:pPr>
            <w:r>
              <w:rPr>
                <w:rFonts w:ascii="Times New Roman" w:cs="Times New Roman" w:eastAsia="Times New Roman" w:hAnsi="Times New Roman"/>
                <w:sz w:val="13"/>
                <w:szCs w:val="13"/>
                <w:color w:val="auto"/>
                <w:w w:val="94"/>
              </w:rPr>
              <w:t>$375.0</w:t>
            </w:r>
          </w:p>
        </w:tc>
        <w:tc>
          <w:tcPr>
            <w:tcW w:w="320" w:type="dxa"/>
            <w:vAlign w:val="bottom"/>
            <w:tcBorders>
              <w:top w:val="single" w:sz="8" w:color="auto"/>
              <w:bottom w:val="single" w:sz="8" w:color="auto"/>
            </w:tcBorders>
          </w:tcPr>
          <w:p>
            <w:pPr>
              <w:spacing w:after="0"/>
              <w:rPr>
                <w:sz w:val="14"/>
                <w:szCs w:val="14"/>
                <w:color w:val="auto"/>
              </w:rPr>
            </w:pPr>
          </w:p>
        </w:tc>
        <w:tc>
          <w:tcPr>
            <w:tcW w:w="1800" w:type="dxa"/>
            <w:vAlign w:val="bottom"/>
          </w:tcPr>
          <w:p>
            <w:pPr>
              <w:spacing w:after="0"/>
              <w:rPr>
                <w:sz w:val="14"/>
                <w:szCs w:val="14"/>
                <w:color w:val="auto"/>
              </w:rPr>
            </w:pPr>
          </w:p>
        </w:tc>
      </w:tr>
    </w:tbl>
    <w:p>
      <w:pPr>
        <w:spacing w:after="0" w:line="301" w:lineRule="exact"/>
        <w:rPr>
          <w:sz w:val="20"/>
          <w:szCs w:val="20"/>
          <w:color w:val="auto"/>
        </w:rPr>
      </w:pPr>
    </w:p>
    <w:p>
      <w:pPr>
        <w:ind w:left="520" w:right="80" w:hanging="260"/>
        <w:spacing w:after="0" w:line="273" w:lineRule="auto"/>
        <w:tabs>
          <w:tab w:leader="none" w:pos="514"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swaps were terminated in January 2025. Upon the termination of these swaps, we paid cash of $1.1 million, which will be reported in OCI for the three months ended March 31, 2025, and will remain within accumulated OCI until the period in which a disposal or substantial liquidation of the entities hedged occurs.</w:t>
      </w:r>
    </w:p>
    <w:p>
      <w:pPr>
        <w:ind w:left="520" w:right="120" w:hanging="260"/>
        <w:spacing w:after="0" w:line="238" w:lineRule="auto"/>
        <w:tabs>
          <w:tab w:leader="none" w:pos="514"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swap was amended on April 19, 2024 to extend the maturity date to July 19, 2027 and change the USD coupon fixed rate to 1.400%. As a result of the amendment, the original cross-currency swap was de-designated and the unrealized loss of $0.3 million related to the off-market component included within accumulated other comprehensive income (loss) will be systematically reclassified to earnings as a reduction to interest expense through July 19, 2027.</w:t>
      </w:r>
    </w:p>
    <w:p>
      <w:pPr>
        <w:sectPr>
          <w:pgSz w:w="11900" w:h="16838" w:orient="portrait"/>
          <w:cols w:equalWidth="0" w:num="1">
            <w:col w:w="11280"/>
          </w:cols>
          <w:pgMar w:left="300" w:top="409" w:right="319" w:bottom="1440" w:gutter="0" w:footer="0" w:header="0"/>
        </w:sectPr>
      </w:pPr>
    </w:p>
    <w:bookmarkStart w:id="176" w:name="page177"/>
    <w:bookmarkEnd w:id="17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right="620" w:firstLine="382"/>
        <w:spacing w:after="0" w:line="287" w:lineRule="auto"/>
        <w:rPr>
          <w:sz w:val="20"/>
          <w:szCs w:val="20"/>
          <w:color w:val="auto"/>
        </w:rPr>
      </w:pPr>
      <w:r>
        <w:rPr>
          <w:rFonts w:ascii="Times New Roman" w:cs="Times New Roman" w:eastAsia="Times New Roman" w:hAnsi="Times New Roman"/>
          <w:sz w:val="14"/>
          <w:szCs w:val="14"/>
          <w:color w:val="auto"/>
        </w:rPr>
        <w:t>We received aggregate interest payments of $9.7 million, $7.3 million and $4.9 million related to these cross-currency swaps for the years ended December 31, 2024, 2023 and 2022, respectively. These payments were recorded as contra expense within "Interest expense" in the condensed consolidated statements of operations and comprehensive income (loss).</w:t>
      </w:r>
    </w:p>
    <w:p>
      <w:pPr>
        <w:spacing w:after="0" w:line="145"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On January 3, 2025, we executed five tranches of cross-currency swaps with a total notional amount of $500 million (€485.8 million), replacing previously existing cross-currency swaps. Two tranches have a notional amount of $125 million each. For the first tranche, we receive USD coupons at the fixed rate of 1.909% till the maturity date of July 19, 2027 and pay EUR coupons of 0%. For the second tranche, we receive USD coupons at the fixed rate of 1.415% till the maturity date of January 3, 2030 and pay EUR coupons of 0%. The third tranche has a notional amount of $100 million, where we receive USD coupons at a fixed rate of 1.762% till the maturity date of April 16, 2029 and pay EUR coupons of 0%. Two additional tranches have a notional amount of $75 million each, where we receive USD coupons at fixed rates of 1.790% and 1.803%, respectively, till the maturity date of April 16, 2028 and pay EUR coupons of 0%. On the maturity date of each tranche, we will receive the respective notional amount in USD and pay the counterparty the same in euros.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Derivative Instruments in the 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Asset derivatives</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Liability derivatives</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2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Balance sheet</w:t>
            </w: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Balance sheet</w:t>
            </w: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location</w:t>
            </w: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Fair value</w:t>
            </w: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Fair value</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location</w:t>
            </w: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Fair value</w:t>
            </w:r>
          </w:p>
        </w:tc>
        <w:tc>
          <w:tcPr>
            <w:tcW w:w="0" w:type="dxa"/>
            <w:vAlign w:val="bottom"/>
          </w:tcPr>
          <w:p>
            <w:pPr>
              <w:spacing w:after="0"/>
              <w:rPr>
                <w:sz w:val="1"/>
                <w:szCs w:val="1"/>
                <w:color w:val="auto"/>
              </w:rPr>
            </w:pPr>
          </w:p>
        </w:tc>
      </w:tr>
      <w:tr>
        <w:trPr>
          <w:trHeight w:val="97"/>
        </w:trPr>
        <w:tc>
          <w:tcPr>
            <w:tcW w:w="21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Derivatives designated as hedging</w:t>
            </w:r>
          </w:p>
        </w:tc>
        <w:tc>
          <w:tcPr>
            <w:tcW w:w="11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Interest rate swaps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$ 42.6</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$ 33.1</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5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investment hedge derivative:</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Cross-currency swaps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0" w:type="dxa"/>
            <w:vAlign w:val="bottom"/>
          </w:tcPr>
          <w:p>
            <w:pPr>
              <w:spacing w:after="0"/>
              <w:rPr>
                <w:sz w:val="1"/>
                <w:szCs w:val="1"/>
                <w:color w:val="auto"/>
              </w:rPr>
            </w:pPr>
          </w:p>
        </w:tc>
      </w:tr>
      <w:tr>
        <w:trPr>
          <w:trHeight w:val="88"/>
        </w:trPr>
        <w:tc>
          <w:tcPr>
            <w:tcW w:w="218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derivatives designated as hedging</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$ 46.3</w:t>
            </w: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$ 33.1</w:t>
            </w: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$ 13.2</w:t>
            </w: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$ 34.1</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Derivatives not designated as hedging</w:t>
            </w: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current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Other current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Other accrued &amp;</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12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$ 8.0</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current liabilities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$ 2.3</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Total derivatives not designated as hedging</w:t>
            </w: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$ 1.3</w:t>
            </w: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$ 8.0</w:t>
            </w:r>
          </w:p>
        </w:tc>
        <w:tc>
          <w:tcPr>
            <w:tcW w:w="1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$ 3.4</w:t>
            </w:r>
          </w:p>
        </w:tc>
        <w:tc>
          <w:tcPr>
            <w:tcW w:w="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$ 47.6</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$ 41.1</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$ 16.6</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$ 36.4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Consolidated Statement of Operations and Comprehensive Income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tcBorders>
              <w:bottom w:val="single" w:sz="8" w:color="auto"/>
            </w:tcBorders>
            <w:gridSpan w:val="7"/>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Amount of pre-tax net gain or (loss) recognized in OCI on derivative</w:t>
            </w:r>
          </w:p>
        </w:tc>
        <w:tc>
          <w:tcPr>
            <w:tcW w:w="260" w:type="dxa"/>
            <w:vAlign w:val="bottom"/>
            <w:tcBorders>
              <w:bottom w:val="single" w:sz="8" w:color="auto"/>
            </w:tcBorders>
          </w:tcPr>
          <w:p>
            <w:pPr>
              <w:spacing w:after="0"/>
              <w:rPr>
                <w:sz w:val="13"/>
                <w:szCs w:val="13"/>
                <w:color w:val="auto"/>
              </w:rPr>
            </w:pPr>
          </w:p>
        </w:tc>
      </w:tr>
      <w:tr>
        <w:trPr>
          <w:trHeight w:val="150"/>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5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11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Pr>
          <w:p>
            <w:pPr>
              <w:spacing w:after="0"/>
              <w:rPr>
                <w:sz w:val="13"/>
                <w:szCs w:val="13"/>
                <w:color w:val="auto"/>
              </w:rPr>
            </w:pPr>
          </w:p>
        </w:tc>
      </w:tr>
      <w:tr>
        <w:trPr>
          <w:trHeight w:val="155"/>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r>
      <w:tr>
        <w:trPr>
          <w:trHeight w:val="15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20" w:type="dxa"/>
            <w:vAlign w:val="bottom"/>
          </w:tcPr>
          <w:p>
            <w:pPr>
              <w:spacing w:after="0"/>
              <w:rPr>
                <w:sz w:val="13"/>
                <w:szCs w:val="1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(43.4)</w:t>
            </w:r>
          </w:p>
        </w:tc>
        <w:tc>
          <w:tcPr>
            <w:tcW w:w="16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r>
      <w:tr>
        <w:trPr>
          <w:trHeight w:val="165"/>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hedge derivative:</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47"/>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Cross-currency swaps</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(17.0)</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bl>
    <w:p>
      <w:pPr>
        <w:sectPr>
          <w:pgSz w:w="11900" w:h="16838" w:orient="portrait"/>
          <w:cols w:equalWidth="0" w:num="1">
            <w:col w:w="11280"/>
          </w:cols>
          <w:pgMar w:left="300" w:top="409" w:right="319" w:bottom="1440" w:gutter="0" w:footer="0" w:header="0"/>
        </w:sectPr>
      </w:pPr>
    </w:p>
    <w:bookmarkStart w:id="177" w:name="page178"/>
    <w:bookmarkEnd w:id="17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1"/>
                <w:szCs w:val="11"/>
                <w:b w:val="1"/>
                <w:bCs w:val="1"/>
                <w:color w:val="auto"/>
              </w:rPr>
              <w:t>Amount of gain or (loss) reclassified from accumulated OCI into income</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00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3680" w:type="dxa"/>
            <w:vAlign w:val="bottom"/>
            <w:gridSpan w:val="4"/>
          </w:tcPr>
          <w:p>
            <w:pPr>
              <w:jc w:val="center"/>
              <w:ind w:left="123"/>
              <w:spacing w:after="0" w:line="97" w:lineRule="exact"/>
              <w:rPr>
                <w:sz w:val="20"/>
                <w:szCs w:val="20"/>
                <w:color w:val="auto"/>
              </w:rPr>
            </w:pPr>
            <w:r>
              <w:rPr>
                <w:rFonts w:ascii="Times New Roman" w:cs="Times New Roman" w:eastAsia="Times New Roman" w:hAnsi="Times New Roman"/>
                <w:sz w:val="11"/>
                <w:szCs w:val="11"/>
                <w:b w:val="1"/>
                <w:bCs w:val="1"/>
                <w:color w:val="auto"/>
              </w:rPr>
              <w:t>Location of gain or (loss) reclassified from accumulated OCI into</w:t>
            </w:r>
          </w:p>
        </w:tc>
        <w:tc>
          <w:tcPr>
            <w:tcW w:w="1140" w:type="dxa"/>
            <w:vAlign w:val="bottom"/>
            <w:gridSpan w:val="2"/>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80" w:type="dxa"/>
            <w:vAlign w:val="bottom"/>
            <w:gridSpan w:val="4"/>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3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68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11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12"/>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Amount of gain or (loss) recognized in income on derivative</w:t>
            </w:r>
          </w:p>
        </w:tc>
        <w:tc>
          <w:tcPr>
            <w:tcW w:w="5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center"/>
              <w:ind w:right="7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00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3660" w:type="dxa"/>
            <w:vAlign w:val="bottom"/>
            <w:gridSpan w:val="3"/>
          </w:tcPr>
          <w:p>
            <w:pPr>
              <w:jc w:val="center"/>
              <w:ind w:left="103"/>
              <w:spacing w:after="0" w:line="96" w:lineRule="exact"/>
              <w:rPr>
                <w:sz w:val="20"/>
                <w:szCs w:val="20"/>
                <w:color w:val="auto"/>
              </w:rPr>
            </w:pPr>
            <w:r>
              <w:rPr>
                <w:rFonts w:ascii="Times New Roman" w:cs="Times New Roman" w:eastAsia="Times New Roman" w:hAnsi="Times New Roman"/>
                <w:sz w:val="11"/>
                <w:szCs w:val="11"/>
                <w:b w:val="1"/>
                <w:bCs w:val="1"/>
                <w:color w:val="auto"/>
              </w:rPr>
              <w:t>Location of gain or (loss) reclassified from accumulated OCI into</w:t>
            </w:r>
          </w:p>
        </w:tc>
        <w:tc>
          <w:tcPr>
            <w:tcW w:w="20" w:type="dxa"/>
            <w:vAlign w:val="bottom"/>
          </w:tcPr>
          <w:p>
            <w:pPr>
              <w:spacing w:after="0"/>
              <w:rPr>
                <w:sz w:val="8"/>
                <w:szCs w:val="8"/>
                <w:color w:val="auto"/>
              </w:rPr>
            </w:pPr>
          </w:p>
        </w:tc>
        <w:tc>
          <w:tcPr>
            <w:tcW w:w="11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000" w:type="dxa"/>
            <w:vAlign w:val="bottom"/>
            <w:vMerge w:val="continue"/>
          </w:tcPr>
          <w:p>
            <w:pPr>
              <w:spacing w:after="0"/>
              <w:rPr>
                <w:sz w:val="13"/>
                <w:szCs w:val="13"/>
                <w:color w:val="auto"/>
              </w:rPr>
            </w:pPr>
          </w:p>
        </w:tc>
        <w:tc>
          <w:tcPr>
            <w:tcW w:w="3680" w:type="dxa"/>
            <w:vAlign w:val="bottom"/>
            <w:gridSpan w:val="4"/>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 hedge derivative:</w:t>
            </w:r>
          </w:p>
        </w:tc>
        <w:tc>
          <w:tcPr>
            <w:tcW w:w="3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68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11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3"/>
              </w:rPr>
              <w:t>45.8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438"/>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60" w:type="dxa"/>
            <w:vAlign w:val="bottom"/>
            <w:tcBorders>
              <w:bottom w:val="single" w:sz="8" w:color="auto"/>
            </w:tcBorders>
            <w:gridSpan w:val="13"/>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Amount of gain (loss) recognized in income on derivatives</w:t>
            </w: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Derivatives not designated as hedging</w:t>
            </w:r>
          </w:p>
        </w:tc>
        <w:tc>
          <w:tcPr>
            <w:tcW w:w="3680" w:type="dxa"/>
            <w:vAlign w:val="bottom"/>
            <w:gridSpan w:val="4"/>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Location of gain or (loss) recognized in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124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680" w:type="dxa"/>
            <w:vAlign w:val="bottom"/>
            <w:gridSpan w:val="4"/>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income on derivatives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exchange forward contracts</w:t>
            </w:r>
          </w:p>
        </w:tc>
        <w:tc>
          <w:tcPr>
            <w:tcW w:w="3680" w:type="dxa"/>
            <w:vAlign w:val="bottom"/>
            <w:tcBorders>
              <w:top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Non-operating income (expense) – net</w:t>
            </w:r>
          </w:p>
        </w:tc>
        <w:tc>
          <w:tcPr>
            <w:tcW w:w="3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(8.6)</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net amount related to the interest rate swaps expected to be reclassified into earnings over the next 12 months is approximately $18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06" w:lineRule="exact"/>
        <w:rPr>
          <w:sz w:val="20"/>
          <w:szCs w:val="20"/>
          <w:color w:val="auto"/>
        </w:rPr>
      </w:pPr>
    </w:p>
    <w:p>
      <w:pPr>
        <w:ind w:right="400" w:firstLine="350"/>
        <w:spacing w:after="0" w:line="334" w:lineRule="auto"/>
        <w:rPr>
          <w:sz w:val="20"/>
          <w:szCs w:val="20"/>
          <w:color w:val="auto"/>
        </w:rPr>
      </w:pPr>
      <w:r>
        <w:rPr>
          <w:rFonts w:ascii="Times New Roman" w:cs="Times New Roman" w:eastAsia="Times New Roman" w:hAnsi="Times New Roman"/>
          <w:sz w:val="14"/>
          <w:szCs w:val="14"/>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December 31, 2024 for assets and liabilities 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280" w:type="dxa"/>
            <w:vAlign w:val="bottom"/>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left="15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280" w:type="dxa"/>
            <w:vAlign w:val="bottom"/>
          </w:tcPr>
          <w:p>
            <w:pPr>
              <w:jc w:val="center"/>
              <w:ind w:left="179"/>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left="159"/>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280" w:type="dxa"/>
            <w:vAlign w:val="bottom"/>
          </w:tcPr>
          <w:p>
            <w:pPr>
              <w:jc w:val="center"/>
              <w:ind w:left="179"/>
              <w:spacing w:after="0" w:line="108"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jc w:val="right"/>
              <w:ind w:right="179"/>
              <w:spacing w:after="0" w:line="108"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left="179"/>
              <w:spacing w:after="0" w:line="108"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0" w:type="dxa"/>
            <w:vAlign w:val="bottom"/>
          </w:tcPr>
          <w:p>
            <w:pPr>
              <w:spacing w:after="0"/>
              <w:rPr>
                <w:sz w:val="1"/>
                <w:szCs w:val="1"/>
                <w:color w:val="auto"/>
              </w:rPr>
            </w:pPr>
          </w:p>
        </w:tc>
      </w:tr>
      <w:tr>
        <w:trPr>
          <w:trHeight w:val="15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44"/>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244"/>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73"/>
        </w:trPr>
        <w:tc>
          <w:tcPr>
            <w:tcW w:w="4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178" w:name="page179"/>
    <w:bookmarkEnd w:id="17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fair value measurements by level at December 31, 2023 for assets and liabilities measured at fair value on a recurring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300" w:type="dxa"/>
            <w:vAlign w:val="bottom"/>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left="18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300" w:type="dxa"/>
            <w:vAlign w:val="bottom"/>
          </w:tcPr>
          <w:p>
            <w:pPr>
              <w:jc w:val="cente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left="160"/>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780" w:type="dxa"/>
            <w:vAlign w:val="bottom"/>
          </w:tcPr>
          <w:p>
            <w:pPr>
              <w:spacing w:after="0"/>
              <w:rPr>
                <w:sz w:val="9"/>
                <w:szCs w:val="9"/>
                <w:color w:val="auto"/>
              </w:rPr>
            </w:pPr>
          </w:p>
        </w:tc>
        <w:tc>
          <w:tcPr>
            <w:tcW w:w="1300" w:type="dxa"/>
            <w:vAlign w:val="bottom"/>
          </w:tcPr>
          <w:p>
            <w:pPr>
              <w:jc w:val="cente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jc w:val="cente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inputs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assets (level I)</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inputs (level II)</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(level III)</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0" w:type="dxa"/>
            <w:vAlign w:val="bottom"/>
          </w:tcPr>
          <w:p>
            <w:pPr>
              <w:spacing w:after="0"/>
              <w:rPr>
                <w:sz w:val="1"/>
                <w:szCs w:val="1"/>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Cash equivalents </w:t>
            </w:r>
            <w:r>
              <w:rPr>
                <w:rFonts w:ascii="Times New Roman" w:cs="Times New Roman" w:eastAsia="Times New Roman" w:hAnsi="Times New Roman"/>
                <w:sz w:val="16"/>
                <w:szCs w:val="16"/>
                <w:color w:val="auto"/>
                <w:vertAlign w:val="superscript"/>
              </w:rPr>
              <w:t>(1)</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Interest rate swap arrangements </w:t>
            </w:r>
            <w:r>
              <w:rPr>
                <w:rFonts w:ascii="Times New Roman" w:cs="Times New Roman" w:eastAsia="Times New Roman" w:hAnsi="Times New Roman"/>
                <w:sz w:val="16"/>
                <w:szCs w:val="16"/>
                <w:color w:val="auto"/>
                <w:vertAlign w:val="superscript"/>
              </w:rPr>
              <w:t>(3)</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33.1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69"/>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accrued and current liabilities:</w:t>
            </w: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Foreign exchange forwards </w:t>
            </w:r>
            <w:r>
              <w:rPr>
                <w:rFonts w:ascii="Times New Roman" w:cs="Times New Roman" w:eastAsia="Times New Roman" w:hAnsi="Times New Roman"/>
                <w:sz w:val="16"/>
                <w:szCs w:val="16"/>
                <w:color w:val="auto"/>
                <w:vertAlign w:val="superscript"/>
              </w:rPr>
              <w:t>(2)</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44"/>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xml:space="preserve">Cross-currency swap arrangements </w:t>
            </w:r>
            <w:r>
              <w:rPr>
                <w:rFonts w:ascii="Times New Roman" w:cs="Times New Roman" w:eastAsia="Times New Roman" w:hAnsi="Times New Roman"/>
                <w:sz w:val="16"/>
                <w:szCs w:val="16"/>
                <w:color w:val="auto"/>
                <w:vertAlign w:val="superscript"/>
              </w:rPr>
              <w:t>(3)</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34.1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carrying value of cash equivalents represents fair value as they consist of highly liquid investments with an initial term from the date of purchase by the Company to maturity of three months or less.</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 and considers a factor for nonperformance in the valuation.</w:t>
      </w:r>
    </w:p>
    <w:p>
      <w:pPr>
        <w:spacing w:after="0" w:line="75"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Fair value is determined based on observable market data.</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were no transfers between Levels I and II or transfers in or transfers out of Level III in the fair value hierarchy for both the years ended December 31, 2024 and 2023.</w:t>
      </w:r>
    </w:p>
    <w:p>
      <w:pPr>
        <w:spacing w:after="0" w:line="157" w:lineRule="exact"/>
        <w:rPr>
          <w:sz w:val="20"/>
          <w:szCs w:val="20"/>
          <w:color w:val="auto"/>
        </w:rPr>
      </w:pPr>
    </w:p>
    <w:p>
      <w:pPr>
        <w:ind w:right="40" w:firstLine="350"/>
        <w:spacing w:after="0" w:line="309" w:lineRule="auto"/>
        <w:rPr>
          <w:sz w:val="20"/>
          <w:szCs w:val="20"/>
          <w:color w:val="auto"/>
        </w:rPr>
      </w:pPr>
      <w:r>
        <w:rPr>
          <w:rFonts w:ascii="Times New Roman" w:cs="Times New Roman" w:eastAsia="Times New Roman" w:hAnsi="Times New Roman"/>
          <w:sz w:val="14"/>
          <w:szCs w:val="14"/>
          <w:color w:val="auto"/>
        </w:rPr>
        <w:t>At December 31, 2024 and 2023,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54"/>
        </w:trPr>
        <w:tc>
          <w:tcPr>
            <w:tcW w:w="48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46"/>
        </w:trPr>
        <w:tc>
          <w:tcPr>
            <w:tcW w:w="4880" w:type="dxa"/>
            <w:vAlign w:val="bottom"/>
          </w:tcPr>
          <w:p>
            <w:pPr>
              <w:spacing w:after="0"/>
              <w:rPr>
                <w:sz w:val="12"/>
                <w:szCs w:val="12"/>
                <w:color w:val="auto"/>
              </w:rPr>
            </w:pPr>
          </w:p>
        </w:tc>
        <w:tc>
          <w:tcPr>
            <w:tcW w:w="1140" w:type="dxa"/>
            <w:vAlign w:val="bottom"/>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9"/>
        </w:trPr>
        <w:tc>
          <w:tcPr>
            <w:tcW w:w="48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0" w:type="dxa"/>
            <w:vAlign w:val="bottom"/>
            <w:tcBorders>
              <w:bottom w:val="single" w:sz="8" w:color="auto"/>
            </w:tcBorders>
          </w:tcPr>
          <w:p>
            <w:pPr>
              <w:spacing w:after="0"/>
              <w:rPr>
                <w:sz w:val="14"/>
                <w:szCs w:val="14"/>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5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Term loans </w:t>
            </w:r>
            <w:r>
              <w:rPr>
                <w:rFonts w:ascii="Times New Roman" w:cs="Times New Roman" w:eastAsia="Times New Roman" w:hAnsi="Times New Roman"/>
                <w:sz w:val="18"/>
                <w:szCs w:val="18"/>
                <w:color w:val="auto"/>
                <w:vertAlign w:val="superscript"/>
              </w:rPr>
              <w:t>(1)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$ 3,063.0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$ 3,013.4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$ 3,065.3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$ 3,003.9</w:t>
            </w:r>
          </w:p>
        </w:tc>
      </w:tr>
    </w:tbl>
    <w:p>
      <w:pPr>
        <w:spacing w:after="0" w:line="142" w:lineRule="exact"/>
        <w:rPr>
          <w:sz w:val="20"/>
          <w:szCs w:val="20"/>
          <w:color w:val="auto"/>
        </w:rPr>
      </w:pPr>
    </w:p>
    <w:p>
      <w:pPr>
        <w:ind w:left="500" w:hanging="240"/>
        <w:spacing w:after="0"/>
        <w:tabs>
          <w:tab w:leader="none" w:pos="50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and long-term portions of the Term Loan Facility.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Measured at Fair Value on a Nonrecurring Basis</w:t>
      </w:r>
    </w:p>
    <w:p>
      <w:pPr>
        <w:spacing w:after="0" w:line="74" w:lineRule="exact"/>
        <w:rPr>
          <w:sz w:val="20"/>
          <w:szCs w:val="20"/>
          <w:color w:val="auto"/>
        </w:rPr>
      </w:pPr>
    </w:p>
    <w:p>
      <w:pPr>
        <w:ind w:right="20" w:firstLine="350"/>
        <w:spacing w:after="0" w:line="319" w:lineRule="auto"/>
        <w:rPr>
          <w:sz w:val="20"/>
          <w:szCs w:val="20"/>
          <w:color w:val="auto"/>
        </w:rPr>
      </w:pPr>
      <w:r>
        <w:rPr>
          <w:rFonts w:ascii="Times New Roman" w:cs="Times New Roman" w:eastAsia="Times New Roman" w:hAnsi="Times New Roman"/>
          <w:sz w:val="14"/>
          <w:szCs w:val="14"/>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ectPr>
          <w:pgSz w:w="11900" w:h="16838" w:orient="portrait"/>
          <w:cols w:equalWidth="0" w:num="1">
            <w:col w:w="11280"/>
          </w:cols>
          <w:pgMar w:left="300" w:top="409" w:right="319" w:bottom="1440" w:gutter="0" w:footer="0" w:header="0"/>
        </w:sectPr>
      </w:pPr>
    </w:p>
    <w:bookmarkStart w:id="179" w:name="page180"/>
    <w:bookmarkEnd w:id="179"/>
    <w:p>
      <w:pPr>
        <w:jc w:val="both"/>
        <w:ind w:left="3380" w:firstLine="31"/>
        <w:spacing w:after="0" w:line="337"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 (Tabular dollar amounts, except share data and per share data, in millions)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Supplemental Financial Data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155180" cy="147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Right of use assets </w:t>
      </w:r>
      <w:r>
        <w:rPr>
          <w:rFonts w:ascii="Times New Roman" w:cs="Times New Roman" w:eastAsia="Times New Roman" w:hAnsi="Times New Roman"/>
          <w:sz w:val="16"/>
          <w:szCs w:val="16"/>
          <w:color w:val="auto"/>
          <w:vertAlign w:val="superscript"/>
        </w:rPr>
        <w:t>(1)</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Prepaid pension assets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Deferred income tax</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Prepaid cloud computing fees and deferred implementation costs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Long-term technology vendor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5180" cy="128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152" w:lineRule="exact"/>
        <w:rPr>
          <w:sz w:val="20"/>
          <w:szCs w:val="20"/>
          <w:color w:val="auto"/>
        </w:rPr>
      </w:pPr>
    </w:p>
    <w:p>
      <w:pPr>
        <w:ind w:left="500" w:hanging="240"/>
        <w:spacing w:after="0"/>
        <w:tabs>
          <w:tab w:leader="none" w:pos="50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Accrued and Current Liabilities: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143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5180" cy="154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Short-term lease liability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55180" cy="154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55180" cy="1549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Swap liabilities </w:t>
      </w:r>
      <w:r>
        <w:rPr>
          <w:rFonts w:ascii="Times New Roman" w:cs="Times New Roman" w:eastAsia="Times New Roman" w:hAnsi="Times New Roman"/>
          <w:sz w:val="16"/>
          <w:szCs w:val="16"/>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282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55180" cy="128270"/>
                    </a:xfrm>
                    <a:prstGeom prst="rect">
                      <a:avLst/>
                    </a:prstGeom>
                    <a:noFill/>
                  </pic:spPr>
                </pic:pic>
              </a:graphicData>
            </a:graphic>
          </wp:anchor>
        </w:drawing>
      </w:r>
    </w:p>
    <w:p>
      <w:pPr>
        <w:spacing w:after="0" w:line="163" w:lineRule="exact"/>
        <w:rPr>
          <w:sz w:val="20"/>
          <w:szCs w:val="20"/>
          <w:color w:val="auto"/>
        </w:rPr>
      </w:pPr>
    </w:p>
    <w:p>
      <w:pPr>
        <w:ind w:left="500" w:hanging="240"/>
        <w:spacing w:after="0"/>
        <w:tabs>
          <w:tab w:leader="none" w:pos="5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10 for further detail.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revenue -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14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tax liability associated with the 2017 Act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Liabilities for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55180" cy="107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Long-term lease liability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518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55180" cy="1079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183" w:lineRule="exact"/>
        <w:rPr>
          <w:sz w:val="20"/>
          <w:szCs w:val="20"/>
          <w:color w:val="auto"/>
        </w:rPr>
      </w:pPr>
    </w:p>
    <w:p>
      <w:pPr>
        <w:ind w:left="500" w:hanging="240"/>
        <w:spacing w:after="0"/>
        <w:tabs>
          <w:tab w:leader="none" w:pos="50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12 for further detail.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r>
      <w:tr>
        <w:trPr>
          <w:trHeight w:val="214"/>
        </w:trPr>
        <w:tc>
          <w:tcPr>
            <w:tcW w:w="118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r>
      <w:tr>
        <w:trPr>
          <w:trHeight w:val="246"/>
        </w:trPr>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w:t>
            </w:r>
          </w:p>
        </w:tc>
      </w:tr>
      <w:tr>
        <w:trPr>
          <w:trHeight w:val="20"/>
        </w:trPr>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877"/>
        </w:trPr>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54"/>
        </w:trPr>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r>
      <w:tr>
        <w:trPr>
          <w:trHeight w:val="161"/>
        </w:trPr>
        <w:tc>
          <w:tcPr>
            <w:tcW w:w="11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72"/>
        </w:trPr>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w:t>
            </w:r>
          </w:p>
        </w:tc>
      </w:tr>
      <w:tr>
        <w:trPr>
          <w:trHeight w:val="20"/>
        </w:trPr>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068"/>
        </w:trPr>
        <w:tc>
          <w:tcPr>
            <w:tcW w:w="232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54"/>
        </w:trPr>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r>
      <w:tr>
        <w:trPr>
          <w:trHeight w:val="161"/>
        </w:trPr>
        <w:tc>
          <w:tcPr>
            <w:tcW w:w="118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170"/>
        </w:trPr>
        <w:tc>
          <w:tcPr>
            <w:tcW w:w="1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244"/>
        </w:trPr>
        <w:tc>
          <w:tcPr>
            <w:tcW w:w="11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72"/>
        </w:trPr>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0"/>
        </w:trPr>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900" w:space="120"/>
            <w:col w:w="3260"/>
          </w:cols>
          <w:pgMar w:left="300" w:top="409" w:right="319" w:bottom="1440" w:gutter="0" w:footer="0" w:header="0"/>
        </w:sectPr>
      </w:pPr>
    </w:p>
    <w:bookmarkStart w:id="180" w:name="page181"/>
    <w:bookmarkEnd w:id="18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 - Net:</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r>
      <w:tr>
        <w:trPr>
          <w:trHeight w:val="1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9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7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 and building improvement</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building and building improvement</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44"/>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Furniture and equipment </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furniture and equipment</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7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6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0"/>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leasehold improvements</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09"/>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9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 net</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$9.4 million and $15.9 million financing lease assets at December 31, 2024 and 2023, respectively.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Property, plant and equipment depreciation and amortization expense was $16.2 million, $15.4 million and $13.1 million for the years ended December 31, 2024, 2023 and 2022, respectively.</w:t>
      </w:r>
    </w:p>
    <w:p>
      <w:pPr>
        <w:spacing w:after="0" w:line="226" w:lineRule="auto"/>
        <w:rPr>
          <w:sz w:val="20"/>
          <w:szCs w:val="20"/>
          <w:color w:val="auto"/>
        </w:rPr>
      </w:pPr>
      <w:r>
        <w:rPr>
          <w:rFonts w:ascii="Times New Roman" w:cs="Times New Roman" w:eastAsia="Times New Roman" w:hAnsi="Times New Roman"/>
          <w:sz w:val="14"/>
          <w:szCs w:val="14"/>
          <w:color w:val="auto"/>
        </w:rPr>
        <w:t>We also recorded impairment charges of $0.4 million included in selling and administrative expenses in the consolidated statement of operations and comprehensive income (loss) for the year ended</w:t>
      </w:r>
    </w:p>
    <w:p>
      <w:pPr>
        <w:spacing w:after="0"/>
        <w:rPr>
          <w:sz w:val="20"/>
          <w:szCs w:val="20"/>
          <w:color w:val="auto"/>
        </w:rPr>
      </w:pPr>
      <w:r>
        <w:rPr>
          <w:rFonts w:ascii="Times New Roman" w:cs="Times New Roman" w:eastAsia="Times New Roman" w:hAnsi="Times New Roman"/>
          <w:sz w:val="14"/>
          <w:szCs w:val="14"/>
          <w:color w:val="auto"/>
        </w:rPr>
        <w:t>December 31, 2022, primarily related to leasehold improvements for offices we ceased to occupy.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Computer Software and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w w:val="98"/>
              </w:rPr>
              <w:t>Computer software</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480" w:type="dxa"/>
            <w:vAlign w:val="bottom"/>
            <w:tcBorders>
              <w:bottom w:val="single" w:sz="8" w:color="auto"/>
            </w:tcBorders>
          </w:tcPr>
          <w:p>
            <w:pPr>
              <w:spacing w:after="0"/>
              <w:rPr>
                <w:sz w:val="14"/>
                <w:szCs w:val="14"/>
                <w:color w:val="auto"/>
              </w:rPr>
            </w:pPr>
          </w:p>
        </w:tc>
      </w:tr>
      <w:tr>
        <w:trPr>
          <w:trHeight w:val="16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631.8</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3,431.3</w:t>
            </w:r>
          </w:p>
        </w:tc>
      </w:tr>
      <w:tr>
        <w:trPr>
          <w:trHeight w:val="23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(1)(2)</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Impairment / Write-off</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5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666.3</w:t>
            </w:r>
          </w:p>
        </w:tc>
        <w:tc>
          <w:tcPr>
            <w:tcW w:w="140" w:type="dxa"/>
            <w:vAlign w:val="bottom"/>
            <w:tcBorders>
              <w:bottom w:val="single" w:sz="8" w:color="CCEEFF"/>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3,445.8</w:t>
            </w:r>
          </w:p>
        </w:tc>
      </w:tr>
      <w:tr>
        <w:trPr>
          <w:trHeight w:val="21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 Write-off</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4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tc>
        <w:tc>
          <w:tcPr>
            <w:tcW w:w="1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4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8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January 1, 2023 </w:t>
      </w:r>
      <w:r>
        <w:rPr>
          <w:rFonts w:ascii="Times New Roman" w:cs="Times New Roman" w:eastAsia="Times New Roman" w:hAnsi="Times New Roman"/>
          <w:sz w:val="16"/>
          <w:szCs w:val="16"/>
          <w:b w:val="1"/>
          <w:bCs w:val="1"/>
          <w:color w:val="auto"/>
          <w:vertAlign w:val="superscript"/>
        </w:rPr>
        <w:t>(4)</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December 31, 2023 </w:t>
      </w:r>
      <w:r>
        <w:rPr>
          <w:rFonts w:ascii="Times New Roman" w:cs="Times New Roman" w:eastAsia="Times New Roman" w:hAnsi="Times New Roman"/>
          <w:sz w:val="15"/>
          <w:szCs w:val="15"/>
          <w:b w:val="1"/>
          <w:bCs w:val="1"/>
          <w:color w:val="auto"/>
          <w:vertAlign w:val="superscript"/>
        </w:rPr>
        <w:t>(4)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Additions at cost </w:t>
      </w:r>
      <w:r>
        <w:rPr>
          <w:rFonts w:ascii="Times New Roman" w:cs="Times New Roman" w:eastAsia="Times New Roman" w:hAnsi="Times New Roman"/>
          <w:sz w:val="16"/>
          <w:szCs w:val="16"/>
          <w:color w:val="auto"/>
          <w:vertAlign w:val="superscript"/>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6"/>
          <w:szCs w:val="16"/>
          <w:color w:val="auto"/>
          <w:vertAlign w:val="superscript"/>
        </w:rPr>
        <w:t>(3)</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December 31, 2024 </w:t>
      </w:r>
      <w:r>
        <w:rPr>
          <w:rFonts w:ascii="Times New Roman" w:cs="Times New Roman" w:eastAsia="Times New Roman" w:hAnsi="Times New Roman"/>
          <w:sz w:val="15"/>
          <w:szCs w:val="15"/>
          <w:b w:val="1"/>
          <w:bCs w:val="1"/>
          <w:color w:val="auto"/>
          <w:vertAlign w:val="superscript"/>
        </w:rPr>
        <w:t>(4)</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Other indefinite-lived</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91"/>
        </w:trPr>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Customer relationships</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Reacquired rights</w:t>
            </w: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Database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 xml:space="preserve">intangibles </w:t>
            </w:r>
            <w:r>
              <w:rPr>
                <w:rFonts w:ascii="Times New Roman" w:cs="Times New Roman" w:eastAsia="Times New Roman" w:hAnsi="Times New Roman"/>
                <w:sz w:val="16"/>
                <w:szCs w:val="16"/>
                <w:b w:val="1"/>
                <w:bCs w:val="1"/>
                <w:color w:val="auto"/>
                <w:w w:val="94"/>
                <w:vertAlign w:val="superscript"/>
              </w:rPr>
              <w:t>(5)</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Other intangibles</w:t>
            </w:r>
          </w:p>
        </w:tc>
        <w:tc>
          <w:tcPr>
            <w:tcW w:w="14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9"/>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$ 1,536.7</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4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$ 1,100.0</w:t>
            </w:r>
          </w:p>
        </w:tc>
        <w:tc>
          <w:tcPr>
            <w:tcW w:w="14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$ 4,320.1</w:t>
            </w:r>
          </w:p>
        </w:tc>
      </w:tr>
      <w:tr>
        <w:trPr>
          <w:trHeight w:val="244"/>
        </w:trPr>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0"/>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r>
      <w:tr>
        <w:trPr>
          <w:trHeight w:val="246"/>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94"/>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$ 1,316.7</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$ 940.6</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12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$ 3,915.9</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0"/>
        </w:trPr>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0"/>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w:t>
            </w:r>
          </w:p>
        </w:tc>
      </w:tr>
      <w:tr>
        <w:trPr>
          <w:trHeight w:val="246"/>
        </w:trPr>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spacing w:after="0"/>
              <w:rPr>
                <w:sz w:val="21"/>
                <w:szCs w:val="21"/>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92"/>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$ 1,108.7</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$ 790.0</w:t>
            </w:r>
          </w:p>
        </w:tc>
        <w:tc>
          <w:tcPr>
            <w:tcW w:w="14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$ 1,280.0</w:t>
            </w:r>
          </w:p>
        </w:tc>
        <w:tc>
          <w:tcPr>
            <w:tcW w:w="1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2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$ 3,506.8</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-1285875</wp:posOffset>
            </wp:positionV>
            <wp:extent cx="7155180" cy="147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55180" cy="147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-982980</wp:posOffset>
            </wp:positionV>
            <wp:extent cx="715518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-720090</wp:posOffset>
            </wp:positionV>
            <wp:extent cx="7155180" cy="147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55180" cy="147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-423545</wp:posOffset>
            </wp:positionV>
            <wp:extent cx="7155180" cy="1079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-161290</wp:posOffset>
            </wp:positionV>
            <wp:extent cx="7155180" cy="147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1440" w:space="720"/>
            <w:col w:w="9120"/>
          </w:cols>
          <w:pgMar w:left="300" w:top="409" w:right="319" w:bottom="1440" w:gutter="0" w:footer="0" w:header="0"/>
        </w:sectPr>
      </w:pPr>
    </w:p>
    <w:p>
      <w:pPr>
        <w:ind w:left="500" w:hanging="240"/>
        <w:spacing w:after="0"/>
        <w:tabs>
          <w:tab w:leader="none" w:pos="5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software-related enhancements on products.</w:t>
      </w:r>
    </w:p>
    <w:p>
      <w:pPr>
        <w:spacing w:after="0" w:line="64" w:lineRule="exact"/>
        <w:rPr>
          <w:rFonts w:ascii="Times New Roman" w:cs="Times New Roman" w:eastAsia="Times New Roman" w:hAnsi="Times New Roman"/>
          <w:sz w:val="11"/>
          <w:szCs w:val="11"/>
          <w:color w:val="auto"/>
        </w:rPr>
      </w:pPr>
    </w:p>
    <w:p>
      <w:pPr>
        <w:ind w:left="520" w:right="340" w:hanging="260"/>
        <w:spacing w:after="0" w:line="320" w:lineRule="auto"/>
        <w:tabs>
          <w:tab w:leader="none" w:pos="514"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2024 and 2023, total non-cash additions were $24.8 million and $7.2 million, of which $11.5 million and $4.6 million, respectively, was reflected in "Other accrued and current liabilities" and $9.0 million and $2.6 million, respectively, was reflected in "Other non-current liabilities". In addition, $4.3 million additions during 2024 were paid in the prior year.</w:t>
      </w:r>
    </w:p>
    <w:p>
      <w:pPr>
        <w:spacing w:after="0" w:line="2"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due to the impact of foreign currency fluctuations.</w:t>
      </w:r>
    </w:p>
    <w:p>
      <w:pPr>
        <w:spacing w:after="0" w:line="64" w:lineRule="exact"/>
        <w:rPr>
          <w:rFonts w:ascii="Times New Roman" w:cs="Times New Roman" w:eastAsia="Times New Roman" w:hAnsi="Times New Roman"/>
          <w:sz w:val="11"/>
          <w:szCs w:val="11"/>
          <w:color w:val="auto"/>
        </w:rPr>
      </w:pPr>
    </w:p>
    <w:p>
      <w:pPr>
        <w:ind w:left="520" w:right="3080" w:hanging="260"/>
        <w:spacing w:after="0" w:line="369" w:lineRule="auto"/>
        <w:tabs>
          <w:tab w:leader="none" w:pos="514"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Customer Relationships—Net of accumulated amortization of $1,411.2 million and $1,212.7 million as of December 31, 2024 and as of December 31, 2023, respectively. Reacquired Rights—Net of accumulated amortization of $77.3 million and $63.4 million as of December 31, 2024 and as of December 31, 2023, respectively. Database—Net of accumulated amortization of $1,015.7 million and $872.8 million as of December 31, 2024 and as of December 31, 2023, respectively.</w:t>
      </w:r>
    </w:p>
    <w:p>
      <w:pPr>
        <w:ind w:left="5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Intangibles —Net of accumulated amortization of $93.1 million and $77.1 million as of December 31, 2024 and as of December 31, 2023, respectively.</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the D&amp;B trademark recognized in connection with historical merger and acquisition transactions.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sets forth the future amortization as of December 31, 2024 associated with computer software and other intangibles: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0"/>
        </w:trPr>
        <w:tc>
          <w:tcPr>
            <w:tcW w:w="72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Computer</w:t>
            </w:r>
          </w:p>
        </w:tc>
        <w:tc>
          <w:tcPr>
            <w:tcW w:w="3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$ 88.3</w:t>
            </w: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$ 59.0</w:t>
            </w: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$ 55.8</w:t>
            </w: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$ 676.3</w:t>
            </w: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Customer</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1,108.7</w:t>
            </w:r>
          </w:p>
        </w:tc>
        <w:tc>
          <w:tcPr>
            <w:tcW w:w="0" w:type="dxa"/>
            <w:vAlign w:val="bottom"/>
          </w:tcPr>
          <w:p>
            <w:pPr>
              <w:spacing w:after="0"/>
              <w:rPr>
                <w:sz w:val="1"/>
                <w:szCs w:val="1"/>
                <w:color w:val="auto"/>
              </w:rPr>
            </w:pPr>
          </w:p>
        </w:tc>
      </w:tr>
      <w:tr>
        <w:trPr>
          <w:trHeight w:val="168"/>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relationships</w:t>
            </w:r>
          </w:p>
        </w:tc>
        <w:tc>
          <w:tcPr>
            <w:tcW w:w="3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Reacquired</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rights</w:t>
            </w:r>
          </w:p>
        </w:tc>
        <w:tc>
          <w:tcPr>
            <w:tcW w:w="3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Database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790.0</w:t>
            </w:r>
          </w:p>
        </w:tc>
        <w:tc>
          <w:tcPr>
            <w:tcW w:w="0" w:type="dxa"/>
            <w:vAlign w:val="bottom"/>
          </w:tcPr>
          <w:p>
            <w:pPr>
              <w:spacing w:after="0"/>
              <w:rPr>
                <w:sz w:val="1"/>
                <w:szCs w:val="1"/>
                <w:color w:val="auto"/>
              </w:rPr>
            </w:pPr>
          </w:p>
        </w:tc>
      </w:tr>
      <w:tr>
        <w:trPr>
          <w:trHeight w:val="129"/>
        </w:trPr>
        <w:tc>
          <w:tcPr>
            <w:tcW w:w="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Other</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6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0" w:type="dxa"/>
            <w:vAlign w:val="bottom"/>
          </w:tcPr>
          <w:p>
            <w:pPr>
              <w:spacing w:after="0"/>
              <w:rPr>
                <w:sz w:val="1"/>
                <w:szCs w:val="1"/>
                <w:color w:val="auto"/>
              </w:rPr>
            </w:pPr>
          </w:p>
        </w:tc>
      </w:tr>
      <w:tr>
        <w:trPr>
          <w:trHeight w:val="173"/>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w:t>
            </w: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554.4</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479.9</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412.4</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351.8</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$ 812.5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2,903.1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type w:val="continuous"/>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7560" w:type="dxa"/>
            <w:vAlign w:val="bottom"/>
            <w:gridSpan w:val="2"/>
          </w:tcPr>
          <w:p>
            <w:pPr>
              <w:jc w:val="right"/>
              <w:ind w:right="2976"/>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7560" w:type="dxa"/>
            <w:vAlign w:val="bottom"/>
            <w:gridSpan w:val="2"/>
          </w:tcPr>
          <w:p>
            <w:pPr>
              <w:jc w:val="right"/>
              <w:ind w:right="2956"/>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Risks:</w:t>
            </w: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360" w:type="dxa"/>
            <w:vAlign w:val="bottom"/>
          </w:tcPr>
          <w:p>
            <w:pPr>
              <w:spacing w:after="0"/>
              <w:rPr>
                <w:sz w:val="7"/>
                <w:szCs w:val="7"/>
                <w:color w:val="auto"/>
              </w:rPr>
            </w:pPr>
          </w:p>
        </w:tc>
        <w:tc>
          <w:tcPr>
            <w:tcW w:w="5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Write-offs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Recoveries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5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5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 Asset Valuation Allowance:</w:t>
            </w:r>
          </w:p>
        </w:tc>
        <w:tc>
          <w:tcPr>
            <w:tcW w:w="55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60" w:type="dxa"/>
            <w:vAlign w:val="bottom"/>
            <w:vMerge w:val="continue"/>
          </w:tcPr>
          <w:p>
            <w:pPr>
              <w:spacing w:after="0"/>
              <w:rPr>
                <w:sz w:val="24"/>
                <w:szCs w:val="24"/>
                <w:color w:val="auto"/>
              </w:rPr>
            </w:pP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360" w:type="dxa"/>
            <w:vAlign w:val="bottom"/>
          </w:tcPr>
          <w:p>
            <w:pPr>
              <w:spacing w:after="0"/>
              <w:rPr>
                <w:sz w:val="2"/>
                <w:szCs w:val="2"/>
                <w:color w:val="auto"/>
              </w:rPr>
            </w:pPr>
          </w:p>
        </w:tc>
        <w:tc>
          <w:tcPr>
            <w:tcW w:w="7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55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58"/>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charged (credited) to costs and expenses</w:t>
            </w:r>
          </w:p>
        </w:tc>
        <w:tc>
          <w:tcPr>
            <w:tcW w:w="5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Additions charged (credited) due to foreign currency fluctuations</w:t>
            </w:r>
          </w:p>
        </w:tc>
        <w:tc>
          <w:tcPr>
            <w:tcW w:w="5500" w:type="dxa"/>
            <w:vAlign w:val="bottom"/>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500" w:type="dxa"/>
            <w:vAlign w:val="bottom"/>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Equity Interest: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November 1, 2022, we purchased the non-controlling equity interest (“NCI”) of our China operations from a third-party entity for RMB 815.4 million, of which RMB 169.1 million, or $23.2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was paid in November 2022 and a liability of $93.7 million was recognized for the remaining liability as of December 31, 2022. During 2023 we settled the liability with total payments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$95.7 million. We recognized a foreign exchange loss of $2.6 million associated with the payments for the year ended December 31, 2023. The transaction was accounted for as an equity transaction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among shareholders, and accordingly, no gain or loss was recognized in consolidated net income or comprehensive income.</w:t>
      </w:r>
    </w:p>
    <w:p>
      <w:pPr>
        <w:sectPr>
          <w:pgSz w:w="11900" w:h="16838" w:orient="portrait"/>
          <w:cols w:equalWidth="0" w:num="1">
            <w:col w:w="11280"/>
          </w:cols>
          <w:pgMar w:left="300" w:top="409" w:right="319" w:bottom="1440" w:gutter="0" w:footer="0" w:header="0"/>
        </w:sectPr>
      </w:pPr>
    </w:p>
    <w:bookmarkStart w:id="183" w:name="page184"/>
    <w:bookmarkEnd w:id="18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 Net: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income (expense) - net was as follows:</w:t>
      </w:r>
    </w:p>
    <w:p>
      <w:pPr>
        <w:spacing w:after="0" w:line="1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bottom w:val="single" w:sz="8" w:color="auto"/>
            </w:tcBorders>
          </w:tcPr>
          <w:p>
            <w:pPr>
              <w:spacing w:after="0"/>
              <w:rPr>
                <w:sz w:val="12"/>
                <w:szCs w:val="12"/>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Non-operating pension income (expense) </w:t>
            </w:r>
            <w:r>
              <w:rPr>
                <w:rFonts w:ascii="Times New Roman" w:cs="Times New Roman" w:eastAsia="Times New Roman" w:hAnsi="Times New Roman"/>
                <w:sz w:val="16"/>
                <w:szCs w:val="16"/>
                <w:color w:val="auto"/>
                <w:vertAlign w:val="superscript"/>
              </w:rPr>
              <w:t>(1)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18.3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w:t>
            </w:r>
          </w:p>
        </w:tc>
      </w:tr>
      <w:tr>
        <w:trPr>
          <w:trHeight w:val="24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Debt redemption premium </w:t>
            </w:r>
            <w:r>
              <w:rPr>
                <w:rFonts w:ascii="Times New Roman" w:cs="Times New Roman" w:eastAsia="Times New Roman" w:hAnsi="Times New Roman"/>
                <w:sz w:val="16"/>
                <w:szCs w:val="16"/>
                <w:color w:val="auto"/>
                <w:vertAlign w:val="superscript"/>
              </w:rPr>
              <w:t>(2)</w:t>
            </w:r>
          </w:p>
        </w:tc>
        <w:tc>
          <w:tcPr>
            <w:tcW w:w="1360" w:type="dxa"/>
            <w:vAlign w:val="bottom"/>
            <w:gridSpan w:val="3"/>
          </w:tcPr>
          <w:p>
            <w:pPr>
              <w:jc w:val="right"/>
              <w:ind w:right="871"/>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r>
      <w:tr>
        <w:trPr>
          <w:trHeight w:val="244"/>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Miscellaneous other income (expense) – net </w:t>
            </w:r>
            <w:r>
              <w:rPr>
                <w:rFonts w:ascii="Times New Roman" w:cs="Times New Roman" w:eastAsia="Times New Roman" w:hAnsi="Times New Roman"/>
                <w:sz w:val="16"/>
                <w:szCs w:val="16"/>
                <w:color w:val="auto"/>
                <w:vertAlign w:val="superscript"/>
              </w:rPr>
              <w:t>(3)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 – net</w:t>
            </w:r>
          </w:p>
        </w:tc>
        <w:tc>
          <w:tcPr>
            <w:tcW w:w="7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$ 0.3</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(5.3)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20"/>
        </w:trPr>
        <w:tc>
          <w:tcPr>
            <w:tcW w:w="7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00" w:hanging="240"/>
        <w:spacing w:after="0"/>
        <w:tabs>
          <w:tab w:leader="none" w:pos="5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Lower non-operating pension income in 2024 and 2023 compared to 2022 was primarily attributable to higher interest costs in 2024 and 2023, driven by higher discount rates.</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2022, debt redemption premium was related to the early redemption of then-existing 6.875% Senior Secured Notes in January 2022.</w:t>
      </w:r>
    </w:p>
    <w:p>
      <w:pPr>
        <w:spacing w:after="0" w:line="75" w:lineRule="exact"/>
        <w:rPr>
          <w:rFonts w:ascii="Times New Roman" w:cs="Times New Roman" w:eastAsia="Times New Roman" w:hAnsi="Times New Roman"/>
          <w:sz w:val="11"/>
          <w:szCs w:val="11"/>
          <w:color w:val="auto"/>
        </w:rPr>
      </w:pPr>
    </w:p>
    <w:p>
      <w:pPr>
        <w:ind w:left="520" w:right="140" w:hanging="260"/>
        <w:spacing w:after="0" w:line="301" w:lineRule="auto"/>
        <w:tabs>
          <w:tab w:leader="none" w:pos="514"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Lower miscellaneous other income (expense)- net in 2024 compared to 2023 was primarily due to lower foreign exchange losses in the current year, partially offset by higher fees related to the accounts receivable securitization facility . Higher miscellaneous other income (expense) - net in 2023 compared to 2022 was primarily driven by fees incurred for the accounts receivable securitization facility, including fees for administrative responsibilities. See Note 14 for further discussion.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Leases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82"/>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table below summarizes our lease assets and lease liabilities included in our balance sheet: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0"/>
        </w:trPr>
        <w:tc>
          <w:tcPr>
            <w:tcW w:w="646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included in other non-current assets</w:t>
            </w:r>
          </w:p>
        </w:tc>
        <w:tc>
          <w:tcPr>
            <w:tcW w:w="1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$ 42.6</w:t>
            </w:r>
          </w:p>
        </w:tc>
        <w:tc>
          <w:tcPr>
            <w:tcW w:w="8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$ 43.1</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assets included in Property, Plant and Equipment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1"/>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assets</w:t>
            </w:r>
          </w:p>
        </w:tc>
        <w:tc>
          <w:tcPr>
            <w:tcW w:w="16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$ 52.0</w:t>
            </w: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$ 59.0</w:t>
            </w:r>
          </w:p>
        </w:tc>
      </w:tr>
      <w:tr>
        <w:trPr>
          <w:trHeight w:val="85"/>
        </w:trPr>
        <w:tc>
          <w:tcPr>
            <w:tcW w:w="6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operating lease liabilities included in other accrued and current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$ 15.9</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$ 15.0</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finance lease liabilities included in other accrued and current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 included in other non-current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 included in other non-current liabilities</w:t>
            </w:r>
          </w:p>
        </w:tc>
        <w:tc>
          <w:tcPr>
            <w:tcW w:w="1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$ 52.6</w:t>
            </w: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$ 54.8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recognized $14.0 million and $4.5 million for both right of use assets and lease liabilities related to new operating leases for the years ended December 31, 2024 and 2023, respectively.</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lease costs, supplemental cash flow and other information, and maturity analysis for leases is as follows:</w:t>
      </w:r>
    </w:p>
    <w:p>
      <w:pPr>
        <w:spacing w:after="0" w:line="17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1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top w:val="single" w:sz="8" w:color="auto"/>
            </w:tcBorders>
          </w:tcPr>
          <w:p>
            <w:pPr>
              <w:spacing w:after="0"/>
              <w:rPr>
                <w:sz w:val="14"/>
                <w:szCs w:val="14"/>
                <w:color w:val="auto"/>
              </w:rPr>
            </w:pPr>
          </w:p>
        </w:tc>
      </w:tr>
      <w:tr>
        <w:trPr>
          <w:trHeight w:val="17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Variable lease costs</w:t>
            </w: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finance lease assets</w:t>
            </w: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1"/>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409" w:right="319" w:bottom="1440" w:gutter="0" w:footer="0" w:header="0"/>
        </w:sectPr>
      </w:pPr>
    </w:p>
    <w:bookmarkStart w:id="184" w:name="page185"/>
    <w:bookmarkEnd w:id="18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5" w:lineRule="exact"/>
        <w:rPr>
          <w:sz w:val="20"/>
          <w:szCs w:val="20"/>
          <w:color w:val="auto"/>
        </w:rPr>
      </w:pPr>
    </w:p>
    <w:p>
      <w:pPr>
        <w:ind w:right="160" w:firstLine="446"/>
        <w:spacing w:after="0" w:line="271" w:lineRule="auto"/>
        <w:rPr>
          <w:sz w:val="20"/>
          <w:szCs w:val="20"/>
          <w:color w:val="auto"/>
        </w:rPr>
      </w:pPr>
      <w:r>
        <w:rPr>
          <w:rFonts w:ascii="Times New Roman" w:cs="Times New Roman" w:eastAsia="Times New Roman" w:hAnsi="Times New Roman"/>
          <w:sz w:val="14"/>
          <w:szCs w:val="14"/>
          <w:color w:val="auto"/>
        </w:rPr>
        <w:t>We recorded an impairment charge of $2.6 million for the year ended December 31, 2022, primarily as a result of our decision to consolidate office facilities in the United States and certain international markets.</w:t>
      </w:r>
    </w:p>
    <w:p>
      <w:pPr>
        <w:spacing w:after="0" w:line="146" w:lineRule="exact"/>
        <w:rPr>
          <w:sz w:val="20"/>
          <w:szCs w:val="20"/>
          <w:color w:val="auto"/>
        </w:rPr>
      </w:pPr>
    </w:p>
    <w:p>
      <w:pPr>
        <w:ind w:right="680" w:firstLine="509"/>
        <w:spacing w:after="0" w:line="287" w:lineRule="auto"/>
        <w:rPr>
          <w:sz w:val="20"/>
          <w:szCs w:val="20"/>
          <w:color w:val="auto"/>
        </w:rPr>
      </w:pPr>
      <w:r>
        <w:rPr>
          <w:rFonts w:ascii="Times New Roman" w:cs="Times New Roman" w:eastAsia="Times New Roman" w:hAnsi="Times New Roman"/>
          <w:sz w:val="14"/>
          <w:szCs w:val="14"/>
          <w:color w:val="auto"/>
        </w:rPr>
        <w:t>Cash paid for operating leases is included in operating cash flows and was $18.5 million, $21.5 million and $30.2 million for the years ended December 31, 2024, 2023 and 2022,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paid for finance leases is included in finance cash flows and was $2.3 million, $15.4 million and $0.3 million for the years ended December 31, 2024, 2023 and 2022,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maturity analysis for operating and finance lease liabilities as of December 31,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15.5</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Undiscounted cash flows</w:t>
            </w: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54.4</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and finance lease liabilities</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48.6</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supplemental information on remaining lease term and discount rate is as follows: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 operating leases (in years)</w:t>
            </w:r>
          </w:p>
        </w:tc>
        <w:tc>
          <w:tcPr>
            <w:tcW w:w="6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years</w:t>
            </w:r>
          </w:p>
        </w:tc>
        <w:tc>
          <w:tcPr>
            <w:tcW w:w="2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years</w:t>
            </w:r>
          </w:p>
        </w:tc>
        <w:tc>
          <w:tcPr>
            <w:tcW w:w="0" w:type="dxa"/>
            <w:vAlign w:val="bottom"/>
          </w:tcPr>
          <w:p>
            <w:pPr>
              <w:spacing w:after="0"/>
              <w:rPr>
                <w:sz w:val="1"/>
                <w:szCs w:val="1"/>
                <w:color w:val="auto"/>
              </w:rPr>
            </w:pP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 finance leases (in years)</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3"/>
          </w:tcPr>
          <w:p>
            <w:pPr>
              <w:jc w:val="right"/>
              <w:ind w:right="1196"/>
              <w:spacing w:after="0"/>
              <w:rPr>
                <w:sz w:val="20"/>
                <w:szCs w:val="20"/>
                <w:color w:val="auto"/>
              </w:rPr>
            </w:pPr>
            <w:r>
              <w:rPr>
                <w:rFonts w:ascii="Times New Roman" w:cs="Times New Roman" w:eastAsia="Times New Roman" w:hAnsi="Times New Roman"/>
                <w:sz w:val="14"/>
                <w:szCs w:val="14"/>
                <w:color w:val="auto"/>
              </w:rPr>
              <w:t>2.0 years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years</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 - operating leases</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5.5 %</w:t>
            </w:r>
          </w:p>
        </w:tc>
        <w:tc>
          <w:tcPr>
            <w:tcW w:w="0" w:type="dxa"/>
            <w:vAlign w:val="bottom"/>
          </w:tcPr>
          <w:p>
            <w:pPr>
              <w:spacing w:after="0"/>
              <w:rPr>
                <w:sz w:val="1"/>
                <w:szCs w:val="1"/>
                <w:color w:val="auto"/>
              </w:rPr>
            </w:pPr>
          </w:p>
        </w:tc>
      </w:tr>
      <w:tr>
        <w:trPr>
          <w:trHeight w:val="184"/>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 - finance leases</w:t>
            </w: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6.9 %</w:t>
            </w:r>
          </w:p>
        </w:tc>
        <w:tc>
          <w:tcPr>
            <w:tcW w:w="0" w:type="dxa"/>
            <w:vAlign w:val="bottom"/>
          </w:tcPr>
          <w:p>
            <w:pPr>
              <w:spacing w:after="0"/>
              <w:rPr>
                <w:sz w:val="1"/>
                <w:szCs w:val="1"/>
                <w:color w:val="auto"/>
              </w:rPr>
            </w:pPr>
          </w:p>
        </w:tc>
      </w:tr>
    </w:tbl>
    <w:p>
      <w:pPr>
        <w:sectPr>
          <w:pgSz w:w="11900" w:h="16838" w:orient="portrait"/>
          <w:cols w:equalWidth="0" w:num="1">
            <w:col w:w="11280"/>
          </w:cols>
          <w:pgMar w:left="300" w:top="409" w:right="319" w:bottom="1440" w:gutter="0" w:footer="0" w:header="0"/>
        </w:sectPr>
      </w:pPr>
    </w:p>
    <w:bookmarkStart w:id="185" w:name="page186"/>
    <w:bookmarkEnd w:id="18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Notes Payable and Indebtedness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borrowings are summarized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Debt issuance</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80" w:type="dxa"/>
            <w:vAlign w:val="bottom"/>
          </w:tcPr>
          <w:p>
            <w:pPr>
              <w:spacing w:after="0"/>
              <w:rPr>
                <w:sz w:val="9"/>
                <w:szCs w:val="9"/>
                <w:color w:val="auto"/>
              </w:rPr>
            </w:pPr>
          </w:p>
        </w:tc>
        <w:tc>
          <w:tcPr>
            <w:tcW w:w="10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100" w:type="dxa"/>
            <w:vAlign w:val="bottom"/>
          </w:tcPr>
          <w:p>
            <w:pPr>
              <w:spacing w:after="0"/>
              <w:rPr>
                <w:sz w:val="9"/>
                <w:szCs w:val="9"/>
                <w:color w:val="auto"/>
              </w:rPr>
            </w:pPr>
          </w:p>
        </w:tc>
        <w:tc>
          <w:tcPr>
            <w:tcW w:w="10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88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1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8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Debt maturing within one year:</w:t>
            </w:r>
          </w:p>
        </w:tc>
        <w:tc>
          <w:tcPr>
            <w:tcW w:w="1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2029 Term loan B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4"/>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2026</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3"/>
        </w:trPr>
        <w:tc>
          <w:tcPr>
            <w:tcW w:w="3480" w:type="dxa"/>
            <w:vAlign w:val="bottom"/>
            <w:tcBorders>
              <w:top w:val="single" w:sz="8" w:color="CCEEFF"/>
              <w:bottom w:val="single" w:sz="8" w:color="CCEEFF"/>
            </w:tcBorders>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short-term debt</w:t>
            </w: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maturing after one year:</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B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January 18,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$ 3,049.4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$ 17.4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$ 3,032.0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44"/>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2026</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2,590.6</w:t>
            </w:r>
          </w:p>
        </w:tc>
        <w:tc>
          <w:tcPr>
            <w:tcW w:w="0" w:type="dxa"/>
            <w:vAlign w:val="bottom"/>
          </w:tcPr>
          <w:p>
            <w:pPr>
              <w:spacing w:after="0"/>
              <w:rPr>
                <w:sz w:val="1"/>
                <w:szCs w:val="1"/>
                <w:color w:val="auto"/>
              </w:rPr>
            </w:pPr>
          </w:p>
        </w:tc>
      </w:tr>
      <w:tr>
        <w:trPr>
          <w:trHeight w:val="244"/>
        </w:trPr>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2"/>
              </w:rPr>
              <w:t>2029</w:t>
            </w:r>
          </w:p>
        </w:tc>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Fully paid off in January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442.0</w:t>
            </w:r>
          </w:p>
        </w:tc>
        <w:tc>
          <w:tcPr>
            <w:tcW w:w="0" w:type="dxa"/>
            <w:vAlign w:val="bottom"/>
          </w:tcPr>
          <w:p>
            <w:pPr>
              <w:spacing w:after="0"/>
              <w:rPr>
                <w:sz w:val="1"/>
                <w:szCs w:val="1"/>
                <w:color w:val="auto"/>
              </w:rPr>
            </w:pPr>
          </w:p>
        </w:tc>
      </w:tr>
      <w:tr>
        <w:trPr>
          <w:trHeight w:val="244"/>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Revolving facility </w:t>
            </w:r>
            <w:r>
              <w:rPr>
                <w:rFonts w:ascii="Times New Roman" w:cs="Times New Roman" w:eastAsia="Times New Roman" w:hAnsi="Times New Roman"/>
                <w:sz w:val="16"/>
                <w:szCs w:val="16"/>
                <w:color w:val="auto"/>
                <w:vertAlign w:val="superscript"/>
              </w:rPr>
              <w:t>(1) (2)</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February 15, 2029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4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5.000% Senior unsecured notes </w:t>
            </w:r>
            <w:r>
              <w:rPr>
                <w:rFonts w:ascii="Times New Roman" w:cs="Times New Roman" w:eastAsia="Times New Roman" w:hAnsi="Times New Roman"/>
                <w:sz w:val="16"/>
                <w:szCs w:val="16"/>
                <w:color w:val="auto"/>
                <w:vertAlign w:val="superscript"/>
              </w:rPr>
              <w:t>(1)</w:t>
            </w:r>
          </w:p>
        </w:tc>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15, 2029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454.9</w:t>
            </w:r>
          </w:p>
        </w:tc>
        <w:tc>
          <w:tcPr>
            <w:tcW w:w="0" w:type="dxa"/>
            <w:vAlign w:val="bottom"/>
          </w:tcPr>
          <w:p>
            <w:pPr>
              <w:spacing w:after="0"/>
              <w:rPr>
                <w:sz w:val="1"/>
                <w:szCs w:val="1"/>
                <w:color w:val="auto"/>
              </w:rPr>
            </w:pPr>
          </w:p>
        </w:tc>
      </w:tr>
      <w:tr>
        <w:trPr>
          <w:trHeight w:val="160"/>
        </w:trPr>
        <w:tc>
          <w:tcPr>
            <w:tcW w:w="3480" w:type="dxa"/>
            <w:vAlign w:val="bottom"/>
            <w:tcBorders>
              <w:top w:val="single" w:sz="8" w:color="CCEEFF"/>
            </w:tcBorders>
            <w:gridSpan w:val="2"/>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long-term debt</w:t>
            </w:r>
          </w:p>
        </w:tc>
        <w:tc>
          <w:tcPr>
            <w:tcW w:w="1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$ 3,519.4</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$ 3,497.7</w:t>
            </w: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$ 3,555.9</w:t>
            </w: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$ 43.4</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$ 3,512.5</w:t>
            </w:r>
          </w:p>
        </w:tc>
        <w:tc>
          <w:tcPr>
            <w:tcW w:w="0" w:type="dxa"/>
            <w:vAlign w:val="bottom"/>
          </w:tcPr>
          <w:p>
            <w:pPr>
              <w:spacing w:after="0"/>
              <w:rPr>
                <w:sz w:val="1"/>
                <w:szCs w:val="1"/>
                <w:color w:val="auto"/>
              </w:rPr>
            </w:pPr>
          </w:p>
        </w:tc>
      </w:tr>
      <w:tr>
        <w:trPr>
          <w:trHeight w:val="158"/>
        </w:trPr>
        <w:tc>
          <w:tcPr>
            <w:tcW w:w="3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debt</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$ 3,550.4</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$ 21.7</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$ 3,528.7</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$ 3,588.6</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$ 43.4</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$ 3,545.2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right="360" w:hanging="6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Initial debt issuance costs were recorded as a reduction of the carrying amount of the debt and amortized over the contractual term of the debt. Balances represent the unamortized portion of debt issuance costs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discounts.</w:t>
      </w:r>
    </w:p>
    <w:p>
      <w:pPr>
        <w:spacing w:after="0" w:line="200" w:lineRule="exact"/>
        <w:rPr>
          <w:sz w:val="20"/>
          <w:szCs w:val="20"/>
          <w:color w:val="auto"/>
        </w:rPr>
      </w:pPr>
    </w:p>
    <w:p>
      <w:pPr>
        <w:spacing w:after="0" w:line="222" w:lineRule="exact"/>
        <w:rPr>
          <w:sz w:val="20"/>
          <w:szCs w:val="20"/>
          <w:color w:val="auto"/>
        </w:rPr>
      </w:pPr>
    </w:p>
    <w:p>
      <w:pPr>
        <w:ind w:left="520" w:right="120" w:hanging="260"/>
        <w:spacing w:after="0" w:line="301" w:lineRule="auto"/>
        <w:tabs>
          <w:tab w:leader="none" w:pos="425"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5.000% Senior Unsecured Notes and the Senior Secured Credit Facilities contain certain covenants that limit our ability to incur additional indebtedness and guarantee indebtedness, 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2024 and December 31, 2023.</w:t>
      </w:r>
    </w:p>
    <w:p>
      <w:pPr>
        <w:spacing w:after="0" w:line="12" w:lineRule="exact"/>
        <w:rPr>
          <w:rFonts w:ascii="Times New Roman" w:cs="Times New Roman" w:eastAsia="Times New Roman" w:hAnsi="Times New Roman"/>
          <w:sz w:val="11"/>
          <w:szCs w:val="11"/>
          <w:color w:val="auto"/>
        </w:rPr>
      </w:pPr>
    </w:p>
    <w:p>
      <w:pPr>
        <w:ind w:left="520" w:right="160" w:hanging="260"/>
        <w:spacing w:after="0" w:line="311" w:lineRule="auto"/>
        <w:tabs>
          <w:tab w:leader="none" w:pos="425"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December 31, 2024 and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Secured Credit Facilities</w:t>
      </w:r>
    </w:p>
    <w:p>
      <w:pPr>
        <w:spacing w:after="0" w:line="127"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On February 8, 2019, the Company entered into a credit agreement governing its Senior Secured Credit Facilities (the "Senior Secured Credit Facilities"). Subsequently, the credit agreement has been amended several times. Currently, the Senior Secured Credit Facilities consist of a senior secured term loan facility and a senior secured revolving credit facility.</w:t>
      </w:r>
    </w:p>
    <w:p>
      <w:pPr>
        <w:spacing w:after="0" w:line="146" w:lineRule="exact"/>
        <w:rPr>
          <w:sz w:val="20"/>
          <w:szCs w:val="20"/>
          <w:color w:val="auto"/>
        </w:rPr>
      </w:pPr>
    </w:p>
    <w:p>
      <w:pPr>
        <w:ind w:right="160" w:firstLine="318"/>
        <w:spacing w:after="0" w:line="239" w:lineRule="auto"/>
        <w:rPr>
          <w:sz w:val="20"/>
          <w:szCs w:val="20"/>
          <w:color w:val="auto"/>
        </w:rPr>
      </w:pPr>
      <w:r>
        <w:rPr>
          <w:rFonts w:ascii="Times New Roman" w:cs="Times New Roman" w:eastAsia="Times New Roman" w:hAnsi="Times New Roman"/>
          <w:sz w:val="14"/>
          <w:szCs w:val="14"/>
          <w:color w:val="auto"/>
        </w:rPr>
        <w:t>On January 29, 2024, we amended our credit agreement related to the then existing $451.9 million term loan with a maturity date of January 18, 2029 (the "2029 Term Loan"), to reduce its interest rate by 0.25%, resulting in a margin spread of SOFR plus 2.75% per annum and to increase the then existing term loan facility by $2,651.7 million to establish a new term loan with an aggregate principal amount of $3,103.6 million and a maturity date of January 18, 2029 ("2029 Term Loan B"). The proceeds from the 2029 Term Loan B were used to fully repay the previously existing term loans, including the senior secured term loan with a maturity date of February 8, 2026 (the "2026 Term Loan") and the 2029 Term Loan. As a result, we recorded a loss on debt extinguishment of $37.1 million related to the unamortized debt issuance costs associated with the then existing 2026 and 2029 Term Loan. The loss was recorded within “Non-operating income (expense)-net” for the year ended December 31, 2024. Initial debt issuance costs of $21.6 million related to the 2029 Term Loan B were recorded as a reduction of the carrying amount of long term debt and are amortized over the contractual term of the term loan. Concurrently, we also amended our credit agreement governing the Revolving Facility to extend the maturity date to February 15, 2029, and to reduce</w:t>
      </w:r>
    </w:p>
    <w:p>
      <w:pPr>
        <w:sectPr>
          <w:pgSz w:w="11900" w:h="16838" w:orient="portrait"/>
          <w:cols w:equalWidth="0" w:num="1">
            <w:col w:w="11280"/>
          </w:cols>
          <w:pgMar w:left="300" w:top="409" w:right="319" w:bottom="1440" w:gutter="0" w:footer="0" w:header="0"/>
        </w:sectPr>
      </w:pPr>
    </w:p>
    <w:bookmarkStart w:id="186" w:name="page187"/>
    <w:bookmarkEnd w:id="186"/>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4"/>
          <w:szCs w:val="14"/>
          <w:color w:val="auto"/>
        </w:rPr>
        <w:t>the applicable margin by 50 basis points, resulting in a margin spread of SOFR plus 2.50% per annum, subject to a leverage-based pricing grid. The Credit Spread Adjustment under the Revolving Facility was also removed as part of the amendment.</w:t>
      </w:r>
    </w:p>
    <w:p>
      <w:pPr>
        <w:ind w:right="580"/>
        <w:spacing w:after="0" w:line="247" w:lineRule="auto"/>
        <w:rPr>
          <w:sz w:val="20"/>
          <w:szCs w:val="20"/>
          <w:color w:val="auto"/>
        </w:rPr>
      </w:pPr>
      <w:r>
        <w:rPr>
          <w:rFonts w:ascii="Times New Roman" w:cs="Times New Roman" w:eastAsia="Times New Roman" w:hAnsi="Times New Roman"/>
          <w:sz w:val="14"/>
          <w:szCs w:val="14"/>
          <w:color w:val="auto"/>
        </w:rPr>
        <w:t>Total fees paid associated with the amendment of the Revolving Facility were $5.0 million, which is deferred and amortized over the term of the new arrangement, together with the original unamortized deferred costs.</w:t>
      </w:r>
    </w:p>
    <w:p>
      <w:pPr>
        <w:spacing w:after="0" w:line="162" w:lineRule="exact"/>
        <w:rPr>
          <w:sz w:val="20"/>
          <w:szCs w:val="20"/>
          <w:color w:val="auto"/>
        </w:rPr>
      </w:pPr>
    </w:p>
    <w:p>
      <w:pPr>
        <w:ind w:right="120" w:firstLine="318"/>
        <w:spacing w:after="0" w:line="243" w:lineRule="auto"/>
        <w:rPr>
          <w:sz w:val="20"/>
          <w:szCs w:val="20"/>
          <w:color w:val="auto"/>
        </w:rPr>
      </w:pPr>
      <w:r>
        <w:rPr>
          <w:rFonts w:ascii="Times New Roman" w:cs="Times New Roman" w:eastAsia="Times New Roman" w:hAnsi="Times New Roman"/>
          <w:sz w:val="14"/>
          <w:szCs w:val="14"/>
          <w:color w:val="auto"/>
        </w:rPr>
        <w:t>On November 19, 2024, we amended our credit agreement related to the 2029 Term Loan B, to reduce its interest rate by 0.50%, resulting in a margin spread of SOFR plus 2.25% per annum, with an additional 0.25% step down in the applicable margin if the Company maintains a rating of at least BB- from Standard &amp; Poor's Investors Ratings Services and at least Ba3 from Moody's Investors Service. As a result of the amendment, we recorded an expense of $1.7 million within "Non-operating income (expense)-net" for the year ended December 31, 2024 related to the write off of unamortized debt issuance costs of $0.2 million and transaction fees of $1.5 million.</w:t>
      </w:r>
    </w:p>
    <w:p>
      <w:pPr>
        <w:spacing w:after="0" w:line="16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Borrowings under the Senior Secured Credit Facilities bear interest at a rate per annum equal to an applicable margin over SOFR or LIBOR for the interest period relevant to such borrowing, subject to interest rate floors, and secured by substantially all of the Company’s assets. We completed the transition of reference rate from LIBOR to SOFR in the second quarter of 2023. We utilized the expedients set forth in ASC Topic 848, including those relating to derivative instruments used in hedging relationships. This transition did not result in a financial impact to our consolidated financial statements.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details of the Senior Secured Credit Facilities:</w:t>
      </w:r>
    </w:p>
    <w:p>
      <w:pPr>
        <w:spacing w:after="0" w:line="221" w:lineRule="exact"/>
        <w:rPr>
          <w:sz w:val="20"/>
          <w:szCs w:val="20"/>
          <w:color w:val="auto"/>
        </w:rPr>
      </w:pPr>
    </w:p>
    <w:p>
      <w:pPr>
        <w:ind w:left="520" w:right="200" w:hanging="260"/>
        <w:spacing w:after="0" w:line="233" w:lineRule="auto"/>
        <w:tabs>
          <w:tab w:leader="none" w:pos="516" w:val="left"/>
        </w:tabs>
        <w:numPr>
          <w:ilvl w:val="0"/>
          <w:numId w:val="87"/>
        </w:numPr>
        <w:rPr>
          <w:rFonts w:ascii="Arial" w:cs="Arial" w:eastAsia="Arial" w:hAnsi="Arial"/>
          <w:sz w:val="17"/>
          <w:szCs w:val="17"/>
          <w:color w:val="auto"/>
        </w:rPr>
      </w:pPr>
      <w:r>
        <w:rPr>
          <w:rFonts w:ascii="Times New Roman" w:cs="Times New Roman" w:eastAsia="Times New Roman" w:hAnsi="Times New Roman"/>
          <w:sz w:val="14"/>
          <w:szCs w:val="14"/>
          <w:color w:val="auto"/>
        </w:rPr>
        <w:t>For the 2029 Term Loan B, beginning June 30, 2024, the principal amount is required to be paid down in equal quarterly installments in an aggregate annual amount equal to 1.00% of the original principal amount, with the balance being payable on January 18, 2029. The interest rate per annum for the 2029 Term Loan B is based on a SOFR rate plus a margin of 225 basis points subsequent to the amendment on November 19, 2024, as discussed above. The interest rate associated with the outstanding balance of the 2029 Term Loan B at December 31, 2024 was 6.588%.</w:t>
      </w:r>
    </w:p>
    <w:p>
      <w:pPr>
        <w:spacing w:after="0" w:line="200" w:lineRule="exact"/>
        <w:rPr>
          <w:rFonts w:ascii="Arial" w:cs="Arial" w:eastAsia="Arial" w:hAnsi="Arial"/>
          <w:sz w:val="17"/>
          <w:szCs w:val="17"/>
          <w:color w:val="auto"/>
        </w:rPr>
      </w:pPr>
    </w:p>
    <w:p>
      <w:pPr>
        <w:ind w:left="520" w:hanging="260"/>
        <w:spacing w:after="0" w:line="232" w:lineRule="auto"/>
        <w:tabs>
          <w:tab w:leader="none" w:pos="516" w:val="left"/>
        </w:tabs>
        <w:numPr>
          <w:ilvl w:val="0"/>
          <w:numId w:val="87"/>
        </w:numPr>
        <w:rPr>
          <w:rFonts w:ascii="Arial" w:cs="Arial" w:eastAsia="Arial" w:hAnsi="Arial"/>
          <w:sz w:val="17"/>
          <w:szCs w:val="17"/>
          <w:color w:val="auto"/>
        </w:rPr>
      </w:pPr>
      <w:r>
        <w:rPr>
          <w:rFonts w:ascii="Times New Roman" w:cs="Times New Roman" w:eastAsia="Times New Roman" w:hAnsi="Times New Roman"/>
          <w:sz w:val="14"/>
          <w:szCs w:val="14"/>
          <w:color w:val="auto"/>
        </w:rPr>
        <w:t>For the previously existing 2029 Term Loan, beginning June 30, 2022, the principal amount was required to be paid down in equal quarterly installments in an aggregate annual amount equal to 1.00% of the original principal amount, with the balance being payable on January 18, 2029. The interest rate per annum for the 2029 Term Loan was based on a SOFR rate plus a margin of 325 basis points at December 31, 2023. The interest rate associated with the outstanding balance of the 2029 Term Loan at December 31, 2023 was 8.355%.</w:t>
      </w:r>
    </w:p>
    <w:p>
      <w:pPr>
        <w:spacing w:after="0" w:line="200" w:lineRule="exact"/>
        <w:rPr>
          <w:rFonts w:ascii="Arial" w:cs="Arial" w:eastAsia="Arial" w:hAnsi="Arial"/>
          <w:sz w:val="17"/>
          <w:szCs w:val="17"/>
          <w:color w:val="auto"/>
        </w:rPr>
      </w:pPr>
    </w:p>
    <w:p>
      <w:pPr>
        <w:ind w:left="520" w:hanging="260"/>
        <w:spacing w:after="0" w:line="230" w:lineRule="auto"/>
        <w:tabs>
          <w:tab w:leader="none" w:pos="516" w:val="left"/>
        </w:tabs>
        <w:numPr>
          <w:ilvl w:val="0"/>
          <w:numId w:val="87"/>
        </w:numPr>
        <w:rPr>
          <w:rFonts w:ascii="Arial" w:cs="Arial" w:eastAsia="Arial" w:hAnsi="Arial"/>
          <w:sz w:val="17"/>
          <w:szCs w:val="17"/>
          <w:color w:val="auto"/>
        </w:rPr>
      </w:pPr>
      <w:r>
        <w:rPr>
          <w:rFonts w:ascii="Times New Roman" w:cs="Times New Roman" w:eastAsia="Times New Roman" w:hAnsi="Times New Roman"/>
          <w:sz w:val="14"/>
          <w:szCs w:val="14"/>
          <w:color w:val="auto"/>
        </w:rPr>
        <w:t>For the previously existing 2026 Term Loan, beginning June 30, 2020, the principal amount was required to be paid down in equal quarterly installments in an aggregate annual amount equal to 1.00% of the original principal amount, with the balance being payable on February 8, 2026. The interest rate per annum for the 2026 Term Loan was based on a SOFR rate plus a margin of 285 basis points, inclusive of the SOFR credit spread adjustment, at December 31, 2023. The interest rate associated with the outstanding balance of the 2026 Term Loan at December 31, 2023 was 8.205%.</w:t>
      </w:r>
    </w:p>
    <w:p>
      <w:pPr>
        <w:spacing w:after="0" w:line="198" w:lineRule="exact"/>
        <w:rPr>
          <w:rFonts w:ascii="Arial" w:cs="Arial" w:eastAsia="Arial" w:hAnsi="Arial"/>
          <w:sz w:val="17"/>
          <w:szCs w:val="17"/>
          <w:color w:val="auto"/>
        </w:rPr>
      </w:pPr>
    </w:p>
    <w:p>
      <w:pPr>
        <w:ind w:left="520" w:right="40" w:hanging="260"/>
        <w:spacing w:after="0" w:line="234" w:lineRule="auto"/>
        <w:tabs>
          <w:tab w:leader="none" w:pos="558" w:val="left"/>
        </w:tabs>
        <w:numPr>
          <w:ilvl w:val="0"/>
          <w:numId w:val="87"/>
        </w:numPr>
        <w:rPr>
          <w:rFonts w:ascii="Arial" w:cs="Arial" w:eastAsia="Arial" w:hAnsi="Arial"/>
          <w:sz w:val="17"/>
          <w:szCs w:val="17"/>
          <w:color w:val="auto"/>
        </w:rPr>
      </w:pPr>
      <w:r>
        <w:rPr>
          <w:rFonts w:ascii="Times New Roman" w:cs="Times New Roman" w:eastAsia="Times New Roman" w:hAnsi="Times New Roman"/>
          <w:sz w:val="14"/>
          <w:szCs w:val="14"/>
          <w:color w:val="auto"/>
        </w:rPr>
        <w:t>Borrowings under the Revolving Facility bear interest at a rate per annum equal to SOFR plus 250 basis points, subject to a leverage-based pricing grid, at December 31, 2024 and 310 basis points over a SOFR rate, inclusive of the SOFR credit spread adjustment, at December 31, 2023. The aggregate amount available under the Revolving Facility is $850 million. The available borrowings under the Revolving Facility at December 31, 2024 and December 31, 2023 were $840.0 million and $825.0 million, respectively. The interest rates associated with the outstanding balance of the Revolving Facility at December 31, 2024 and December 31, 2023 were 6.870% and 8.462%, respectively. Initial debt issuance costs related to the Revolving Facility were included in "Other non-current assets" on the consolidated balance sheet and are amortized over the term of the Revolving Facility.</w:t>
      </w:r>
    </w:p>
    <w:p>
      <w:pPr>
        <w:sectPr>
          <w:pgSz w:w="11900" w:h="16838" w:orient="portrait"/>
          <w:cols w:equalWidth="0" w:num="1">
            <w:col w:w="11280"/>
          </w:cols>
          <w:pgMar w:left="300" w:top="409" w:right="319" w:bottom="1440" w:gutter="0" w:footer="0" w:header="0"/>
        </w:sectPr>
      </w:pPr>
    </w:p>
    <w:bookmarkStart w:id="187" w:name="page188"/>
    <w:bookmarkEnd w:id="187"/>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3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sets forth the scheduled maturities and interest payments for our total debt outstanding as of December 31, 2024:</w:t>
      </w:r>
    </w:p>
    <w:p>
      <w:pPr>
        <w:sectPr>
          <w:pgSz w:w="11900" w:h="16838" w:orient="portrait"/>
          <w:cols w:equalWidth="0" w:num="1">
            <w:col w:w="11280"/>
          </w:cols>
          <w:pgMar w:left="300" w:top="409" w:right="3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Debt principal outstanding as of December 31, 2024</w:t>
      </w:r>
    </w:p>
    <w:p>
      <w:pPr>
        <w:spacing w:after="0" w:line="23" w:lineRule="exact"/>
        <w:rPr>
          <w:sz w:val="20"/>
          <w:szCs w:val="20"/>
          <w:color w:val="auto"/>
        </w:rPr>
      </w:pPr>
    </w:p>
    <w:p>
      <w:pPr>
        <w:ind w:left="20" w:right="360"/>
        <w:spacing w:after="0" w:line="237" w:lineRule="auto"/>
        <w:rPr>
          <w:sz w:val="20"/>
          <w:szCs w:val="20"/>
          <w:color w:val="auto"/>
        </w:rPr>
      </w:pPr>
      <w:r>
        <w:rPr>
          <w:rFonts w:ascii="Times New Roman" w:cs="Times New Roman" w:eastAsia="Times New Roman" w:hAnsi="Times New Roman"/>
          <w:sz w:val="14"/>
          <w:szCs w:val="14"/>
          <w:color w:val="auto"/>
        </w:rPr>
        <w:t>Interest associated with debt outstanding as of December 31, 2024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debt and interest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4"/>
                <w:szCs w:val="14"/>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7"/>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8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$ 31.0</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$ 3,426.4</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$ 3,550.4</w:t>
            </w:r>
          </w:p>
        </w:tc>
      </w:tr>
      <w:tr>
        <w:trPr>
          <w:trHeight w:val="325"/>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927.0</w:t>
            </w:r>
          </w:p>
        </w:tc>
      </w:tr>
      <w:tr>
        <w:trPr>
          <w:trHeight w:val="171"/>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$ 256.3</w:t>
            </w: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$ 254.2</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$ 252.2</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$ 250.1</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$ 3,464.6</w:t>
            </w: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$ 4,477.4</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-477520</wp:posOffset>
            </wp:positionV>
            <wp:extent cx="7155180" cy="1212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55180" cy="12128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-147320</wp:posOffset>
            </wp:positionV>
            <wp:extent cx="7155180" cy="134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55180" cy="134620"/>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2980" w:space="100"/>
            <w:col w:w="8200"/>
          </w:cols>
          <w:pgMar w:left="300" w:top="409" w:right="319" w:bottom="1440" w:gutter="0" w:footer="0" w:header="0"/>
          <w:type w:val="continuous"/>
        </w:sectPr>
      </w:pPr>
    </w:p>
    <w:p>
      <w:pPr>
        <w:ind w:right="100" w:firstLine="350"/>
        <w:spacing w:after="0" w:line="271" w:lineRule="auto"/>
        <w:rPr>
          <w:sz w:val="20"/>
          <w:szCs w:val="20"/>
          <w:color w:val="auto"/>
        </w:rPr>
      </w:pPr>
      <w:r>
        <w:rPr>
          <w:rFonts w:ascii="Times New Roman" w:cs="Times New Roman" w:eastAsia="Times New Roman" w:hAnsi="Times New Roman"/>
          <w:sz w:val="14"/>
          <w:szCs w:val="14"/>
          <w:color w:val="auto"/>
        </w:rPr>
        <w:t>We were contingently liable under open standby letters of credit and bank guarantees issued by our banks in favor of third parties totaling $9.3 million at December 31, 2024 and $10.2 million at December 31, 2023.</w:t>
      </w:r>
    </w:p>
    <w:p>
      <w:pPr>
        <w:spacing w:after="0" w:line="146" w:lineRule="exact"/>
        <w:rPr>
          <w:sz w:val="20"/>
          <w:szCs w:val="20"/>
          <w:color w:val="auto"/>
        </w:rPr>
      </w:pPr>
    </w:p>
    <w:p>
      <w:pPr>
        <w:ind w:right="20" w:firstLine="350"/>
        <w:spacing w:after="0" w:line="254" w:lineRule="auto"/>
        <w:rPr>
          <w:sz w:val="20"/>
          <w:szCs w:val="20"/>
          <w:color w:val="auto"/>
        </w:rPr>
      </w:pPr>
      <w:r>
        <w:rPr>
          <w:rFonts w:ascii="Times New Roman" w:cs="Times New Roman" w:eastAsia="Times New Roman" w:hAnsi="Times New Roman"/>
          <w:sz w:val="14"/>
          <w:szCs w:val="14"/>
          <w:color w:val="auto"/>
        </w:rPr>
        <w:t>We entered into interest rate swaps and cross currency interest rate swaps, with various maturity dates, in order to manage the impact of interest rate changes. We had interest rate swap contracts with an aggregate notional amount of $2,750 million in effect as of December 31, 2024 and December 31, 2023, and cross-currency interest rate contracts with an aggregate notional amount of $625 million and $375 million at December 31, 2024 and December 31, 2023, respectively. See Note 10 for more detailed discussion.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Accounts Receivable Securitization Facility</w:t>
      </w:r>
    </w:p>
    <w:p>
      <w:pPr>
        <w:spacing w:after="0" w:line="223" w:lineRule="exact"/>
        <w:rPr>
          <w:sz w:val="20"/>
          <w:szCs w:val="20"/>
          <w:color w:val="auto"/>
        </w:rPr>
      </w:pPr>
    </w:p>
    <w:p>
      <w:pPr>
        <w:ind w:right="40" w:firstLine="350"/>
        <w:spacing w:after="0" w:line="257" w:lineRule="auto"/>
        <w:rPr>
          <w:sz w:val="20"/>
          <w:szCs w:val="20"/>
          <w:color w:val="auto"/>
        </w:rPr>
      </w:pPr>
      <w:r>
        <w:rPr>
          <w:rFonts w:ascii="Times New Roman" w:cs="Times New Roman" w:eastAsia="Times New Roman" w:hAnsi="Times New Roman"/>
          <w:sz w:val="14"/>
          <w:szCs w:val="14"/>
          <w:color w:val="auto"/>
        </w:rPr>
        <w:t>In September 2022, the Company entered into a three-year revolving securitization facility agreement to transfer customer receivables of one of our U.S. subsidiaries (“Originator”) through our bankruptcy-remote subsidiary (“SPE”) to a third-party financial institution (“Purchaser”) on a recurring basis in exchange for cash equal to the gross receivables transferred. In November 2024, the agreement was amended to extend the term date from September 9, 2025 to November 18, 2027. The facility had a monthly drawing limit of $215 million at both December 31, 2024 and December 31, 2023. Transfers of our U.S. accounts receivable from the SPE to the Purchaser are accounted for as a sale of financial assets, and the accounts receivable are derecognized from the consolidated financial statements, as the SPE transfers effective control and risk associated with the transferred accounts receivable. Other than collection and administrative responsibilities, the Company and related subsidiaries have no continuing involvement in the transferred accounts receivable. The accounts receivable, once sold, are no longer available to satisfy creditors of the Company or the related subsidiaries in the event of bankruptcy. These sales are transacted at the face value of the relevant accounts receivable. The future outstanding balance of trade receivables that will be sold is expected to vary based on the level of activity and other factors. The receivables sold are fully guaranteed by the SPE that also pledges further accounts receivable as collateral under this agreement. The Company controls and therefore consolidates the SPE in its consolidated financial statements.</w:t>
      </w:r>
    </w:p>
    <w:p>
      <w:pPr>
        <w:spacing w:after="0" w:line="167"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The Company derecognized accounts receivable of $828.5 million and $872.6 million for the years ended December 31, 2024 and 2023, respectively. The Company collected $828.5 million and $872.6 million of accounts receivable sold under this agreement during the years ended December 31, 2024 and 2023, respectively. Unsold accounts receivable of $95.5 million and $112.0 million were pledged by the SPE as collateral to the Purchaser as of December 31, 2024 and 2023, respectively. As of December 31, 2024 and 2023, recourse liability related to the receivables sold that has not been collected was immaterial.</w:t>
      </w:r>
    </w:p>
    <w:p>
      <w:pPr>
        <w:spacing w:after="0" w:line="162"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auto"/>
        </w:rPr>
        <w:t>Fees incurred for the facility, including fees for administrative responsibilities, were $13.8 million, $12.4 million and $3.8 million for the years ended December 31, 2024, 2023, and 2022, respectively, and were reflected within "Non-operating income (expense) – net” in the consolidated statements of operations and comprehensive income (loss).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activity related to the facility is reflected in "Net cash provided by operating activities" in the consolidated statements of cash flows.</w:t>
      </w:r>
    </w:p>
    <w:p>
      <w:pPr>
        <w:sectPr>
          <w:pgSz w:w="11900" w:h="16838" w:orient="portrait"/>
          <w:cols w:equalWidth="0" w:num="1">
            <w:col w:w="11280"/>
          </w:cols>
          <w:pgMar w:left="300" w:top="409" w:right="319" w:bottom="1440" w:gutter="0" w:footer="0" w:header="0"/>
          <w:type w:val="continuous"/>
        </w:sectPr>
      </w:pPr>
    </w:p>
    <w:bookmarkStart w:id="188" w:name="page189"/>
    <w:bookmarkEnd w:id="188"/>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Stockholders' Equity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Below is a reconciliation of our common stock issued and outstanding: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Common Shares</w:t>
            </w:r>
          </w:p>
        </w:tc>
        <w:tc>
          <w:tcPr>
            <w:tcW w:w="1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Treasury Shares</w:t>
            </w:r>
          </w:p>
        </w:tc>
        <w:tc>
          <w:tcPr>
            <w:tcW w:w="17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Common Shares Outstanding</w:t>
            </w:r>
          </w:p>
        </w:tc>
      </w:tr>
      <w:tr>
        <w:trPr>
          <w:trHeight w:val="150"/>
        </w:trPr>
        <w:tc>
          <w:tcPr>
            <w:tcW w:w="5940" w:type="dxa"/>
            <w:vAlign w:val="bottom"/>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Shares as of December 31, 2021 </w:t>
            </w:r>
            <w:r>
              <w:rPr>
                <w:rFonts w:ascii="Times New Roman" w:cs="Times New Roman" w:eastAsia="Times New Roman" w:hAnsi="Times New Roman"/>
                <w:sz w:val="14"/>
                <w:szCs w:val="14"/>
                <w:color w:val="auto"/>
                <w:vertAlign w:val="superscript"/>
              </w:rPr>
              <w:t>(1)</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432,070,999</w:t>
            </w:r>
          </w:p>
        </w:tc>
        <w:tc>
          <w:tcPr>
            <w:tcW w:w="100" w:type="dxa"/>
            <w:vAlign w:val="bottom"/>
          </w:tcPr>
          <w:p>
            <w:pPr>
              <w:spacing w:after="0"/>
              <w:rPr>
                <w:sz w:val="13"/>
                <w:szCs w:val="13"/>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(873,217)</w:t>
            </w:r>
          </w:p>
        </w:tc>
        <w:tc>
          <w:tcPr>
            <w:tcW w:w="100" w:type="dxa"/>
            <w:vAlign w:val="bottom"/>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431,197,782</w:t>
            </w:r>
          </w:p>
        </w:tc>
      </w:tr>
      <w:tr>
        <w:trPr>
          <w:trHeight w:val="15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5,335,911</w:t>
            </w:r>
          </w:p>
        </w:tc>
        <w:tc>
          <w:tcPr>
            <w:tcW w:w="1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5,335,911</w:t>
            </w:r>
          </w:p>
        </w:tc>
      </w:tr>
      <w:tr>
        <w:trPr>
          <w:trHeight w:val="153"/>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Shares forfeited for the year ended December 31, 2022</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(802,463)</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(13,703)</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(816,166)</w:t>
            </w:r>
          </w:p>
        </w:tc>
      </w:tr>
      <w:tr>
        <w:trPr>
          <w:trHeight w:val="15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as of December 31,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436,604,447</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(886,920)</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435,717,527</w:t>
            </w: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4,507,883</w:t>
            </w:r>
          </w:p>
        </w:tc>
        <w:tc>
          <w:tcPr>
            <w:tcW w:w="100" w:type="dxa"/>
            <w:vAlign w:val="bottom"/>
          </w:tcPr>
          <w:p>
            <w:pPr>
              <w:spacing w:after="0"/>
              <w:rPr>
                <w:sz w:val="13"/>
                <w:szCs w:val="13"/>
                <w:color w:val="auto"/>
              </w:rPr>
            </w:pP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4,507,883</w:t>
            </w:r>
          </w:p>
        </w:tc>
      </w:tr>
      <w:tr>
        <w:trPr>
          <w:trHeight w:val="24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Shares forfeited for the year ended December 31, 2023 </w:t>
            </w:r>
            <w:r>
              <w:rPr>
                <w:rFonts w:ascii="Times New Roman" w:cs="Times New Roman" w:eastAsia="Times New Roman" w:hAnsi="Times New Roman"/>
                <w:sz w:val="14"/>
                <w:szCs w:val="14"/>
                <w:color w:val="auto"/>
                <w:vertAlign w:val="superscript"/>
              </w:rPr>
              <w:t>(2)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(1,377,074)</w:t>
            </w: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(1,377,074)</w:t>
            </w:r>
          </w:p>
        </w:tc>
      </w:tr>
      <w:tr>
        <w:trPr>
          <w:trHeight w:val="144"/>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as of December 31, 2023</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439,735,256</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(886,920)</w:t>
            </w:r>
          </w:p>
        </w:tc>
        <w:tc>
          <w:tcPr>
            <w:tcW w:w="100" w:type="dxa"/>
            <w:vAlign w:val="bottom"/>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438,848,336</w:t>
            </w:r>
          </w:p>
        </w:tc>
      </w:tr>
      <w:tr>
        <w:trPr>
          <w:trHeight w:val="16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issued for the year ended December 31,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5,080,573</w:t>
            </w:r>
          </w:p>
        </w:tc>
        <w:tc>
          <w:tcPr>
            <w:tcW w:w="1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5,080,573</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Shares forfeited for the year ended December 31, 2024 </w:t>
            </w:r>
            <w:r>
              <w:rPr>
                <w:rFonts w:ascii="Times New Roman" w:cs="Times New Roman" w:eastAsia="Times New Roman" w:hAnsi="Times New Roman"/>
                <w:sz w:val="14"/>
                <w:szCs w:val="14"/>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(1,416,057)</w:t>
            </w:r>
          </w:p>
        </w:tc>
        <w:tc>
          <w:tcPr>
            <w:tcW w:w="100" w:type="dxa"/>
            <w:vAlign w:val="bottom"/>
          </w:tcPr>
          <w:p>
            <w:pPr>
              <w:spacing w:after="0"/>
              <w:rPr>
                <w:sz w:val="20"/>
                <w:szCs w:val="20"/>
                <w:color w:val="auto"/>
              </w:rPr>
            </w:pPr>
          </w:p>
        </w:tc>
        <w:tc>
          <w:tcPr>
            <w:tcW w:w="1800" w:type="dxa"/>
            <w:vAlign w:val="bottom"/>
            <w:gridSpan w:val="2"/>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(1,416,057)</w:t>
            </w:r>
          </w:p>
        </w:tc>
      </w:tr>
      <w:tr>
        <w:trPr>
          <w:trHeight w:val="212"/>
        </w:trPr>
        <w:tc>
          <w:tcPr>
            <w:tcW w:w="5940" w:type="dxa"/>
            <w:vAlign w:val="bottom"/>
            <w:shd w:val="clear" w:color="auto" w:fill="CCEEFF"/>
          </w:tcPr>
          <w:p>
            <w:pPr>
              <w:ind w:left="100"/>
              <w:spacing w:after="0" w:line="212" w:lineRule="exact"/>
              <w:rPr>
                <w:sz w:val="20"/>
                <w:szCs w:val="20"/>
                <w:color w:val="auto"/>
              </w:rPr>
            </w:pPr>
            <w:r>
              <w:rPr>
                <w:rFonts w:ascii="Times New Roman" w:cs="Times New Roman" w:eastAsia="Times New Roman" w:hAnsi="Times New Roman"/>
                <w:sz w:val="11"/>
                <w:szCs w:val="11"/>
                <w:color w:val="auto"/>
              </w:rPr>
              <w:t xml:space="preserve">Shares repurchased for the year ended December 31,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2"/>
                <w:szCs w:val="22"/>
                <w:color w:val="auto"/>
                <w:vertAlign w:val="superscript"/>
              </w:rPr>
              <w:t>(3)</w:t>
            </w: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1"/>
                <w:szCs w:val="11"/>
                <w:color w:val="auto"/>
              </w:rPr>
              <w:t>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(961,360)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(961,360)</w:t>
            </w:r>
          </w:p>
        </w:tc>
      </w:tr>
      <w:tr>
        <w:trPr>
          <w:trHeight w:val="144"/>
        </w:trPr>
        <w:tc>
          <w:tcPr>
            <w:tcW w:w="5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as of December 31,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443,399,772</w:t>
            </w:r>
          </w:p>
        </w:tc>
        <w:tc>
          <w:tcPr>
            <w:tcW w:w="100" w:type="dxa"/>
            <w:vAlign w:val="bottom"/>
          </w:tcPr>
          <w:p>
            <w:pPr>
              <w:spacing w:after="0"/>
              <w:rPr>
                <w:sz w:val="12"/>
                <w:szCs w:val="1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(1,848,280)</w:t>
            </w:r>
          </w:p>
        </w:tc>
        <w:tc>
          <w:tcPr>
            <w:tcW w:w="10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441,551,492</w:t>
            </w:r>
          </w:p>
        </w:tc>
      </w:tr>
      <w:tr>
        <w:trPr>
          <w:trHeight w:val="20"/>
        </w:trPr>
        <w:tc>
          <w:tcPr>
            <w:tcW w:w="59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Treasury shares as of December 31, 2021 are primarily related to the forfeiture of unvested incentive units granted prior to the IPO.</w:t>
      </w:r>
    </w:p>
    <w:p>
      <w:pPr>
        <w:spacing w:after="0" w:line="64"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shares surrendered related to payroll tax withheld for the vested restricted shares.</w:t>
      </w:r>
    </w:p>
    <w:p>
      <w:pPr>
        <w:spacing w:after="0" w:line="20"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acquired under our three-year stock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202" w:lineRule="exact"/>
        <w:rPr>
          <w:sz w:val="20"/>
          <w:szCs w:val="20"/>
          <w:color w:val="auto"/>
        </w:rPr>
      </w:pPr>
    </w:p>
    <w:p>
      <w:pPr>
        <w:ind w:right="20" w:firstLine="350"/>
        <w:spacing w:after="0" w:line="253" w:lineRule="auto"/>
        <w:rPr>
          <w:sz w:val="20"/>
          <w:szCs w:val="20"/>
          <w:color w:val="auto"/>
        </w:rPr>
      </w:pPr>
      <w:r>
        <w:rPr>
          <w:rFonts w:ascii="Times New Roman" w:cs="Times New Roman" w:eastAsia="Times New Roman" w:hAnsi="Times New Roman"/>
          <w:sz w:val="14"/>
          <w:szCs w:val="14"/>
          <w:color w:val="auto"/>
        </w:rPr>
        <w:t>On April 30, 2024, our Board of Directors authorized a three-year stock repurchase program, (the "2024 Stock Repurchase Program"), under which the Company may repurchase up to 10.0 million shares of its common stock. Purchases may be made from time to time in the open market at prevailing prices or in privately negotiated transactions through April 30, 2027. The repurchase program does not obligate the Company to acquire any specific number of shares and may be suspended or terminated at any time. During the year ended December 31, 2024 we repurchased 961,360 shares of common stock for $9.3 million, net of accrued excise tax, at an average price of $9.71 per share.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Stockholder Dividends</w:t>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dividends were declared by our Board of Directors and subsequently paid during the 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left="756"/>
              <w:spacing w:after="0"/>
              <w:rPr>
                <w:sz w:val="20"/>
                <w:szCs w:val="20"/>
                <w:color w:val="auto"/>
              </w:rPr>
            </w:pPr>
            <w:r>
              <w:rPr>
                <w:rFonts w:ascii="Times New Roman" w:cs="Times New Roman" w:eastAsia="Times New Roman" w:hAnsi="Times New Roman"/>
                <w:sz w:val="11"/>
                <w:szCs w:val="11"/>
                <w:b w:val="1"/>
                <w:bCs w:val="1"/>
                <w:color w:val="auto"/>
              </w:rPr>
              <w:t>Dividends Per Share</w:t>
            </w: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54"/>
        </w:trPr>
        <w:tc>
          <w:tcPr>
            <w:tcW w:w="2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208"/>
        </w:trPr>
        <w:tc>
          <w:tcPr>
            <w:tcW w:w="27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14"/>
                <w:szCs w:val="14"/>
                <w:b w:val="1"/>
                <w:bCs w:val="1"/>
                <w:color w:val="auto"/>
                <w:vertAlign w:val="superscript"/>
              </w:rPr>
              <w:t>(1)</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45"/>
        </w:trPr>
        <w:tc>
          <w:tcPr>
            <w:tcW w:w="2720" w:type="dxa"/>
            <w:vAlign w:val="bottom"/>
          </w:tcPr>
          <w:p>
            <w:pPr>
              <w:spacing w:after="0"/>
              <w:rPr>
                <w:sz w:val="12"/>
                <w:szCs w:val="12"/>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12"/>
                <w:szCs w:val="12"/>
                <w:color w:val="auto"/>
              </w:rPr>
            </w:pP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80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12"/>
                <w:szCs w:val="12"/>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Declared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Paid</w:t>
            </w:r>
          </w:p>
        </w:tc>
        <w:tc>
          <w:tcPr>
            <w:tcW w:w="260" w:type="dxa"/>
            <w:vAlign w:val="bottom"/>
          </w:tcPr>
          <w:p>
            <w:pPr>
              <w:spacing w:after="0"/>
              <w:rPr>
                <w:sz w:val="12"/>
                <w:szCs w:val="12"/>
                <w:color w:val="auto"/>
              </w:rPr>
            </w:pPr>
          </w:p>
        </w:tc>
      </w:tr>
      <w:tr>
        <w:trPr>
          <w:trHeight w:val="17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$ 0.05</w:t>
            </w: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Quarter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Third Quarter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r>
      <w:tr>
        <w:trPr>
          <w:trHeight w:val="18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Fourth Quarter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0.05</w:t>
            </w:r>
          </w:p>
        </w:tc>
      </w:tr>
      <w:tr>
        <w:trPr>
          <w:trHeight w:val="19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$ 0.20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0.10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hanging="240"/>
        <w:spacing w:after="0"/>
        <w:tabs>
          <w:tab w:leader="none" w:pos="500" w:val="left"/>
        </w:tabs>
        <w:numPr>
          <w:ilvl w:val="0"/>
          <w:numId w:val="8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Starting July 28, 2022, our Board of Directors declared a quarterly cash dividend of $0.05 per share of common stock.</w:t>
      </w:r>
    </w:p>
    <w:p>
      <w:pPr>
        <w:spacing w:after="0" w:line="205"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On February 6, 2025, the Board of Directors approved the declaration of a quarterly dividend of $0.05 per share of common stock, payable on March 20, 2025 to shareholders of record at the close of business on March 6, 2025. The continued payment of dividends at the rate noted above, or at all, is subject to the discretion of the Board.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Dividends accrued for restricted shares are contingent and payable upon vesting of the underlying restricted shares.</w:t>
      </w:r>
    </w:p>
    <w:p>
      <w:pPr>
        <w:sectPr>
          <w:pgSz w:w="11900" w:h="16838" w:orient="portrait"/>
          <w:cols w:equalWidth="0" w:num="1">
            <w:col w:w="11280"/>
          </w:cols>
          <w:pgMar w:left="300" w:top="409" w:right="319" w:bottom="1440" w:gutter="0" w:footer="0" w:header="0"/>
        </w:sectPr>
      </w:pPr>
    </w:p>
    <w:bookmarkStart w:id="189" w:name="page190"/>
    <w:bookmarkEnd w:id="189"/>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Accumulated Other Comprehensive Income (Loss)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accumulated balances for each component of accumulated other comprehensive income (loss) (“AOCI”):</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140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Net investment hedge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Defined benefit pension</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Cash flow hedge</w:t>
            </w:r>
          </w:p>
        </w:tc>
        <w:tc>
          <w:tcPr>
            <w:tcW w:w="1260" w:type="dxa"/>
            <w:vAlign w:val="bottom"/>
            <w:vMerge w:val="restart"/>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translation adjustments</w:t>
            </w: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plans</w:t>
            </w: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(52.6)</w:t>
            </w: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(11.9)</w:t>
            </w: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(57.1)</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56"/>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(172.3)</w:t>
            </w:r>
          </w:p>
        </w:tc>
        <w:tc>
          <w:tcPr>
            <w:tcW w:w="1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(58.1)</w:t>
            </w:r>
          </w:p>
        </w:tc>
        <w:tc>
          <w:tcPr>
            <w:tcW w:w="1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(180.0)</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(12.5)</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0" w:type="dxa"/>
            <w:vAlign w:val="bottom"/>
          </w:tcPr>
          <w:p>
            <w:pPr>
              <w:spacing w:after="0"/>
              <w:rPr>
                <w:sz w:val="1"/>
                <w:szCs w:val="1"/>
                <w:color w:val="auto"/>
              </w:rPr>
            </w:pPr>
          </w:p>
        </w:tc>
      </w:tr>
      <w:tr>
        <w:trPr>
          <w:trHeight w:val="153"/>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(55.5)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0" w:type="dxa"/>
            <w:vAlign w:val="bottom"/>
          </w:tcPr>
          <w:p>
            <w:pPr>
              <w:spacing w:after="0"/>
              <w:rPr>
                <w:sz w:val="1"/>
                <w:szCs w:val="1"/>
                <w:color w:val="auto"/>
              </w:rPr>
            </w:pPr>
          </w:p>
        </w:tc>
      </w:tr>
      <w:tr>
        <w:trPr>
          <w:trHeight w:val="181"/>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(142.5)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(62.2)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(198.7)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20" w:type="dxa"/>
            <w:vAlign w:val="bottom"/>
            <w:vMerge w:val="continue"/>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(76.2)</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45.3</w:t>
            </w:r>
          </w:p>
        </w:tc>
        <w:tc>
          <w:tcPr>
            <w:tcW w:w="10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(14.1)</w:t>
            </w: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 net of tax</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(33.9)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0" w:type="dxa"/>
            <w:vAlign w:val="bottom"/>
          </w:tcPr>
          <w:p>
            <w:pPr>
              <w:spacing w:after="0"/>
              <w:rPr>
                <w:sz w:val="1"/>
                <w:szCs w:val="1"/>
                <w:color w:val="auto"/>
              </w:rPr>
            </w:pPr>
          </w:p>
        </w:tc>
      </w:tr>
      <w:tr>
        <w:trPr>
          <w:trHeight w:val="156"/>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(218.7)</w:t>
            </w:r>
          </w:p>
        </w:tc>
        <w:tc>
          <w:tcPr>
            <w:tcW w:w="1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(62.6)</w:t>
            </w:r>
          </w:p>
        </w:tc>
        <w:tc>
          <w:tcPr>
            <w:tcW w:w="14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(246.1)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reclassifications out of AOCI:</w:t>
      </w:r>
    </w:p>
    <w:p>
      <w:pPr>
        <w:spacing w:after="0" w:line="2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1"/>
          <w:szCs w:val="11"/>
          <w:b w:val="1"/>
          <w:bCs w:val="1"/>
          <w:color w:val="auto"/>
        </w:rPr>
        <w:t>Amount reclassified from accumulated other comprehensive income (loss)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r>
      <w:tr>
        <w:trPr>
          <w:trHeight w:val="141"/>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income (loss) components</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Affected line item in the statement where net income (loss) is presented</w:t>
            </w: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12"/>
                <w:szCs w:val="12"/>
                <w:color w:val="auto"/>
              </w:rPr>
            </w:pPr>
          </w:p>
        </w:tc>
      </w:tr>
      <w:tr>
        <w:trPr>
          <w:trHeight w:val="156"/>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Defined benefit pension plans:</w:t>
            </w:r>
          </w:p>
        </w:tc>
        <w:tc>
          <w:tcPr>
            <w:tcW w:w="10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r>
      <w:tr>
        <w:trPr>
          <w:trHeight w:val="153"/>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Amortization of prior service costs</w:t>
            </w:r>
          </w:p>
        </w:tc>
        <w:tc>
          <w:tcPr>
            <w:tcW w:w="35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5"/>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actuarial gain/loss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hedge derivative:</w:t>
            </w: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4"/>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contracts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(45.8)</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(75.4)</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(13.2)</w:t>
            </w:r>
          </w:p>
        </w:tc>
      </w:tr>
      <w:tr>
        <w:trPr>
          <w:trHeight w:val="14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before tax</w:t>
            </w: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(48.0)</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(78.2)</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(13.0)</w:t>
            </w:r>
          </w:p>
        </w:tc>
      </w:tr>
      <w:tr>
        <w:trPr>
          <w:trHeight w:val="15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benefit (expense)</w:t>
            </w:r>
          </w:p>
        </w:tc>
        <w:tc>
          <w:tcPr>
            <w:tcW w:w="3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2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5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reclassifications for the period, net of tax</w:t>
            </w: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(33.3)</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(57.5)</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w:t>
            </w: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Segment Information</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segment disclosure is intended to provide the users of our consolidated financial statements with a view of the business that is consistent with management of the Company.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manage our business and report our financial results through the following two segments:</w:t>
      </w:r>
    </w:p>
    <w:p>
      <w:pPr>
        <w:spacing w:after="0" w:line="168" w:lineRule="exact"/>
        <w:rPr>
          <w:sz w:val="20"/>
          <w:szCs w:val="20"/>
          <w:color w:val="auto"/>
        </w:rPr>
      </w:pPr>
    </w:p>
    <w:p>
      <w:pPr>
        <w:ind w:left="760" w:hanging="246"/>
        <w:spacing w:after="0"/>
        <w:tabs>
          <w:tab w:leader="none" w:pos="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 America offers Finance &amp; Risk and Sales &amp; Marketing data, analytics and business insights in the United States and Canada; and</w:t>
      </w:r>
    </w:p>
    <w:p>
      <w:pPr>
        <w:spacing w:after="0" w:line="178" w:lineRule="exact"/>
        <w:rPr>
          <w:rFonts w:ascii="Times New Roman" w:cs="Times New Roman" w:eastAsia="Times New Roman" w:hAnsi="Times New Roman"/>
          <w:sz w:val="14"/>
          <w:szCs w:val="14"/>
          <w:color w:val="auto"/>
        </w:rPr>
      </w:pPr>
    </w:p>
    <w:p>
      <w:pPr>
        <w:ind w:left="760" w:right="120" w:hanging="246"/>
        <w:spacing w:after="0" w:line="319" w:lineRule="auto"/>
        <w:tabs>
          <w:tab w:leader="none" w:pos="75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offers Finance &amp; Risk and Sales &amp; Marketing data, analytics and business insights directly in the U.K., Europe, Greater China and India and indirectly through our WWN alliances.</w:t>
      </w:r>
    </w:p>
    <w:p>
      <w:pPr>
        <w:sectPr>
          <w:pgSz w:w="11900" w:h="16838" w:orient="portrait"/>
          <w:cols w:equalWidth="0" w:num="1">
            <w:col w:w="11280"/>
          </w:cols>
          <w:pgMar w:left="300" w:top="409" w:right="319" w:bottom="1440" w:gutter="0" w:footer="0" w:header="0"/>
        </w:sectPr>
      </w:pPr>
    </w:p>
    <w:bookmarkStart w:id="190" w:name="page191"/>
    <w:bookmarkEnd w:id="190"/>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5"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Our chief operating decision maker ("CODM"), who is our Chief Executive Officer, uses adjusted EBITDA as the primary profitability measure for making decisions regarding ongoing operations. We define adjusted EBITDA as net income (loss) attributable to Dun &amp; Bradstreet Holdings, Inc. excluding the following items: (i) depreciation and amortization; (ii) interest expense and income; (iii) income tax benefit or provision; (iv) other non-operating expenses or income; (v) equity in net income of affiliates; (vi) net income attributable to non-controlling interests; (vii) equity-based compensation; (viii) restructuring charges; (ix) merger and acquisition-related operating costs; (x) transition costs primarily consisting of non-recurring expenses associated with transformational and integration activities; and (xi) other adjustments include non-recurring charges such as legal expense associated with significant legal and regulatory matters and impairment charges.</w:t>
      </w:r>
    </w:p>
    <w:p>
      <w:pPr>
        <w:spacing w:after="0" w:line="36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4"/>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Segment Revenue:</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4"/>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$ 1,672.3</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$ 1,644.5</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$ 1,587.1</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709.4</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669.5</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637.5</w:t>
            </w:r>
          </w:p>
        </w:tc>
      </w:tr>
      <w:tr>
        <w:trPr>
          <w:trHeight w:val="17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$ 2,381.7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$ 2,314.0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$ 2,224.6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
        </w:trPr>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9"/>
        </w:trPr>
        <w:tc>
          <w:tcPr>
            <w:tcW w:w="78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Segment Operating Costs:</w:t>
            </w:r>
            <w:r>
              <w:rPr>
                <w:rFonts w:ascii="Times New Roman" w:cs="Times New Roman" w:eastAsia="Times New Roman" w:hAnsi="Times New Roman"/>
                <w:sz w:val="14"/>
                <w:szCs w:val="14"/>
                <w:b w:val="1"/>
                <w:bCs w:val="1"/>
                <w:color w:val="auto"/>
                <w:vertAlign w:val="superscript"/>
              </w:rPr>
              <w:t>(1)</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$ 926.5</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$ 901.2</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$ 869.1</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474.1</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454.1</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435.3</w:t>
            </w:r>
          </w:p>
        </w:tc>
      </w:tr>
      <w:tr>
        <w:trPr>
          <w:trHeight w:val="144"/>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$ 1,400.6</w:t>
            </w:r>
          </w:p>
        </w:tc>
        <w:tc>
          <w:tcPr>
            <w:tcW w:w="1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$ 1,355.3</w:t>
            </w:r>
          </w:p>
        </w:tc>
        <w:tc>
          <w:tcPr>
            <w:tcW w:w="1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$ 1,304.4</w:t>
            </w:r>
          </w:p>
        </w:tc>
      </w:tr>
      <w:tr>
        <w:trPr>
          <w:trHeight w:val="67"/>
        </w:trPr>
        <w:tc>
          <w:tcPr>
            <w:tcW w:w="7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4"/>
        </w:trPr>
        <w:tc>
          <w:tcPr>
            <w:tcW w:w="78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Segment Adjusted EBITDA:</w:t>
            </w:r>
          </w:p>
        </w:tc>
        <w:tc>
          <w:tcPr>
            <w:tcW w:w="4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r>
      <w:tr>
        <w:trPr>
          <w:trHeight w:val="164"/>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North America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$ 745.8</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$ 743.3</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$ 718.0</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International</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235.3</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w:t>
            </w:r>
          </w:p>
        </w:tc>
      </w:tr>
      <w:tr>
        <w:trPr>
          <w:trHeight w:val="175"/>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total</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$ 981.1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$ 958.7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$ 920.2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
        </w:trPr>
        <w:tc>
          <w:tcPr>
            <w:tcW w:w="7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Adjusted EBITDA:</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Segment adjusted EBITDA</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$ 981.1</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$ 958.7</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$ 920.2</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EBITDA - Corporate and Other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r>
      <w:tr>
        <w:trPr>
          <w:trHeight w:val="144"/>
        </w:trPr>
        <w:tc>
          <w:tcPr>
            <w:tcW w:w="71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 total adjusted EBITDA</w:t>
            </w: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$ 926.6</w:t>
            </w:r>
          </w:p>
        </w:tc>
        <w:tc>
          <w:tcPr>
            <w:tcW w:w="14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$ 892.2</w:t>
            </w:r>
          </w:p>
        </w:tc>
        <w:tc>
          <w:tcPr>
            <w:tcW w:w="14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$ 863.5</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(577.6)</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(587.2)</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Interest expense - net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(216.1)</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(191.0)</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income (expense) - net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Restructuring charges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15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Merger, acquisition and divestiture-related operating costs</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r>
      <w:tr>
        <w:trPr>
          <w:trHeight w:val="218"/>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xml:space="preserve">Transition costs </w:t>
            </w:r>
            <w:r>
              <w:rPr>
                <w:rFonts w:ascii="Times New Roman" w:cs="Times New Roman" w:eastAsia="Times New Roman" w:hAnsi="Times New Roman"/>
                <w:sz w:val="7"/>
                <w:szCs w:val="7"/>
                <w:color w:val="auto"/>
              </w:rPr>
              <w:t>(2)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203"/>
        </w:trPr>
        <w:tc>
          <w:tcPr>
            <w:tcW w:w="7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 xml:space="preserve">Other adjustments </w:t>
            </w:r>
            <w:r>
              <w:rPr>
                <w:rFonts w:ascii="Times New Roman" w:cs="Times New Roman" w:eastAsia="Times New Roman" w:hAnsi="Times New Roman"/>
                <w:sz w:val="7"/>
                <w:szCs w:val="7"/>
                <w:color w:val="auto"/>
              </w:rPr>
              <w:t>(3)</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59"/>
        </w:trPr>
        <w:tc>
          <w:tcPr>
            <w:tcW w:w="71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Income (loss) before income tax provision and equity in net income of affiliates</w:t>
            </w:r>
          </w:p>
        </w:tc>
        <w:tc>
          <w:tcPr>
            <w:tcW w:w="7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(61.3)</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(81.1)</w:t>
            </w: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(27.2)</w:t>
            </w:r>
          </w:p>
        </w:tc>
      </w:tr>
      <w:tr>
        <w:trPr>
          <w:trHeight w:val="144"/>
        </w:trPr>
        <w:tc>
          <w:tcPr>
            <w:tcW w:w="7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Benefit (provision) for income taxes</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65"/>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Equity in net income of affiliates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3"/>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Net income (loss) attributable to non-controlling interest</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76"/>
        </w:trPr>
        <w:tc>
          <w:tcPr>
            <w:tcW w:w="7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Net income (loss) attributable to Dun &amp; Bradstreet Holdings,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(28.6)</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(47.0)</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500" w:hanging="240"/>
        <w:spacing w:after="0"/>
        <w:tabs>
          <w:tab w:leader="none" w:pos="500"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costs primarily include personnel costs, cloud infrastructure costs and data acquisition costs. Our CODM uses consolidated expense information to manage operations.</w:t>
      </w:r>
    </w:p>
    <w:p>
      <w:pPr>
        <w:spacing w:after="0" w:line="53" w:lineRule="exact"/>
        <w:rPr>
          <w:rFonts w:ascii="Times New Roman" w:cs="Times New Roman" w:eastAsia="Times New Roman" w:hAnsi="Times New Roman"/>
          <w:sz w:val="11"/>
          <w:szCs w:val="11"/>
          <w:color w:val="auto"/>
        </w:rPr>
      </w:pPr>
    </w:p>
    <w:p>
      <w:pPr>
        <w:ind w:left="520" w:right="280" w:hanging="260"/>
        <w:spacing w:after="0" w:line="300" w:lineRule="auto"/>
        <w:tabs>
          <w:tab w:leader="none" w:pos="514"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Transition costs primarily consisting of non-recurring expenses associated with investments to transform our technology and back-office infrastructure, including investment in the architecture of our technology platforms and cloud-focused infrastructure. The transformation efforts require us to dedicate separate resources in order to develop the new cloud-based infrastructure in parallel with our current environment.</w:t>
      </w:r>
    </w:p>
    <w:p>
      <w:pPr>
        <w:spacing w:after="0" w:line="2" w:lineRule="exact"/>
        <w:rPr>
          <w:rFonts w:ascii="Times New Roman" w:cs="Times New Roman" w:eastAsia="Times New Roman" w:hAnsi="Times New Roman"/>
          <w:sz w:val="11"/>
          <w:szCs w:val="11"/>
          <w:color w:val="auto"/>
        </w:rPr>
      </w:pPr>
    </w:p>
    <w:p>
      <w:pPr>
        <w:ind w:left="520" w:right="320" w:hanging="260"/>
        <w:spacing w:after="0" w:line="280" w:lineRule="auto"/>
        <w:tabs>
          <w:tab w:leader="none" w:pos="514" w:val="left"/>
        </w:tabs>
        <w:numPr>
          <w:ilvl w:val="0"/>
          <w:numId w:val="9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Adjustments for 2024 and 2023 were primarily related to legal fees associated with ongoing legal matters discussed in Note 18 and impairment charges. Adjustments for 2022 were primarily related to non-cash purchase accounting adjustments for deferred commission cost amortization and non-recurring legal reserve adjustments related to the FTC matter.</w:t>
      </w:r>
    </w:p>
    <w:p>
      <w:pPr>
        <w:sectPr>
          <w:pgSz w:w="11900" w:h="16838" w:orient="portrait"/>
          <w:cols w:equalWidth="0" w:num="1">
            <w:col w:w="11260"/>
          </w:cols>
          <w:pgMar w:left="300" w:top="409" w:right="339" w:bottom="1440" w:gutter="0" w:footer="0" w:header="0"/>
        </w:sectPr>
      </w:pPr>
    </w:p>
    <w:bookmarkStart w:id="191" w:name="page192"/>
    <w:bookmarkEnd w:id="191"/>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r>
      <w:tr>
        <w:trPr>
          <w:trHeight w:val="15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68"/>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111.0</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160" w:type="dxa"/>
            <w:vAlign w:val="bottom"/>
          </w:tcPr>
          <w:p>
            <w:pPr>
              <w:spacing w:after="0"/>
              <w:rPr>
                <w:sz w:val="14"/>
                <w:szCs w:val="1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w:t>
            </w:r>
          </w:p>
        </w:tc>
      </w:tr>
      <w:tr>
        <w:trPr>
          <w:trHeight w:val="172"/>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137.2</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w:t>
            </w:r>
          </w:p>
        </w:tc>
      </w:tr>
      <w:tr>
        <w:trPr>
          <w:trHeight w:val="23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440.4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472.3</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500.8</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577.6</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587.2</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74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Capital expenditures: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224"/>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79"/>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7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32"/>
        </w:trPr>
        <w:tc>
          <w:tcPr>
            <w:tcW w:w="74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Additions to computer software and other intangibles: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68"/>
        </w:trPr>
        <w:tc>
          <w:tcPr>
            <w:tcW w:w="81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141.2</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161.8</w:t>
            </w:r>
          </w:p>
        </w:tc>
      </w:tr>
      <w:tr>
        <w:trPr>
          <w:trHeight w:val="172"/>
        </w:trPr>
        <w:tc>
          <w:tcPr>
            <w:tcW w:w="8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r>
      <w:tr>
        <w:trPr>
          <w:trHeight w:val="148"/>
        </w:trPr>
        <w:tc>
          <w:tcPr>
            <w:tcW w:w="74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segments</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169.8</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192.3</w:t>
            </w:r>
          </w:p>
        </w:tc>
      </w:tr>
      <w:tr>
        <w:trPr>
          <w:trHeight w:val="17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total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208.2</w:t>
            </w: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205.3</w:t>
            </w:r>
          </w:p>
        </w:tc>
      </w:tr>
      <w:tr>
        <w:trPr>
          <w:trHeight w:val="20"/>
        </w:trPr>
        <w:tc>
          <w:tcPr>
            <w:tcW w:w="7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hanging="240"/>
        <w:spacing w:after="0"/>
        <w:tabs>
          <w:tab w:leader="none" w:pos="500" w:val="left"/>
        </w:tabs>
        <w:numPr>
          <w:ilvl w:val="0"/>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Depreciation and amortization for Corporate and other includes incremental amortization resulting from the application of purchase accounting in connection with historical merger and acquisition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Geographic and Disaggregated Revenue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20" w:type="dxa"/>
            <w:vAlign w:val="bottom"/>
          </w:tcPr>
          <w:p>
            <w:pPr>
              <w:spacing w:after="0"/>
              <w:rPr>
                <w:sz w:val="13"/>
                <w:szCs w:val="13"/>
                <w:color w:val="auto"/>
              </w:rPr>
            </w:pPr>
          </w:p>
        </w:tc>
        <w:tc>
          <w:tcPr>
            <w:tcW w:w="1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$ 7,315.9</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$ 7,643.3</w:t>
            </w:r>
          </w:p>
        </w:tc>
        <w:tc>
          <w:tcPr>
            <w:tcW w:w="0" w:type="dxa"/>
            <w:vAlign w:val="bottom"/>
          </w:tcPr>
          <w:p>
            <w:pPr>
              <w:spacing w:after="0"/>
              <w:rPr>
                <w:sz w:val="1"/>
                <w:szCs w:val="1"/>
                <w:color w:val="auto"/>
              </w:rPr>
            </w:pP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1,439.8</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1,492.6</w:t>
            </w:r>
          </w:p>
        </w:tc>
        <w:tc>
          <w:tcPr>
            <w:tcW w:w="0" w:type="dxa"/>
            <w:vAlign w:val="bottom"/>
          </w:tcPr>
          <w:p>
            <w:pPr>
              <w:spacing w:after="0"/>
              <w:rPr>
                <w:sz w:val="1"/>
                <w:szCs w:val="1"/>
                <w:color w:val="auto"/>
              </w:rPr>
            </w:pP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$ 8,755.7</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$ 9,135.9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$ 2,929.6</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$ 2,929.6</w:t>
            </w:r>
          </w:p>
        </w:tc>
        <w:tc>
          <w:tcPr>
            <w:tcW w:w="0" w:type="dxa"/>
            <w:vAlign w:val="bottom"/>
          </w:tcPr>
          <w:p>
            <w:pPr>
              <w:spacing w:after="0"/>
              <w:rPr>
                <w:sz w:val="1"/>
                <w:szCs w:val="1"/>
                <w:color w:val="auto"/>
              </w:rPr>
            </w:pP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480.2</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516.2</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$ 3,409.8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$ 3,445.8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intangibles:</w:t>
            </w: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$ 3,124.3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$ 3,451.5</w:t>
            </w:r>
          </w:p>
        </w:tc>
        <w:tc>
          <w:tcPr>
            <w:tcW w:w="0" w:type="dxa"/>
            <w:vAlign w:val="bottom"/>
          </w:tcPr>
          <w:p>
            <w:pPr>
              <w:spacing w:after="0"/>
              <w:rPr>
                <w:sz w:val="1"/>
                <w:szCs w:val="1"/>
                <w:color w:val="auto"/>
              </w:rPr>
            </w:pPr>
          </w:p>
        </w:tc>
      </w:tr>
      <w:tr>
        <w:trPr>
          <w:trHeight w:val="172"/>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0" w:type="dxa"/>
            <w:vAlign w:val="bottom"/>
          </w:tcPr>
          <w:p>
            <w:pPr>
              <w:spacing w:after="0"/>
              <w:rPr>
                <w:sz w:val="1"/>
                <w:szCs w:val="1"/>
                <w:color w:val="auto"/>
              </w:rPr>
            </w:pPr>
          </w:p>
        </w:tc>
      </w:tr>
      <w:tr>
        <w:trPr>
          <w:trHeight w:val="158"/>
        </w:trPr>
        <w:tc>
          <w:tcPr>
            <w:tcW w:w="8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$ 3,506.8</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$ 3,915.9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7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Other long-lived assets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 America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$ 964.2</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$ 891.6</w:t>
            </w:r>
          </w:p>
        </w:tc>
        <w:tc>
          <w:tcPr>
            <w:tcW w:w="0" w:type="dxa"/>
            <w:vAlign w:val="bottom"/>
          </w:tcPr>
          <w:p>
            <w:pPr>
              <w:spacing w:after="0"/>
              <w:rPr>
                <w:sz w:val="1"/>
                <w:szCs w:val="1"/>
                <w:color w:val="auto"/>
              </w:rPr>
            </w:pPr>
          </w:p>
        </w:tc>
      </w:tr>
      <w:tr>
        <w:trPr>
          <w:trHeight w:val="168"/>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221.6</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$ 1,185.8</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$ 1,100.7</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long-lived assets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720" w:type="dxa"/>
            <w:vAlign w:val="bottom"/>
            <w:vMerge w:val="continue"/>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$ 8,102.4</w:t>
            </w: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$ 8,462.4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20" w:right="320" w:hanging="260"/>
        <w:spacing w:after="0" w:line="320" w:lineRule="auto"/>
        <w:tabs>
          <w:tab w:leader="none" w:pos="514" w:val="left"/>
        </w:tabs>
        <w:numPr>
          <w:ilvl w:val="0"/>
          <w:numId w:val="9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deferred income tax of $2.9 million and $17.2 million as of December 31, 2024 and December 31, 2023, respectively, included within "Other non-current assets" in the consolidated balance sheet. See Note 8 for additional details.</w:t>
      </w:r>
    </w:p>
    <w:p>
      <w:pPr>
        <w:sectPr>
          <w:pgSz w:w="11900" w:h="16838" w:orient="portrait"/>
          <w:cols w:equalWidth="0" w:num="1">
            <w:col w:w="11280"/>
          </w:cols>
          <w:pgMar w:left="300" w:top="409" w:right="319" w:bottom="1440" w:gutter="0" w:footer="0" w:header="0"/>
        </w:sectPr>
      </w:pPr>
    </w:p>
    <w:bookmarkStart w:id="192" w:name="page193"/>
    <w:bookmarkEnd w:id="192"/>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3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0" w:type="dxa"/>
            <w:vAlign w:val="bottom"/>
            <w:tcBorders>
              <w:bottom w:val="single" w:sz="8" w:color="auto"/>
            </w:tcBorders>
          </w:tcPr>
          <w:p>
            <w:pPr>
              <w:spacing w:after="0"/>
              <w:rPr>
                <w:sz w:val="11"/>
                <w:szCs w:val="11"/>
                <w:color w:val="auto"/>
              </w:rPr>
            </w:pPr>
          </w:p>
        </w:tc>
      </w:tr>
      <w:tr>
        <w:trPr>
          <w:trHeight w:val="17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Disaggregated Revenue:</w:t>
            </w:r>
            <w:r>
              <w:rPr>
                <w:rFonts w:ascii="Times New Roman" w:cs="Times New Roman" w:eastAsia="Times New Roman" w:hAnsi="Times New Roman"/>
                <w:sz w:val="8"/>
                <w:szCs w:val="8"/>
                <w:b w:val="1"/>
                <w:bCs w:val="1"/>
                <w:color w:val="auto"/>
              </w:rPr>
              <w:t>(1)</w:t>
            </w: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92"/>
        </w:trPr>
        <w:tc>
          <w:tcPr>
            <w:tcW w:w="7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44"/>
        </w:trPr>
        <w:tc>
          <w:tcPr>
            <w:tcW w:w="7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North America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$ 891.0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$ 888.1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$ 866.9</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756.4</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720.2</w:t>
            </w:r>
          </w:p>
        </w:tc>
      </w:tr>
      <w:tr>
        <w:trPr>
          <w:trHeight w:val="163"/>
        </w:trPr>
        <w:tc>
          <w:tcPr>
            <w:tcW w:w="7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North America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$ 1,672.3</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$ 1,644.5</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$ 1,587.1</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International:</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$ 484.5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$ 448.6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$ 419.1</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218.4</w:t>
            </w:r>
          </w:p>
        </w:tc>
      </w:tr>
      <w:tr>
        <w:trPr>
          <w:trHeight w:val="163"/>
        </w:trPr>
        <w:tc>
          <w:tcPr>
            <w:tcW w:w="7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International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$ 709.4</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$ 669.5</w:t>
            </w:r>
          </w:p>
        </w:tc>
        <w:tc>
          <w:tcPr>
            <w:tcW w:w="1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$ 637.5</w:t>
            </w:r>
          </w:p>
        </w:tc>
      </w:tr>
      <w:tr>
        <w:trPr>
          <w:trHeight w:val="148"/>
        </w:trPr>
        <w:tc>
          <w:tcPr>
            <w:tcW w:w="7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Revenue:</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&amp; Risk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$ 1,375.5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$ 1,336.7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$ 1,286.0</w:t>
            </w:r>
          </w:p>
        </w:tc>
      </w:tr>
      <w:tr>
        <w:trPr>
          <w:trHeight w:val="16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Sales &amp; Marketing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1,006.2</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938.6</w:t>
            </w:r>
          </w:p>
        </w:tc>
      </w:tr>
      <w:tr>
        <w:trPr>
          <w:trHeight w:val="185"/>
        </w:trPr>
        <w:tc>
          <w:tcPr>
            <w:tcW w:w="73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Revenue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$ 2,381.7</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$ 2,314.0</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$ 2,224.6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hanging="240"/>
        <w:spacing w:after="0"/>
        <w:tabs>
          <w:tab w:leader="none" w:pos="500" w:val="left"/>
        </w:tabs>
        <w:numPr>
          <w:ilvl w:val="1"/>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client solution sets are Finance &amp; Risk and Sales &amp; Marketing. Inter-segment sales are immaterial, and no single client accounted for 10% or more of our total revenue.</w:t>
      </w:r>
    </w:p>
    <w:p>
      <w:pPr>
        <w:spacing w:after="0" w:line="75"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9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Substantially all of the North America revenue is attributable to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Contingencies</w:t>
      </w:r>
    </w:p>
    <w:p>
      <w:pPr>
        <w:spacing w:after="0" w:line="181"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67"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62"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45"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ectPr>
          <w:pgSz w:w="11900" w:h="16838" w:orient="portrait"/>
          <w:cols w:equalWidth="0" w:num="1">
            <w:col w:w="11280"/>
          </w:cols>
          <w:pgMar w:left="300" w:top="409" w:right="319" w:bottom="1440" w:gutter="0" w:footer="0" w:header="0"/>
        </w:sectPr>
      </w:pPr>
    </w:p>
    <w:bookmarkStart w:id="193" w:name="page194"/>
    <w:bookmarkEnd w:id="193"/>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Right of Publicity Class Actions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DeBose v. Dun &amp; Bradstreet Holdings, Inc., No. 2:22-cv-00209-ES-CLW (D.N.J.)</w:t>
      </w:r>
    </w:p>
    <w:p>
      <w:pPr>
        <w:spacing w:after="0" w:line="191" w:lineRule="exact"/>
        <w:rPr>
          <w:sz w:val="20"/>
          <w:szCs w:val="20"/>
          <w:color w:val="auto"/>
        </w:rPr>
      </w:pPr>
    </w:p>
    <w:p>
      <w:pPr>
        <w:ind w:right="140" w:firstLine="350"/>
        <w:spacing w:after="0" w:line="248" w:lineRule="auto"/>
        <w:rPr>
          <w:sz w:val="20"/>
          <w:szCs w:val="20"/>
          <w:color w:val="auto"/>
        </w:rPr>
      </w:pPr>
      <w:r>
        <w:rPr>
          <w:rFonts w:ascii="Times New Roman" w:cs="Times New Roman" w:eastAsia="Times New Roman" w:hAnsi="Times New Roman"/>
          <w:sz w:val="14"/>
          <w:szCs w:val="14"/>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 name or likeness. On March 30, 2022, the Company filed a motion to dismiss the Complaint. The Court has heard oral argument on the motion to dismiss on September 12, 2024 and the parties are awaiting a decision. Discovery is ongoing.</w:t>
      </w:r>
    </w:p>
    <w:p>
      <w:pPr>
        <w:spacing w:after="0" w:line="152"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4"/>
          <w:szCs w:val="14"/>
          <w:color w:val="auto"/>
        </w:rPr>
        <w:t>In accordance with ASC 450 Contingencies, the Company is continuing to defend the claims and evaluate any potential exposure; however, at this time we have no basis to determine that a loss in connection with this matter is both probable and reasonably estimable, and thus no reserve has been established.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Batis v. Dun &amp; Bradstreet Holdings, Inc., No. 4:22-cv-01924-AGT (N.D.Cal.)</w:t>
      </w:r>
    </w:p>
    <w:p>
      <w:pPr>
        <w:spacing w:after="0" w:line="191"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4"/>
          <w:szCs w:val="14"/>
          <w:color w:val="auto"/>
        </w:rPr>
        <w:t xml:space="preserve">On March 25, 2022, Plaintiff Odette R. Batis filed a Class Action Complaint against the Company, alleging that the Company used the purported class members’ names and personas to promote paid subscriptions to the Company’s Hoovers product website without consent, in violation of the California right of publicity statute, California common law prohibiting misappropriation of a name or likeness and California’s Unfair Competition Law. On June 30, 2022, the Company filed a motion to dismiss the Complaint pursuant to California’s anti-SLAPP statute. On February 10, 2023, the District Court denied the motion to dismiss. The decision was subject to an automatic right of appeal, and the Company has appealed the matter to the Ninth Circuit. On January 18, 2024, the Ninth Circuit affirmed the district court’s determination that the anti-SLAPP statute does not apply. On February 1, 2024, D&amp;B filed a petition for rehearing or rehearing en banc seeking to vacate the Ninth Circuit ruling. Subsequently, on February 15, 2024, the Ninth Circuit issued an order stating that the petition will be held in abeyance pending the resolution of en banc rehearing of another similar case pending before the Ninth Circuit, </w:t>
      </w:r>
      <w:r>
        <w:rPr>
          <w:rFonts w:ascii="Times New Roman" w:cs="Times New Roman" w:eastAsia="Times New Roman" w:hAnsi="Times New Roman"/>
          <w:sz w:val="16"/>
          <w:szCs w:val="16"/>
          <w:i w:val="1"/>
          <w:iCs w:val="1"/>
          <w:color w:val="auto"/>
        </w:rPr>
        <w:t>Martinez v. ZoomInfo Technologies, Inc</w:t>
      </w:r>
      <w:r>
        <w:rPr>
          <w:rFonts w:ascii="Times New Roman" w:cs="Times New Roman" w:eastAsia="Times New Roman" w:hAnsi="Times New Roman"/>
          <w:sz w:val="14"/>
          <w:szCs w:val="14"/>
          <w:color w:val="auto"/>
        </w:rPr>
        <w:t>. (</w:t>
      </w:r>
      <w:r>
        <w:rPr>
          <w:rFonts w:ascii="Times New Roman" w:cs="Times New Roman" w:eastAsia="Times New Roman" w:hAnsi="Times New Roman"/>
          <w:sz w:val="16"/>
          <w:szCs w:val="16"/>
          <w:i w:val="1"/>
          <w:iCs w:val="1"/>
          <w:color w:val="auto"/>
        </w:rPr>
        <w:t>“Martinez”</w:t>
      </w:r>
      <w:r>
        <w:rPr>
          <w:rFonts w:ascii="Times New Roman" w:cs="Times New Roman" w:eastAsia="Times New Roman" w:hAnsi="Times New Roman"/>
          <w:sz w:val="14"/>
          <w:szCs w:val="14"/>
          <w:color w:val="auto"/>
        </w:rPr>
        <w:t xml:space="preserve">). On March 1, 2024, the Ninth Circuit vacated the en banc rehearing in the </w:t>
      </w:r>
      <w:r>
        <w:rPr>
          <w:rFonts w:ascii="Times New Roman" w:cs="Times New Roman" w:eastAsia="Times New Roman" w:hAnsi="Times New Roman"/>
          <w:sz w:val="16"/>
          <w:szCs w:val="16"/>
          <w:i w:val="1"/>
          <w:iCs w:val="1"/>
          <w:color w:val="auto"/>
        </w:rPr>
        <w:t>Martinez</w:t>
      </w:r>
      <w:r>
        <w:rPr>
          <w:rFonts w:ascii="Times New Roman" w:cs="Times New Roman" w:eastAsia="Times New Roman" w:hAnsi="Times New Roman"/>
          <w:sz w:val="14"/>
          <w:szCs w:val="14"/>
          <w:color w:val="auto"/>
        </w:rPr>
        <w:t xml:space="preserve"> case and continued to hold D&amp;B’s Petition for Rehearing in abeyance. On July 8, 2024, the Ninth Circuit granted D&amp;B’s Petition for Rehearing, withdrew its January 18, 2024 disposition and issued a new opinion and order affirming the district court’s determination that the anti-SLAPP statute does not apply. On July 30, 2024, a mandate was issued in the Ninth Circuit and the case has returned to the District Court. On September 27, 2024, the Company filed its Answer in the District Court, denying liability and asserting affirmative defenses. Discovery has now commenced in the District Court.</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4"/>
          <w:szCs w:val="14"/>
          <w:color w:val="auto"/>
        </w:rPr>
        <w:t>In accordance with ASC 450 Contingencies, the Company is continuing to defend the claims and evaluate any potential exposure; however, at this time we have no basis to determine that a loss in connection with this matter is both probable and reasonably estimable, and thus no reserve has been established.</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FTC Matter</w:t>
      </w:r>
    </w:p>
    <w:p>
      <w:pPr>
        <w:spacing w:after="0" w:line="191"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On September 21, 2021, we agreed to enter into an Agreement Containing Consent Order (the “FTC Consent Order”) subject to acceptance by the FTC, the approval of which was finalized on April 6, 2022. The FTC Consent Order requires that we undertake specific compliance practices, recordkeeping, monitoring and reporting during its term, which ends on April 6, 2042. Our compliance with the FTC Consent Order may cause us to incur significant expenses or to reduce the availability or effectiveness of our solutions. Failure to comply with the FTC Consent Order could subject us to civil or criminal penalties or other liabilities.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As required by the Consent Order, the Company has provided regular reporting to the FTC regarding its compliance with the Consent Order and timely complied with and responded to all FTC requests for information. In November 2024, the FTC sent the Company notice regarding alleged violations of the Consent Order and a potential FTC enforcement action. The Company is discussing a potential resolution of the matter with the FTC.</w:t>
      </w:r>
    </w:p>
    <w:p>
      <w:pPr>
        <w:spacing w:after="0" w:line="15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accordance with ASC 450 Contingencies, at this time, the Company has no basis to determine that a loss in connection with this matter is both probable and reasonably estimable, and thus no reserve has been established.</w:t>
      </w:r>
    </w:p>
    <w:p>
      <w:pPr>
        <w:sectPr>
          <w:pgSz w:w="11900" w:h="16838" w:orient="portrait"/>
          <w:cols w:equalWidth="0" w:num="1">
            <w:col w:w="11260"/>
          </w:cols>
          <w:pgMar w:left="300" w:top="409" w:right="339" w:bottom="1440" w:gutter="0" w:footer="0" w:header="0"/>
        </w:sectPr>
      </w:pPr>
    </w:p>
    <w:bookmarkStart w:id="194" w:name="page195"/>
    <w:bookmarkEnd w:id="194"/>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Related Parties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describes certain transactions and agreements in which the Company and our affiliates, executive officers and certain directors are involved.</w:t>
      </w:r>
    </w:p>
    <w:p>
      <w:pPr>
        <w:spacing w:after="0" w:line="200"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2024, 2023 and 2022, a significant portion of D&amp;B common stock was collectively held by entities affiliated with Bilcar, LLC ("Bilcar"), Thomas H. Lee Partners, L.P. ("THL"), Cannae Holdings, Inc. ("Cannae Holdings"), and CC Capital Partners LLC ("CC Capital"), and for the six months ended June 30, 2023 and year ended December 31, 2022 only, Black Knight, Inc. (("Black Knight") and, together with Bilcar, THL, Cannae Holdings and CC Capital, the "Investor Consortium"). In addition, the Investor Consortium was able to exercise significant voting influence over fundamental and significant corporate matters and transactions by their agreement to vote in favor of the election of five members of our board of directors, which expired on June 30, 2023. Upon the expiration of the voting agreement on June 30, 2023, Black Knight and CC Capital are no longer considered to be related parties.</w:t>
      </w:r>
    </w:p>
    <w:p>
      <w:pPr>
        <w:spacing w:after="0" w:line="154" w:lineRule="exact"/>
        <w:rPr>
          <w:sz w:val="20"/>
          <w:szCs w:val="20"/>
          <w:color w:val="auto"/>
        </w:rPr>
      </w:pPr>
    </w:p>
    <w:p>
      <w:pPr>
        <w:ind w:right="20" w:firstLine="350"/>
        <w:spacing w:after="0" w:line="242" w:lineRule="auto"/>
        <w:rPr>
          <w:sz w:val="20"/>
          <w:szCs w:val="20"/>
          <w:color w:val="auto"/>
        </w:rPr>
      </w:pPr>
      <w:r>
        <w:rPr>
          <w:rFonts w:ascii="Times New Roman" w:cs="Times New Roman" w:eastAsia="Times New Roman" w:hAnsi="Times New Roman"/>
          <w:sz w:val="14"/>
          <w:szCs w:val="14"/>
          <w:color w:val="auto"/>
        </w:rPr>
        <w:t>Our Chief Executive Officer Anthony Jabbour also served as the Chairman and Chief Executive Officer of Black Knight until May 16, 2022, at which time he transitioned to the role of Executive Chairman of the board of directors of Black Knight. Following the acquisition of Black Knight by Intercontinental Exchange, Inc. ("ICE") in September 2023, Mr. Jabbour resigned from his position as Executive Chairman of Black Knight. Mr. Jabbour is also a member of the board of directors of Paysafe Limited ("Paysafe"), which is an investment held by Cannae Holdings and accounted for as an equity investment. Additionally, William P. Foley, II, our Executive Chairman, also previously served as non-executive Chairman of Cannae Holdings and, since February 10, 2024, has served as Chairman, Chief Executive Officer and Chief Investment Officer of Cannae Holdings. Further, our director Richard N. Massey previously served as Chief Executive Officer and a director of Cannae Holdings until February 10, 2024, and as Vice Chairman and a director until June 19, 2024, on which date Mr. Massey ceased to serve as an executive or a director of Cannae Holdings.</w:t>
      </w:r>
    </w:p>
    <w:p>
      <w:pPr>
        <w:spacing w:after="0" w:line="169" w:lineRule="exact"/>
        <w:rPr>
          <w:sz w:val="20"/>
          <w:szCs w:val="20"/>
          <w:color w:val="auto"/>
        </w:rPr>
      </w:pPr>
    </w:p>
    <w:p>
      <w:pPr>
        <w:jc w:val="both"/>
        <w:ind w:firstLine="350"/>
        <w:spacing w:after="0" w:line="246" w:lineRule="auto"/>
        <w:rPr>
          <w:sz w:val="20"/>
          <w:szCs w:val="20"/>
          <w:color w:val="auto"/>
        </w:rPr>
      </w:pPr>
      <w:r>
        <w:rPr>
          <w:rFonts w:ascii="Times New Roman" w:cs="Times New Roman" w:eastAsia="Times New Roman" w:hAnsi="Times New Roman"/>
          <w:sz w:val="14"/>
          <w:szCs w:val="14"/>
          <w:color w:val="auto"/>
        </w:rPr>
        <w:t>In December 2022, Paysafe signed a 63-month lease agreement with D&amp;B for the occupancy of the fourth floor of our headquarters building in Jacksonville, Florida. Total rental payments over the lease term will aggregate to $4.2 million. We recognized expense credit of $1.3 million and $0.6 million for the years ended December 31, 2024 and 2023, respectively. We recorded $0.2 million within "Other current assets" as of December 31, 2023 and $0.1 million within "Other non-current liabilities" as of both December 31, 2024 and 2023.</w:t>
      </w:r>
    </w:p>
    <w:p>
      <w:pPr>
        <w:spacing w:after="0" w:line="163" w:lineRule="exact"/>
        <w:rPr>
          <w:sz w:val="20"/>
          <w:szCs w:val="20"/>
          <w:color w:val="auto"/>
        </w:rPr>
      </w:pPr>
    </w:p>
    <w:p>
      <w:pPr>
        <w:ind w:right="100" w:firstLine="350"/>
        <w:spacing w:after="0" w:line="242" w:lineRule="auto"/>
        <w:rPr>
          <w:sz w:val="20"/>
          <w:szCs w:val="20"/>
          <w:color w:val="auto"/>
        </w:rPr>
      </w:pPr>
      <w:r>
        <w:rPr>
          <w:rFonts w:ascii="Times New Roman" w:cs="Times New Roman" w:eastAsia="Times New Roman" w:hAnsi="Times New Roman"/>
          <w:sz w:val="14"/>
          <w:szCs w:val="14"/>
          <w:color w:val="auto"/>
        </w:rPr>
        <w:t>In June 2021, we entered into a five-year agreement with Black Knight. Pursuant to the agreement, D&amp;B will receive total data license fees of approximately $24 million over a five-year period. Also over the five-year period, Black Knight is engaged to provide certain products and data, as well as professional services for an aggregate fee of approximately $34 million. In addition, D&amp;B and Black Knight will jointly market certain solutions and data. The agreement was approved by our Audit Committee. We incurred related party expenses of $1.0 million and $2.0 million for the six months ended June 30, 2023, and for the year ended December 31, 2022, respectively. We recorded related party revenue of $3.4 million and $4.6 million for the six months ended June 30, 2023, and the year ended December 31, 2022, respectively. We included payments to Black Knight of $2.7 million within "Other prepaids" at December 31, 2022. We included a receivable from Black Knight of $0.8 million within "Accounts receivable" and a liability to Black Knight of $2.6 million, of which $0.9 million was within "Other accrued and current liabilities" and $1.7 million was within "Other non-current liabilities" at December 31, 2022.</w:t>
      </w:r>
    </w:p>
    <w:p>
      <w:pPr>
        <w:spacing w:after="0" w:line="169" w:lineRule="exact"/>
        <w:rPr>
          <w:sz w:val="20"/>
          <w:szCs w:val="20"/>
          <w:color w:val="auto"/>
        </w:rPr>
      </w:pPr>
    </w:p>
    <w:p>
      <w:pPr>
        <w:ind w:right="40" w:firstLine="350"/>
        <w:spacing w:after="0" w:line="241" w:lineRule="auto"/>
        <w:rPr>
          <w:sz w:val="20"/>
          <w:szCs w:val="20"/>
          <w:color w:val="auto"/>
        </w:rPr>
      </w:pPr>
      <w:r>
        <w:rPr>
          <w:rFonts w:ascii="Times New Roman" w:cs="Times New Roman" w:eastAsia="Times New Roman" w:hAnsi="Times New Roman"/>
          <w:sz w:val="14"/>
          <w:szCs w:val="14"/>
          <w:color w:val="auto"/>
        </w:rPr>
        <w:t>In September 2021, we entered into a 10-year agreement with Paysafe. Pursuant to the agreement, D&amp;B provides data license and risk management solution services to Paysafe. The agreement is cancellable by either party without penalty at each annual anniversary of the contract effective date by providing written notice not less than 90 days prior to the anniversary date. In March 2024, we entered into an additional three-year agreement with Paysafe, pursuant to which D&amp;B will provide Paysafe marketing solutions. Both agreements were approved by our Audit Committee. In connection with the agreements associated with Paysafe, we recognized revenue of $11.1 million, $10.5 million and $10.4 million for the years ended December 31, 2024, 2023 and 2022, respectively. As of December 31, 2024 and 2023, we included a receivable from Paysafe of $3.5 million and $3.4 million, respectively, within "Accounts receivable."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the normal course of business, we reimburse affiliates for certain travel costs incurred by Dun &amp; Bradstreet Holdings, Inc. executives and board members.</w:t>
      </w:r>
    </w:p>
    <w:p>
      <w:pPr>
        <w:sectPr>
          <w:pgSz w:w="11900" w:h="16838" w:orient="portrait"/>
          <w:cols w:equalWidth="0" w:num="1">
            <w:col w:w="11260"/>
          </w:cols>
          <w:pgMar w:left="300" w:top="409" w:right="339" w:bottom="1440" w:gutter="0" w:footer="0" w:header="0"/>
        </w:sectPr>
      </w:pPr>
    </w:p>
    <w:bookmarkStart w:id="195" w:name="page196"/>
    <w:bookmarkEnd w:id="195"/>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(Tabular dollar amounts, except share data and per share data, in millions)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Contractual Obligations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Technology, Data and Other Service Agreements</w:t>
      </w:r>
    </w:p>
    <w:p>
      <w:pPr>
        <w:spacing w:after="0" w:line="16" w:lineRule="exact"/>
        <w:rPr>
          <w:sz w:val="20"/>
          <w:szCs w:val="20"/>
          <w:color w:val="auto"/>
        </w:rPr>
      </w:pPr>
    </w:p>
    <w:p>
      <w:pPr>
        <w:ind w:right="120" w:firstLine="318"/>
        <w:spacing w:after="0" w:line="235" w:lineRule="auto"/>
        <w:rPr>
          <w:sz w:val="20"/>
          <w:szCs w:val="20"/>
          <w:color w:val="auto"/>
        </w:rPr>
      </w:pPr>
      <w:r>
        <w:rPr>
          <w:rFonts w:ascii="Times New Roman" w:cs="Times New Roman" w:eastAsia="Times New Roman" w:hAnsi="Times New Roman"/>
          <w:sz w:val="14"/>
          <w:szCs w:val="14"/>
          <w:color w:val="auto"/>
        </w:rPr>
        <w:t>We have various contractual commitments in the normal course of business primarily related to information technology and data processing service, technology support for product application development and global system maintenance. The purchase obligation as of December 31, 2024 is approximately $1,545 million.</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Worldwide Network Alliance Agreements</w:t>
      </w:r>
    </w:p>
    <w:p>
      <w:pPr>
        <w:spacing w:after="0" w:line="25"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We have entered into commercial service agreements with our third-party Worldwide Network Alliances with various terms ranging from five to 10 years. These agreements provide us access to certain international data and services from our partners in order to serve our global clients. At December 31, 2024, total payments to our Worldwide Network Alliances over the remaining terms of all agreements aggregate to approximately $672 million.</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quantifies our future contractual obligations as discussed above as of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5"/>
                <w:szCs w:val="15"/>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0"/>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to purchase obligations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2,216.6</w:t>
            </w:r>
          </w:p>
        </w:tc>
      </w:tr>
    </w:tbl>
    <w:p>
      <w:pPr>
        <w:spacing w:after="0" w:line="240" w:lineRule="exact"/>
        <w:rPr>
          <w:sz w:val="20"/>
          <w:szCs w:val="20"/>
          <w:color w:val="auto"/>
        </w:rPr>
      </w:pPr>
    </w:p>
    <w:p>
      <w:pPr>
        <w:ind w:right="320" w:firstLine="350"/>
        <w:spacing w:after="0" w:line="270" w:lineRule="auto"/>
        <w:rPr>
          <w:sz w:val="20"/>
          <w:szCs w:val="20"/>
          <w:color w:val="auto"/>
        </w:rPr>
      </w:pPr>
      <w:r>
        <w:rPr>
          <w:rFonts w:ascii="Times New Roman" w:cs="Times New Roman" w:eastAsia="Times New Roman" w:hAnsi="Times New Roman"/>
          <w:sz w:val="14"/>
          <w:szCs w:val="14"/>
          <w:color w:val="auto"/>
        </w:rPr>
        <w:t>The table above excludes our obligations with respect to debt, accounts receivable securitization facility, leases, contingent liabilities, unrecognized tax benefits and pension obligations for which funding requirements are uncertain. Our obligations with respect to debt, accounts receivable securitization facility, leases, contingent liabilities, unrecognized tax benefits, and pension obligations are described in Notes 13, 14, 12, 18, 8 and 7, respectively, to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w:t>
      </w:r>
    </w:p>
    <w:p>
      <w:pPr>
        <w:spacing w:after="0" w:line="223"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color w:val="auto"/>
        </w:rPr>
        <w:t>On February 6, 2025, our Board of Directors declared a quarterly cash dividend of $0.05 per share of common stock. The dividend will be payable on March 20, 2025, to shareholders of record as of March 6, 2025.</w:t>
      </w:r>
    </w:p>
    <w:sectPr>
      <w:pgSz w:w="11900" w:h="16838" w:orient="portrait"/>
      <w:cols w:equalWidth="0" w:num="1">
        <w:col w:w="11280"/>
      </w:cols>
      <w:pgMar w:left="300" w:top="4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lowerRoman"/>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amp;"/>
      <w:numFmt w:val="bullet"/>
      <w:start w:val="1"/>
    </w:lvl>
  </w:abstractNum>
  <w:abstractNum w:abstractNumId="10">
    <w:nsid w:val="70C6A529"/>
    <w:multiLevelType w:val="hybridMultilevel"/>
    <w:lvl w:ilvl="0">
      <w:lvlJc w:val="left"/>
      <w:lvlText w:val="•"/>
      <w:numFmt w:val="bullet"/>
      <w:start w:val="1"/>
    </w:lvl>
    <w:lvl w:ilvl="1">
      <w:lvlJc w:val="left"/>
      <w:lvlText w:val="◦"/>
      <w:numFmt w:val="bullet"/>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lvl w:ilvl="1">
      <w:lvlJc w:val="left"/>
      <w:lvlText w:val="%2"/>
      <w:numFmt w:val="decimal"/>
      <w:start w:val="104"/>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4"/>
    </w:lvl>
  </w:abstractNum>
  <w:abstractNum w:abstractNumId="17">
    <w:nsid w:val="39386575"/>
    <w:multiLevelType w:val="hybridMultilevel"/>
    <w:lvl w:ilvl="0">
      <w:lvlJc w:val="left"/>
      <w:lvlText w:val="%1."/>
      <w:numFmt w:val="decimal"/>
      <w:start w:val="1"/>
    </w:lvl>
    <w:lvl w:ilvl="1">
      <w:lvlJc w:val="left"/>
      <w:lvlText w:val="•"/>
      <w:numFmt w:val="bullet"/>
      <w:start w:val="1"/>
    </w:lvl>
  </w:abstractNum>
  <w:abstractNum w:abstractNumId="18">
    <w:nsid w:val="1CF10FD8"/>
    <w:multiLevelType w:val="hybridMultilevel"/>
    <w:lvl w:ilvl="0">
      <w:lvlJc w:val="left"/>
      <w:lvlText w:val="%1."/>
      <w:numFmt w:val="decimal"/>
      <w:start w:val="2"/>
    </w:lvl>
    <w:lvl w:ilvl="1">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decimal"/>
      <w:start w:val="4"/>
    </w:lvl>
    <w:lvl w:ilvl="1">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8"/>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2"/>
    </w:lvl>
  </w:abstractNum>
  <w:abstractNum w:abstractNumId="29">
    <w:nsid w:val="7E0C57B1"/>
    <w:multiLevelType w:val="hybridMultilevel"/>
    <w:lvl w:ilvl="0">
      <w:lvlJc w:val="left"/>
      <w:lvlText w:val="%1."/>
      <w:numFmt w:val="decimal"/>
      <w:start w:val="3"/>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4"/>
    </w:lvl>
  </w:abstractNum>
  <w:abstractNum w:abstractNumId="32">
    <w:nsid w:val="310C50B3"/>
    <w:multiLevelType w:val="hybridMultilevel"/>
    <w:lvl w:ilvl="0">
      <w:lvlJc w:val="left"/>
      <w:lvlText w:val="%1."/>
      <w:numFmt w:val="decimal"/>
      <w:start w:val="5"/>
    </w:lvl>
  </w:abstractNum>
  <w:abstractNum w:abstractNumId="33">
    <w:nsid w:val="5FF87E05"/>
    <w:multiLevelType w:val="hybridMultilevel"/>
    <w:lvl w:ilvl="0">
      <w:lvlJc w:val="left"/>
      <w:lvlText w:val="%1."/>
      <w:numFmt w:val="decimal"/>
      <w:start w:val="6"/>
    </w:lvl>
  </w:abstractNum>
  <w:abstractNum w:abstractNumId="34">
    <w:nsid w:val="2F305DEF"/>
    <w:multiLevelType w:val="hybridMultilevel"/>
    <w:lvl w:ilvl="0">
      <w:lvlJc w:val="left"/>
      <w:lvlText w:val="%1."/>
      <w:numFmt w:val="decimal"/>
      <w:start w:val="7"/>
    </w:lvl>
  </w:abstractNum>
  <w:abstractNum w:abstractNumId="35">
    <w:nsid w:val="25A70BF7"/>
    <w:multiLevelType w:val="hybridMultilevel"/>
    <w:lvl w:ilvl="0">
      <w:lvlJc w:val="left"/>
      <w:lvlText w:val="%1."/>
      <w:numFmt w:val="decimal"/>
      <w:start w:val="8"/>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3"/>
    </w:lvl>
  </w:abstractNum>
  <w:abstractNum w:abstractNumId="38">
    <w:nsid w:val="1F48EAA1"/>
    <w:multiLevelType w:val="hybridMultilevel"/>
    <w:lvl w:ilvl="0">
      <w:lvlJc w:val="left"/>
      <w:lvlText w:val="%1"/>
      <w:numFmt w:val="decimal"/>
      <w:start w:val="1"/>
    </w:lvl>
    <w:lvl w:ilvl="1">
      <w:lvlJc w:val="left"/>
      <w:lvlText w:val="%2."/>
      <w:numFmt w:val="lowerLetter"/>
      <w:start w:val="9"/>
    </w:lvl>
  </w:abstractNum>
  <w:abstractNum w:abstractNumId="39">
    <w:nsid w:val="1381823A"/>
    <w:multiLevelType w:val="hybridMultilevel"/>
    <w:lvl w:ilvl="0">
      <w:lvlJc w:val="left"/>
      <w:lvlText w:val="%1."/>
      <w:numFmt w:val="decimal"/>
      <w:start w:val="9"/>
    </w:lvl>
    <w:lvl w:ilvl="1">
      <w:lvlJc w:val="left"/>
      <w:lvlText w:val="%2."/>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lvl w:ilvl="1">
      <w:lvlJc w:val="left"/>
      <w:lvlText w:val="%2."/>
      <w:numFmt w:val="lowerRoman"/>
      <w:start w:val="1"/>
    </w:lvl>
  </w:abstractNum>
  <w:abstractNum w:abstractNumId="42">
    <w:nsid w:val="6590700B"/>
    <w:multiLevelType w:val="hybridMultilevel"/>
    <w:lvl w:ilvl="0">
      <w:lvlJc w:val="left"/>
      <w:lvlText w:val="%1."/>
      <w:numFmt w:val="lowerLetter"/>
      <w:start w:val="2"/>
    </w:lvl>
    <w:lvl w:ilvl="1">
      <w:lvlJc w:val="left"/>
      <w:lvlText w:val="%2"/>
      <w:numFmt w:val="lowerRoman"/>
      <w:start w:val="1"/>
    </w:lvl>
  </w:abstractNum>
  <w:abstractNum w:abstractNumId="43">
    <w:nsid w:val="15014ACB"/>
    <w:multiLevelType w:val="hybridMultilevel"/>
    <w:lvl w:ilvl="0">
      <w:lvlJc w:val="left"/>
      <w:lvlText w:val="%1."/>
      <w:numFmt w:val="lowerLetter"/>
      <w:start w:val="3"/>
    </w:lvl>
  </w:abstractNum>
  <w:abstractNum w:abstractNumId="44">
    <w:nsid w:val="5F5E7FD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5">
    <w:nsid w:val="98A3148"/>
    <w:multiLevelType w:val="hybridMultilevel"/>
    <w:lvl w:ilvl="0">
      <w:lvlJc w:val="left"/>
      <w:lvlText w:val="%1."/>
      <w:numFmt w:val="decimal"/>
      <w:start w:val="13"/>
    </w:lvl>
  </w:abstractNum>
  <w:abstractNum w:abstractNumId="46">
    <w:nsid w:val="799D024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7">
    <w:nsid w:val="6B94764"/>
    <w:multiLevelType w:val="hybridMultilevel"/>
    <w:lvl w:ilvl="0">
      <w:lvlJc w:val="left"/>
      <w:lvlText w:val="%1."/>
      <w:numFmt w:val="lowerRoman"/>
      <w:start w:val="3"/>
    </w:lvl>
    <w:lvl w:ilvl="1">
      <w:lvlJc w:val="left"/>
      <w:lvlText w:val="•"/>
      <w:numFmt w:val="bullet"/>
      <w:start w:val="1"/>
    </w:lvl>
  </w:abstractNum>
  <w:abstractNum w:abstractNumId="48">
    <w:nsid w:val="42C296BD"/>
    <w:multiLevelType w:val="hybridMultilevel"/>
    <w:lvl w:ilvl="0">
      <w:lvlJc w:val="left"/>
      <w:lvlText w:val="%1"/>
      <w:numFmt w:val="lowerLetter"/>
      <w:start w:val="1"/>
    </w:lvl>
    <w:lvl w:ilvl="1">
      <w:lvlJc w:val="left"/>
      <w:lvlText w:val="%2."/>
      <w:numFmt w:val="lowerRoman"/>
      <w:start w:val="7"/>
    </w:lvl>
  </w:abstractNum>
  <w:abstractNum w:abstractNumId="49">
    <w:nsid w:val="168E121F"/>
    <w:multiLevelType w:val="hybridMultilevel"/>
    <w:lvl w:ilvl="0">
      <w:lvlJc w:val="left"/>
      <w:lvlText w:val="%1."/>
      <w:numFmt w:val="lowerLetter"/>
      <w:start w:val="3"/>
    </w:lvl>
    <w:lvl w:ilvl="1">
      <w:lvlJc w:val="left"/>
      <w:lvlText w:val="%2"/>
      <w:numFmt w:val="lowerRoman"/>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2"/>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lvl w:ilvl="1">
      <w:lvlJc w:val="left"/>
      <w:lvlText w:val="(%2)"/>
      <w:numFmt w:val="decimal"/>
      <w:start w:val="1"/>
    </w:lvl>
  </w:abstractNum>
  <w:abstractNum w:abstractNumId="94">
    <w:nsid w:val="7F01579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jpe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jpe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100" Type="http://schemas.openxmlformats.org/officeDocument/2006/relationships/hyperlink" Target="https://www.sec.gov/ix?doc=/Archives/edgar/data/1704720/000170472024000059/cnne-20240619.htm" TargetMode="External"/><Relationship Id="rId101" Type="http://schemas.openxmlformats.org/officeDocument/2006/relationships/hyperlink" Target="https://www.sec.gov/Archives/edgar/data/1704720/000104746917004727/a2232738zex-4_1.htm" TargetMode="External"/><Relationship Id="rId102" Type="http://schemas.openxmlformats.org/officeDocument/2006/relationships/hyperlink" Target="https://www.sec.gov/Archives/edgar/data/1704720/000170472020000017/exhibit42-descriptiono.htm" TargetMode="External"/><Relationship Id="rId103" Type="http://schemas.openxmlformats.org/officeDocument/2006/relationships/hyperlink" Target="https://www.sec.gov/Archives/edgar/data/1704720/000110465917069548/a17-27151_1ex10d2.htm" TargetMode="External"/><Relationship Id="rId104" Type="http://schemas.openxmlformats.org/officeDocument/2006/relationships/hyperlink" Target="https://www.sec.gov/Archives/edgar/data/1704720/000170472022000057/exhibit101amendedandrestat.htm" TargetMode="External"/><Relationship Id="rId105" Type="http://schemas.openxmlformats.org/officeDocument/2006/relationships/hyperlink" Target="https://www.sec.gov/Archives/edgar/data/1704720/000170472024000030/exhibit1014amendedandresta.htm" TargetMode="External"/><Relationship Id="rId106" Type="http://schemas.openxmlformats.org/officeDocument/2006/relationships/hyperlink" Target="https://www.sec.gov/Archives/edgar/data/1704720/000170472021000056/exhibit107trasimenemasters.htm" TargetMode="External"/><Relationship Id="rId107" Type="http://schemas.openxmlformats.org/officeDocument/2006/relationships/hyperlink" Target="https://www.sec.gov/Archives/edgar/data/1704720/000170472023000081/exhibit101trasimeneamended.htm" TargetMode="External"/><Relationship Id="rId108" Type="http://schemas.openxmlformats.org/officeDocument/2006/relationships/hyperlink" Target="https://www.sec.gov/Archives/edgar/data/1704720/000170472024000030/exhibit1011thirdamendedand.htm" TargetMode="External"/><Relationship Id="rId109" Type="http://schemas.openxmlformats.org/officeDocument/2006/relationships/hyperlink" Target="https://www.sec.gov/Archives/edgar/data/1704720/000170472024000052/cnneex107marginloanagreeme.htm" TargetMode="External"/><Relationship Id="rId110" Type="http://schemas.openxmlformats.org/officeDocument/2006/relationships/hyperlink" Target="https://www.sec.gov/Archives/edgar/data/1704720/000170472020000093/cannaeholdingsguarantyv2.htm" TargetMode="External"/><Relationship Id="rId111" Type="http://schemas.openxmlformats.org/officeDocument/2006/relationships/hyperlink" Target="https://www.sec.gov/Archives/edgar/data/1704720/000170472022000020/exhibit1027restrictedstock.htm" TargetMode="External"/><Relationship Id="rId112" Type="http://schemas.openxmlformats.org/officeDocument/2006/relationships/hyperlink" Target="https://www.sec.gov/Archives/edgar/data/1704720/000170472024000030/exhibit1012restrictedstock.htm" TargetMode="External"/><Relationship Id="rId113" Type="http://schemas.openxmlformats.org/officeDocument/2006/relationships/hyperlink" Target="https://www.sec.gov/Archives/edgar/data/1704720/000170472024000030/exhibit1015employmentagree.htm" TargetMode="External"/><Relationship Id="rId114" Type="http://schemas.openxmlformats.org/officeDocument/2006/relationships/hyperlink" Target="https://www.sec.gov/Archives/edgar/data/1704720/000170472024000030/exhibit1016foleyrestricted.htm" TargetMode="External"/><Relationship Id="rId115" Type="http://schemas.openxmlformats.org/officeDocument/2006/relationships/hyperlink" Target="https://www.sec.gov/Archives/edgar/data/1704720/000170472024000030/exhibit1017employmentagree.htm" TargetMode="External"/><Relationship Id="rId116" Type="http://schemas.openxmlformats.org/officeDocument/2006/relationships/hyperlink" Target="https://www.sec.gov/Archives/edgar/data/1704720/000170472024000030/exhibit1018caswellrestrict.htm" TargetMode="External"/><Relationship Id="rId119" Type="http://schemas.openxmlformats.org/officeDocument/2006/relationships/hyperlink" Target="https://www.sec.gov/Archives/edgar/data/1704720/000170472024000052/cnneex1082024q1gravelleemp.htm" TargetMode="External"/><Relationship Id="rId120" Type="http://schemas.openxmlformats.org/officeDocument/2006/relationships/hyperlink" Target="https://www.sec.gov/Archives/edgar/data/1704720/000170472024000030/exhibit1013incentive-bas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2025-02-27T16:55:38Z</dcterms:created>
  <dcterms:modified xsi:type="dcterms:W3CDTF">2025-02-27T16:55:38Z</dcterms:modified>
</cp:coreProperties>
</file>