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1-38300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______________________________________________________________________________________________________________________________________________________</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555" w:type="dxa"/>
        <w:jc w:val="center"/>
        <w:tblInd w:w="0" w:type="dxa"/>
        <w:tblLayout w:type="fixed"/>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2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1701 Village Center Circle,</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89134</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20" w:after="283"/>
        <w:jc w:val="center"/>
        <w:rPr/>
      </w:pPr>
      <w:r>
        <w:rPr/>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left"/>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627"/>
        <w:gridCol w:w="551"/>
        <w:gridCol w:w="555"/>
        <w:gridCol w:w="109"/>
        <w:gridCol w:w="109"/>
        <w:gridCol w:w="109"/>
        <w:gridCol w:w="442"/>
        <w:gridCol w:w="442"/>
        <w:gridCol w:w="444"/>
        <w:gridCol w:w="109"/>
        <w:gridCol w:w="109"/>
        <w:gridCol w:w="109"/>
        <w:gridCol w:w="562"/>
        <w:gridCol w:w="562"/>
        <w:gridCol w:w="564"/>
        <w:gridCol w:w="109"/>
        <w:gridCol w:w="109"/>
        <w:gridCol w:w="109"/>
        <w:gridCol w:w="625"/>
        <w:gridCol w:w="625"/>
        <w:gridCol w:w="628"/>
        <w:gridCol w:w="109"/>
        <w:gridCol w:w="109"/>
        <w:gridCol w:w="109"/>
        <w:gridCol w:w="630"/>
        <w:gridCol w:w="630"/>
        <w:gridCol w:w="632"/>
        <w:gridCol w:w="109"/>
        <w:gridCol w:w="109"/>
        <w:gridCol w:w="16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there were 43,940,506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9"/>
        <w:gridCol w:w="3088"/>
        <w:gridCol w:w="3095"/>
        <w:gridCol w:w="149"/>
        <w:gridCol w:w="149"/>
        <w:gridCol w:w="215"/>
      </w:tblGrid>
      <w:tr>
        <w:trPr/>
        <w:tc>
          <w:tcPr>
            <w:tcW w:w="350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13">
              <w:r>
                <w:rPr>
                  <w:rStyle w:val="InternetLink"/>
                  <w:rFonts w:ascii="Times New Roman;serif" w:hAnsi="Times New Roman;serif"/>
                  <w:b w:val="false"/>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16">
              <w:r>
                <w:rPr>
                  <w:rStyle w:val="InternetLink"/>
                  <w:rFonts w:ascii="Times New Roman;serif" w:hAnsi="Times New Roman;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19">
              <w:r>
                <w:rPr>
                  <w:rStyle w:val="InternetLink"/>
                  <w:rFonts w:ascii="Times New Roman;serif" w:hAnsi="Times New Roman;serif"/>
                  <w:b w:val="false"/>
                  <w:color w:val="000080"/>
                  <w:sz w:val="20"/>
                  <w:u w:val="single"/>
                </w:rPr>
                <w:t xml:space="preserve">A. Condensed Consolidated Balance Sheets as of </w:t>
              </w:r>
            </w:hyperlink>
            <w:hyperlink w:anchor="i6a01eecb942a4d47a69c6ea1a7f029b0_19">
              <w:r>
                <w:rPr>
                  <w:rStyle w:val="InternetLink"/>
                  <w:rFonts w:ascii="Times New Roman;serif" w:hAnsi="Times New Roman;serif"/>
                  <w:b w:val="false"/>
                  <w:color w:val="000080"/>
                  <w:sz w:val="20"/>
                  <w:u w:val="single"/>
                </w:rPr>
                <w:t>March</w:t>
              </w:r>
            </w:hyperlink>
            <w:hyperlink w:anchor="i6a01eecb942a4d47a69c6ea1a7f029b0_19">
              <w:r>
                <w:rPr>
                  <w:rStyle w:val="InternetLink"/>
                  <w:rFonts w:ascii="Times New Roman;serif" w:hAnsi="Times New Roman;serif"/>
                  <w:b w:val="false"/>
                  <w:color w:val="000080"/>
                  <w:sz w:val="20"/>
                  <w:u w:val="single"/>
                </w:rPr>
                <w:t xml:space="preserve"> 3</w:t>
              </w:r>
            </w:hyperlink>
            <w:hyperlink w:anchor="i6a01eecb942a4d47a69c6ea1a7f029b0_19">
              <w:r>
                <w:rPr>
                  <w:rStyle w:val="InternetLink"/>
                  <w:rFonts w:ascii="Times New Roman;serif" w:hAnsi="Times New Roman;serif"/>
                  <w:b w:val="false"/>
                  <w:color w:val="000080"/>
                  <w:sz w:val="20"/>
                  <w:u w:val="single"/>
                </w:rPr>
                <w:t>1</w:t>
              </w:r>
            </w:hyperlink>
            <w:hyperlink w:anchor="i6a01eecb942a4d47a69c6ea1a7f029b0_19">
              <w:r>
                <w:rPr>
                  <w:rStyle w:val="InternetLink"/>
                  <w:rFonts w:ascii="Times New Roman;serif" w:hAnsi="Times New Roman;serif"/>
                  <w:b w:val="false"/>
                  <w:color w:val="000080"/>
                  <w:sz w:val="20"/>
                  <w:u w:val="single"/>
                </w:rPr>
                <w:t>, 202</w:t>
              </w:r>
            </w:hyperlink>
            <w:hyperlink w:anchor="i6a01eecb942a4d47a69c6ea1a7f029b0_19">
              <w:r>
                <w:rPr>
                  <w:rStyle w:val="InternetLink"/>
                  <w:rFonts w:ascii="Times New Roman;serif" w:hAnsi="Times New Roman;serif"/>
                  <w:b w:val="false"/>
                  <w:color w:val="000080"/>
                  <w:sz w:val="20"/>
                  <w:u w:val="single"/>
                </w:rPr>
                <w:t>6</w:t>
              </w:r>
            </w:hyperlink>
            <w:hyperlink w:anchor="i6a01eecb942a4d47a69c6ea1a7f029b0_19">
              <w:r>
                <w:rPr>
                  <w:rStyle w:val="InternetLink"/>
                  <w:rFonts w:ascii="Times New Roman;serif" w:hAnsi="Times New Roman;serif"/>
                  <w:b w:val="false"/>
                  <w:color w:val="000080"/>
                  <w:sz w:val="20"/>
                  <w:u w:val="single"/>
                </w:rPr>
                <w:t xml:space="preserve"> and December 31, 202</w:t>
              </w:r>
            </w:hyperlink>
            <w:r>
              <w:rPr>
                <w:rFonts w:ascii="Times New Roman;serif" w:hAnsi="Times New Roman;serif"/>
                <w:b w:val="false"/>
                <w:color w:val="000000"/>
                <w:sz w:val="20"/>
              </w:rPr>
              <w:t>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19">
              <w:r>
                <w:rPr>
                  <w:rStyle w:val="InternetLink"/>
                  <w:rFonts w:ascii="Times New Roman;serif" w:hAnsi="Times New Roman;serif"/>
                  <w:b w:val="false"/>
                  <w:color w:val="0000FF"/>
                  <w:sz w:val="20"/>
                  <w:u w:val="single"/>
                </w:rPr>
                <w:t>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2">
              <w:r>
                <w:rPr>
                  <w:rStyle w:val="InternetLink"/>
                  <w:rFonts w:ascii="Times New Roman;serif" w:hAnsi="Times New Roman;serif"/>
                  <w:b w:val="false"/>
                  <w:color w:val="000080"/>
                  <w:sz w:val="20"/>
                  <w:u w:val="single"/>
                </w:rPr>
                <w:t>B. Condensed Consolidated Statements of Operations for the three</w:t>
              </w:r>
            </w:hyperlink>
            <w:hyperlink w:anchor="i6a01eecb942a4d47a69c6ea1a7f029b0_22">
              <w:r>
                <w:rPr>
                  <w:rStyle w:val="InternetLink"/>
                  <w:rFonts w:ascii="Times New Roman;serif" w:hAnsi="Times New Roman;serif"/>
                  <w:b w:val="false"/>
                  <w:color w:val="000080"/>
                  <w:sz w:val="20"/>
                  <w:u w:val="single"/>
                </w:rPr>
                <w:t>-month period</w:t>
              </w:r>
            </w:hyperlink>
            <w:hyperlink w:anchor="i6a01eecb942a4d47a69c6ea1a7f029b0_22">
              <w:r>
                <w:rPr>
                  <w:rStyle w:val="InternetLink"/>
                  <w:rFonts w:ascii="Times New Roman;serif" w:hAnsi="Times New Roman;serif"/>
                  <w:b w:val="false"/>
                  <w:color w:val="000080"/>
                  <w:sz w:val="20"/>
                  <w:u w:val="single"/>
                </w:rPr>
                <w:t>s</w:t>
              </w:r>
            </w:hyperlink>
            <w:hyperlink w:anchor="i6a01eecb942a4d47a69c6ea1a7f029b0_22">
              <w:r>
                <w:rPr>
                  <w:rStyle w:val="InternetLink"/>
                  <w:rFonts w:ascii="Times New Roman;serif" w:hAnsi="Times New Roman;serif"/>
                  <w:b w:val="false"/>
                  <w:color w:val="000080"/>
                  <w:sz w:val="20"/>
                  <w:u w:val="single"/>
                </w:rPr>
                <w:t xml:space="preserve"> ended </w:t>
              </w:r>
            </w:hyperlink>
          </w:p>
          <w:p>
            <w:pPr>
              <w:pStyle w:val="TableContents"/>
              <w:bidi w:val="0"/>
              <w:spacing w:lineRule="auto" w:line="240" w:before="0" w:after="0"/>
              <w:jc w:val="left"/>
              <w:rPr/>
            </w:pPr>
            <w:hyperlink w:anchor="i6a01eecb942a4d47a69c6ea1a7f029b0_19">
              <w:r>
                <w:rPr>
                  <w:rStyle w:val="InternetLink"/>
                  <w:rFonts w:ascii="Times New Roman;serif" w:hAnsi="Times New Roman;serif"/>
                  <w:b w:val="false"/>
                  <w:color w:val="000080"/>
                  <w:sz w:val="20"/>
                  <w:u w:val="single"/>
                </w:rPr>
                <w:t xml:space="preserve">March </w:t>
              </w:r>
            </w:hyperlink>
            <w:hyperlink w:anchor="i6a01eecb942a4d47a69c6ea1a7f029b0_19">
              <w:r>
                <w:rPr>
                  <w:rStyle w:val="InternetLink"/>
                  <w:rFonts w:ascii="Times New Roman;serif" w:hAnsi="Times New Roman;serif"/>
                  <w:b w:val="false"/>
                  <w:color w:val="000080"/>
                  <w:sz w:val="20"/>
                  <w:u w:val="single"/>
                </w:rPr>
                <w:t>3</w:t>
              </w:r>
            </w:hyperlink>
            <w:hyperlink w:anchor="i6a01eecb942a4d47a69c6ea1a7f029b0_19">
              <w:r>
                <w:rPr>
                  <w:rStyle w:val="InternetLink"/>
                  <w:rFonts w:ascii="Times New Roman;serif" w:hAnsi="Times New Roman;serif"/>
                  <w:b w:val="false"/>
                  <w:color w:val="000080"/>
                  <w:sz w:val="20"/>
                  <w:u w:val="single"/>
                </w:rPr>
                <w:t>1</w:t>
              </w:r>
            </w:hyperlink>
            <w:hyperlink w:anchor="i6a01eecb942a4d47a69c6ea1a7f029b0_19">
              <w:r>
                <w:rPr>
                  <w:rStyle w:val="InternetLink"/>
                  <w:rFonts w:ascii="Times New Roman;serif" w:hAnsi="Times New Roman;serif"/>
                  <w:b w:val="false"/>
                  <w:color w:val="000080"/>
                  <w:sz w:val="20"/>
                  <w:u w:val="single"/>
                </w:rPr>
                <w:t>, 20</w:t>
              </w:r>
            </w:hyperlink>
            <w:hyperlink w:anchor="i6a01eecb942a4d47a69c6ea1a7f029b0_19">
              <w:r>
                <w:rPr>
                  <w:rStyle w:val="InternetLink"/>
                  <w:rFonts w:ascii="Times New Roman;serif" w:hAnsi="Times New Roman;serif"/>
                  <w:b w:val="false"/>
                  <w:color w:val="000080"/>
                  <w:sz w:val="20"/>
                  <w:u w:val="single"/>
                </w:rPr>
                <w:t>26</w:t>
              </w:r>
            </w:hyperlink>
            <w:hyperlink w:anchor="i6a01eecb942a4d47a69c6ea1a7f029b0_22">
              <w:r>
                <w:rPr>
                  <w:rStyle w:val="InternetLink"/>
                  <w:rFonts w:ascii="Times New Roman;serif" w:hAnsi="Times New Roman;serif"/>
                  <w:b w:val="false"/>
                  <w:color w:val="000080"/>
                  <w:sz w:val="20"/>
                  <w:u w:val="single"/>
                </w:rPr>
                <w:t xml:space="preserve"> and 20</w:t>
              </w:r>
            </w:hyperlink>
            <w:hyperlink w:anchor="i6a01eecb942a4d47a69c6ea1a7f029b0_22">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2">
              <w:r>
                <w:rPr>
                  <w:rStyle w:val="InternetLink"/>
                  <w:rFonts w:ascii="Times New Roman;serif" w:hAnsi="Times New Roman;serif"/>
                  <w:b w:val="false"/>
                  <w:color w:val="0000FF"/>
                  <w:sz w:val="20"/>
                  <w:u w:val="single"/>
                </w:rPr>
                <w:t>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5">
              <w:r>
                <w:rPr>
                  <w:rStyle w:val="InternetLink"/>
                  <w:rFonts w:ascii="Times New Roman;serif" w:hAnsi="Times New Roman;serif"/>
                  <w:b w:val="false"/>
                  <w:color w:val="000080"/>
                  <w:sz w:val="20"/>
                  <w:u w:val="single"/>
                </w:rPr>
                <w:t>C. Condensed Consolidated Statements of Comprehensive (Loss) Earnings for the three</w:t>
              </w:r>
            </w:hyperlink>
            <w:hyperlink w:anchor="i6a01eecb942a4d47a69c6ea1a7f029b0_25">
              <w:r>
                <w:rPr>
                  <w:rStyle w:val="InternetLink"/>
                  <w:rFonts w:ascii="Times New Roman;serif" w:hAnsi="Times New Roman;serif"/>
                  <w:b w:val="false"/>
                  <w:color w:val="000080"/>
                  <w:sz w:val="20"/>
                  <w:u w:val="single"/>
                </w:rPr>
                <w:t xml:space="preserve">-month periods ended </w:t>
              </w:r>
            </w:hyperlink>
            <w:hyperlink w:anchor="i6a01eecb942a4d47a69c6ea1a7f029b0_22">
              <w:r>
                <w:rPr>
                  <w:rStyle w:val="InternetLink"/>
                  <w:rFonts w:ascii="Times New Roman;serif" w:hAnsi="Times New Roman;serif"/>
                  <w:b w:val="false"/>
                  <w:color w:val="000080"/>
                  <w:sz w:val="20"/>
                  <w:u w:val="single"/>
                </w:rPr>
                <w:t xml:space="preserve">March </w:t>
              </w:r>
            </w:hyperlink>
            <w:hyperlink w:anchor="i6a01eecb942a4d47a69c6ea1a7f029b0_22">
              <w:r>
                <w:rPr>
                  <w:rStyle w:val="InternetLink"/>
                  <w:rFonts w:ascii="Times New Roman;serif" w:hAnsi="Times New Roman;serif"/>
                  <w:b w:val="false"/>
                  <w:color w:val="000080"/>
                  <w:sz w:val="20"/>
                  <w:u w:val="single"/>
                </w:rPr>
                <w:t>3</w:t>
              </w:r>
            </w:hyperlink>
            <w:hyperlink w:anchor="i6a01eecb942a4d47a69c6ea1a7f029b0_22">
              <w:r>
                <w:rPr>
                  <w:rStyle w:val="InternetLink"/>
                  <w:rFonts w:ascii="Times New Roman;serif" w:hAnsi="Times New Roman;serif"/>
                  <w:b w:val="false"/>
                  <w:color w:val="000080"/>
                  <w:sz w:val="20"/>
                  <w:u w:val="single"/>
                </w:rPr>
                <w:t>1</w:t>
              </w:r>
            </w:hyperlink>
            <w:hyperlink w:anchor="i6a01eecb942a4d47a69c6ea1a7f029b0_22">
              <w:r>
                <w:rPr>
                  <w:rStyle w:val="InternetLink"/>
                  <w:rFonts w:ascii="Times New Roman;serif" w:hAnsi="Times New Roman;serif"/>
                  <w:b w:val="false"/>
                  <w:color w:val="000080"/>
                  <w:sz w:val="20"/>
                  <w:u w:val="single"/>
                </w:rPr>
                <w:t>, 202</w:t>
              </w:r>
            </w:hyperlink>
            <w:hyperlink w:anchor="i6a01eecb942a4d47a69c6ea1a7f029b0_22">
              <w:r>
                <w:rPr>
                  <w:rStyle w:val="InternetLink"/>
                  <w:rFonts w:ascii="Times New Roman;serif" w:hAnsi="Times New Roman;serif"/>
                  <w:b w:val="false"/>
                  <w:color w:val="000080"/>
                  <w:sz w:val="20"/>
                  <w:u w:val="single"/>
                </w:rPr>
                <w:t>6</w:t>
              </w:r>
            </w:hyperlink>
            <w:hyperlink w:anchor="i6a01eecb942a4d47a69c6ea1a7f029b0_22">
              <w:r>
                <w:rPr>
                  <w:rStyle w:val="InternetLink"/>
                  <w:rFonts w:ascii="Times New Roman;serif" w:hAnsi="Times New Roman;serif"/>
                  <w:b w:val="false"/>
                  <w:color w:val="000080"/>
                  <w:sz w:val="20"/>
                  <w:u w:val="single"/>
                </w:rPr>
                <w:t xml:space="preserve"> and 20</w:t>
              </w:r>
            </w:hyperlink>
            <w:hyperlink w:anchor="i6a01eecb942a4d47a69c6ea1a7f029b0_22">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5">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8">
              <w:r>
                <w:rPr>
                  <w:rStyle w:val="InternetLink"/>
                  <w:rFonts w:ascii="Times New Roman;serif" w:hAnsi="Times New Roman;serif"/>
                  <w:b w:val="false"/>
                  <w:color w:val="000080"/>
                  <w:sz w:val="20"/>
                  <w:u w:val="single"/>
                </w:rPr>
                <w:t>D. Condensed Consolidated Statements of Equity for the three</w:t>
              </w:r>
            </w:hyperlink>
            <w:hyperlink w:anchor="i6a01eecb942a4d47a69c6ea1a7f029b0_28">
              <w:r>
                <w:rPr>
                  <w:rStyle w:val="InternetLink"/>
                  <w:rFonts w:ascii="Times New Roman;serif" w:hAnsi="Times New Roman;serif"/>
                  <w:b w:val="false"/>
                  <w:color w:val="000080"/>
                  <w:sz w:val="20"/>
                  <w:u w:val="single"/>
                </w:rPr>
                <w:t xml:space="preserve">-month periods ended </w:t>
              </w:r>
            </w:hyperlink>
          </w:p>
          <w:p>
            <w:pPr>
              <w:pStyle w:val="TableContents"/>
              <w:bidi w:val="0"/>
              <w:spacing w:lineRule="auto" w:line="240" w:before="0" w:after="0"/>
              <w:jc w:val="left"/>
              <w:rPr/>
            </w:pPr>
            <w:hyperlink w:anchor="i6a01eecb942a4d47a69c6ea1a7f029b0_22">
              <w:r>
                <w:rPr>
                  <w:rStyle w:val="InternetLink"/>
                  <w:color w:val="0000FF"/>
                  <w:u w:val="single"/>
                </w:rPr>
                <w:t> </w:t>
              </w:r>
            </w:hyperlink>
            <w:hyperlink w:anchor="i6a01eecb942a4d47a69c6ea1a7f029b0_22">
              <w:r>
                <w:rPr>
                  <w:rStyle w:val="InternetLink"/>
                  <w:rFonts w:ascii="Times New Roman;serif" w:hAnsi="Times New Roman;serif"/>
                  <w:b w:val="false"/>
                  <w:color w:val="000080"/>
                  <w:sz w:val="20"/>
                  <w:u w:val="single"/>
                </w:rPr>
                <w:t xml:space="preserve">March </w:t>
              </w:r>
            </w:hyperlink>
            <w:hyperlink w:anchor="i6a01eecb942a4d47a69c6ea1a7f029b0_22">
              <w:r>
                <w:rPr>
                  <w:rStyle w:val="InternetLink"/>
                  <w:rFonts w:ascii="Times New Roman;serif" w:hAnsi="Times New Roman;serif"/>
                  <w:b w:val="false"/>
                  <w:color w:val="000080"/>
                  <w:sz w:val="20"/>
                  <w:u w:val="single"/>
                </w:rPr>
                <w:t>3</w:t>
              </w:r>
            </w:hyperlink>
            <w:hyperlink w:anchor="i6a01eecb942a4d47a69c6ea1a7f029b0_22">
              <w:r>
                <w:rPr>
                  <w:rStyle w:val="InternetLink"/>
                  <w:rFonts w:ascii="Times New Roman;serif" w:hAnsi="Times New Roman;serif"/>
                  <w:b w:val="false"/>
                  <w:color w:val="000080"/>
                  <w:sz w:val="20"/>
                  <w:u w:val="single"/>
                </w:rPr>
                <w:t>1</w:t>
              </w:r>
            </w:hyperlink>
            <w:hyperlink w:anchor="i6a01eecb942a4d47a69c6ea1a7f029b0_22">
              <w:r>
                <w:rPr>
                  <w:rStyle w:val="InternetLink"/>
                  <w:rFonts w:ascii="Times New Roman;serif" w:hAnsi="Times New Roman;serif"/>
                  <w:b w:val="false"/>
                  <w:color w:val="000080"/>
                  <w:sz w:val="20"/>
                  <w:u w:val="single"/>
                </w:rPr>
                <w:t>, 202</w:t>
              </w:r>
            </w:hyperlink>
            <w:hyperlink w:anchor="i6a01eecb942a4d47a69c6ea1a7f029b0_22">
              <w:r>
                <w:rPr>
                  <w:rStyle w:val="InternetLink"/>
                  <w:rFonts w:ascii="Times New Roman;serif" w:hAnsi="Times New Roman;serif"/>
                  <w:b w:val="false"/>
                  <w:color w:val="000080"/>
                  <w:sz w:val="20"/>
                  <w:u w:val="single"/>
                </w:rPr>
                <w:t>6</w:t>
              </w:r>
            </w:hyperlink>
            <w:hyperlink w:anchor="i6a01eecb942a4d47a69c6ea1a7f029b0_22">
              <w:r>
                <w:rPr>
                  <w:rStyle w:val="InternetLink"/>
                  <w:rFonts w:ascii="Times New Roman;serif" w:hAnsi="Times New Roman;serif"/>
                  <w:b w:val="false"/>
                  <w:color w:val="000080"/>
                  <w:sz w:val="20"/>
                  <w:u w:val="single"/>
                </w:rPr>
                <w:t xml:space="preserve"> and 20</w:t>
              </w:r>
            </w:hyperlink>
            <w:hyperlink w:anchor="i6a01eecb942a4d47a69c6ea1a7f029b0_22">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8">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34">
              <w:r>
                <w:rPr>
                  <w:rStyle w:val="InternetLink"/>
                  <w:rFonts w:ascii="Times New Roman;serif" w:hAnsi="Times New Roman;serif"/>
                  <w:b w:val="false"/>
                  <w:color w:val="000080"/>
                  <w:sz w:val="20"/>
                  <w:u w:val="single"/>
                </w:rPr>
                <w:t xml:space="preserve">E. Condensed Consolidated Statements of Cash Flows for the </w:t>
              </w:r>
            </w:hyperlink>
            <w:hyperlink w:anchor="i6a01eecb942a4d47a69c6ea1a7f029b0_34">
              <w:r>
                <w:rPr>
                  <w:rStyle w:val="InternetLink"/>
                  <w:rFonts w:ascii="Times New Roman;serif" w:hAnsi="Times New Roman;serif"/>
                  <w:b w:val="false"/>
                  <w:color w:val="000080"/>
                  <w:sz w:val="20"/>
                  <w:u w:val="single"/>
                </w:rPr>
                <w:t>three</w:t>
              </w:r>
            </w:hyperlink>
            <w:hyperlink w:anchor="i6a01eecb942a4d47a69c6ea1a7f029b0_34">
              <w:r>
                <w:rPr>
                  <w:rStyle w:val="InternetLink"/>
                  <w:rFonts w:ascii="Times New Roman;serif" w:hAnsi="Times New Roman;serif"/>
                  <w:b w:val="false"/>
                  <w:color w:val="000080"/>
                  <w:sz w:val="20"/>
                  <w:u w:val="single"/>
                </w:rPr>
                <w:t xml:space="preserve">-month periods ended </w:t>
              </w:r>
            </w:hyperlink>
          </w:p>
          <w:p>
            <w:pPr>
              <w:pStyle w:val="TableContents"/>
              <w:bidi w:val="0"/>
              <w:spacing w:lineRule="auto" w:line="240" w:before="0" w:after="0"/>
              <w:jc w:val="left"/>
              <w:rPr/>
            </w:pPr>
            <w:hyperlink w:anchor="i6a01eecb942a4d47a69c6ea1a7f029b0_22">
              <w:r>
                <w:rPr>
                  <w:rStyle w:val="InternetLink"/>
                  <w:rFonts w:ascii="Times New Roman;serif" w:hAnsi="Times New Roman;serif"/>
                  <w:b w:val="false"/>
                  <w:color w:val="000080"/>
                  <w:sz w:val="20"/>
                  <w:u w:val="single"/>
                </w:rPr>
                <w:t>March</w:t>
              </w:r>
            </w:hyperlink>
            <w:hyperlink w:anchor="i6a01eecb942a4d47a69c6ea1a7f029b0_22">
              <w:r>
                <w:rPr>
                  <w:rStyle w:val="InternetLink"/>
                  <w:rFonts w:ascii="Times New Roman;serif" w:hAnsi="Times New Roman;serif"/>
                  <w:b w:val="false"/>
                  <w:color w:val="000080"/>
                  <w:sz w:val="20"/>
                  <w:u w:val="single"/>
                </w:rPr>
                <w:t xml:space="preserve"> 3</w:t>
              </w:r>
            </w:hyperlink>
            <w:hyperlink w:anchor="i6a01eecb942a4d47a69c6ea1a7f029b0_22">
              <w:r>
                <w:rPr>
                  <w:rStyle w:val="InternetLink"/>
                  <w:rFonts w:ascii="Times New Roman;serif" w:hAnsi="Times New Roman;serif"/>
                  <w:b w:val="false"/>
                  <w:color w:val="000080"/>
                  <w:sz w:val="20"/>
                  <w:u w:val="single"/>
                </w:rPr>
                <w:t>1</w:t>
              </w:r>
            </w:hyperlink>
            <w:hyperlink w:anchor="i6a01eecb942a4d47a69c6ea1a7f029b0_22">
              <w:r>
                <w:rPr>
                  <w:rStyle w:val="InternetLink"/>
                  <w:rFonts w:ascii="Times New Roman;serif" w:hAnsi="Times New Roman;serif"/>
                  <w:b w:val="false"/>
                  <w:color w:val="000080"/>
                  <w:sz w:val="20"/>
                  <w:u w:val="single"/>
                </w:rPr>
                <w:t>, 202</w:t>
              </w:r>
            </w:hyperlink>
            <w:hyperlink w:anchor="i6a01eecb942a4d47a69c6ea1a7f029b0_22">
              <w:r>
                <w:rPr>
                  <w:rStyle w:val="InternetLink"/>
                  <w:rFonts w:ascii="Times New Roman;serif" w:hAnsi="Times New Roman;serif"/>
                  <w:b w:val="false"/>
                  <w:color w:val="000080"/>
                  <w:sz w:val="20"/>
                  <w:u w:val="single"/>
                </w:rPr>
                <w:t>6</w:t>
              </w:r>
            </w:hyperlink>
            <w:hyperlink w:anchor="i6a01eecb942a4d47a69c6ea1a7f029b0_22">
              <w:r>
                <w:rPr>
                  <w:rStyle w:val="InternetLink"/>
                  <w:rFonts w:ascii="Times New Roman;serif" w:hAnsi="Times New Roman;serif"/>
                  <w:b w:val="false"/>
                  <w:color w:val="000080"/>
                  <w:sz w:val="20"/>
                  <w:u w:val="single"/>
                </w:rPr>
                <w:t xml:space="preserve"> and 20</w:t>
              </w:r>
            </w:hyperlink>
            <w:hyperlink w:anchor="i6a01eecb942a4d47a69c6ea1a7f029b0_22">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34">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37">
              <w:r>
                <w:rPr>
                  <w:rStyle w:val="InternetLink"/>
                  <w:rFonts w:ascii="Times New Roman;serif" w:hAnsi="Times New Roman;serif"/>
                  <w:b w:val="false"/>
                  <w:color w:val="0000FF"/>
                  <w:sz w:val="20"/>
                  <w:u w:val="single"/>
                </w:rPr>
                <w:t xml:space="preserve">F. Notes to Condensed Consolidated Financial Statements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40">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13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133">
              <w:r>
                <w:rPr>
                  <w:rStyle w:val="InternetLink"/>
                  <w:rFonts w:ascii="Times New Roman;serif" w:hAnsi="Times New Roman;serif"/>
                  <w:b w:val="false"/>
                  <w:color w:val="0000FF"/>
                  <w:sz w:val="20"/>
                  <w:u w:val="single"/>
                </w:rPr>
                <w:t>20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50">
              <w:r>
                <w:rPr>
                  <w:rStyle w:val="InternetLink"/>
                  <w:rFonts w:ascii="Times New Roman;serif" w:hAnsi="Times New Roman;serif"/>
                  <w:b w:val="false"/>
                  <w:color w:val="0000FF"/>
                  <w:sz w:val="20"/>
                  <w:u w:val="single"/>
                </w:rPr>
                <w:t>Item 3. Quantitative and Qualitative Disclosure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50">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53">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53">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56">
              <w:r>
                <w:rPr>
                  <w:rStyle w:val="InternetLink"/>
                  <w:rFonts w:ascii="Times New Roman;serif" w:hAnsi="Times New Roman;serif"/>
                  <w:b w:val="false"/>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59">
              <w:r>
                <w:rPr>
                  <w:rStyle w:val="InternetLink"/>
                  <w:rFonts w:ascii="Times New Roman;serif" w:hAnsi="Times New Roman;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59">
              <w:r>
                <w:rPr>
                  <w:rStyle w:val="InternetLink"/>
                  <w:rFonts w:ascii="Times New Roman;serif" w:hAnsi="Times New Roman;serif"/>
                  <w:b w:val="false"/>
                  <w:color w:val="0000FF"/>
                  <w:sz w:val="20"/>
                  <w:u w:val="single"/>
                </w:rPr>
                <w:t>29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65">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65">
              <w:r>
                <w:rPr>
                  <w:rStyle w:val="InternetLink"/>
                  <w:rFonts w:ascii="Times New Roman;serif" w:hAnsi="Times New Roman;serif"/>
                  <w:b w:val="false"/>
                  <w:color w:val="0000FF"/>
                  <w:sz w:val="20"/>
                  <w:u w:val="singl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74">
              <w:r>
                <w:rPr>
                  <w:rStyle w:val="InternetLink"/>
                  <w:rFonts w:ascii="Times New Roman;serif" w:hAnsi="Times New Roman;serif"/>
                  <w:b w:val="false"/>
                  <w:color w:val="000080"/>
                  <w:sz w:val="20"/>
                  <w:u w:val="single"/>
                </w:rPr>
                <w:t>Item 3. D</w:t>
              </w:r>
            </w:hyperlink>
            <w:r>
              <w:rPr>
                <w:rFonts w:ascii="Times New Roman;serif" w:hAnsi="Times New Roman;serif"/>
                <w:b w:val="false"/>
                <w:color w:val="0000FF"/>
                <w:sz w:val="20"/>
                <w:u w:val="single"/>
              </w:rPr>
              <w:t>efaults Upon Senior Securities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74">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77">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77">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80">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80">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1eecb942a4d47a69c6ea1a7f029b0_283">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1eecb942a4d47a69c6ea1a7f029b0_283">
              <w:r>
                <w:rPr>
                  <w:rStyle w:val="InternetLink"/>
                  <w:rFonts w:ascii="Times New Roman;serif" w:hAnsi="Times New Roman;serif"/>
                  <w:b w:val="false"/>
                  <w:color w:val="0000FF"/>
                  <w:sz w:val="20"/>
                  <w:u w:val="single"/>
                </w:rPr>
                <w:t>31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CANNAE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36"/>
        <w:gridCol w:w="2408"/>
        <w:gridCol w:w="2372"/>
        <w:gridCol w:w="196"/>
        <w:gridCol w:w="691"/>
        <w:gridCol w:w="109"/>
        <w:gridCol w:w="109"/>
        <w:gridCol w:w="109"/>
        <w:gridCol w:w="109"/>
        <w:gridCol w:w="200"/>
        <w:gridCol w:w="706"/>
        <w:gridCol w:w="160"/>
      </w:tblGrid>
      <w:tr>
        <w:trPr/>
        <w:tc>
          <w:tcPr>
            <w:tcW w:w="3036"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without a readily determinable fair value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investments and non-current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 see Note H</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Cannae common stock, 0.0001 par value; authorized 115,000,000 shares as of March 31, 2026 and December 31, 2025; issued of 95,320,747 and 94,925,400 shares as of March 31, 2026 and December 31, 2025, respectively, and outstanding of 45,611,416 and 46,703,745 shares as of March 31, 2026 and December 31, 2025, respectively (excluding the 2,421,174 shares subject to possible redemption)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authorized 10,000,000 shares; none issued and outstanding as of March 31, 2026 and December 31, 2025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Treasury stock, 49,709,331 and 48,221,655 shares as of March 31, 2026 and December 31, 2025, respectively, at cost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Cannae shareholders'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894" w:type="dxa"/>
        <w:jc w:val="center"/>
        <w:tblInd w:w="0" w:type="dxa"/>
        <w:tblLayout w:type="fixed"/>
        <w:tblCellMar>
          <w:top w:w="28" w:type="dxa"/>
          <w:left w:w="28" w:type="dxa"/>
          <w:bottom w:w="28" w:type="dxa"/>
          <w:right w:w="28" w:type="dxa"/>
        </w:tblCellMar>
      </w:tblPr>
      <w:tblGrid>
        <w:gridCol w:w="2554"/>
        <w:gridCol w:w="2244"/>
        <w:gridCol w:w="2266"/>
        <w:gridCol w:w="218"/>
        <w:gridCol w:w="604"/>
        <w:gridCol w:w="121"/>
        <w:gridCol w:w="121"/>
        <w:gridCol w:w="121"/>
        <w:gridCol w:w="121"/>
        <w:gridCol w:w="218"/>
        <w:gridCol w:w="704"/>
        <w:gridCol w:w="121"/>
        <w:gridCol w:w="109"/>
        <w:gridCol w:w="109"/>
        <w:gridCol w:w="109"/>
        <w:gridCol w:w="154"/>
      </w:tblGrid>
      <w:tr>
        <w:trPr/>
        <w:tc>
          <w:tcPr>
            <w:tcW w:w="255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4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revenue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revenues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restaurant revenue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costs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including asset impairments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investment and other income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(losses) gains,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(expense) income </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 and equity in losses of unconsolidated affiliates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equity in losses of unconsolidated affiliates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unconsolidated affiliates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 - see Note J</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Cannae Holdings, Inc. common shareholders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Cannae Holdings, Inc. common shareholders</w:t>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 attributable to Cannae Holdings, Inc. common shareholders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attributable to Cannae Holdings, Inc. common shareholders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Cannae Holdings, Inc. common shareholders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Basic</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continuing operations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per share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Diluted</w:t>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per share from continuing operations </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Weighted Average Shares Outstanding</w:t>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Cannae Holdings common stock, basic basis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Cannae Holdings common stock, diluted basis</w:t>
            </w:r>
          </w:p>
        </w:tc>
        <w:tc>
          <w:tcPr>
            <w:tcW w:w="8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EARNINGS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0"/>
        <w:gridCol w:w="2357"/>
        <w:gridCol w:w="2389"/>
        <w:gridCol w:w="213"/>
        <w:gridCol w:w="579"/>
        <w:gridCol w:w="118"/>
        <w:gridCol w:w="118"/>
        <w:gridCol w:w="118"/>
        <w:gridCol w:w="118"/>
        <w:gridCol w:w="213"/>
        <w:gridCol w:w="677"/>
        <w:gridCol w:w="118"/>
        <w:gridCol w:w="109"/>
        <w:gridCol w:w="109"/>
        <w:gridCol w:w="109"/>
        <w:gridCol w:w="160"/>
      </w:tblGrid>
      <w:tr>
        <w:trPr/>
        <w:tc>
          <w:tcPr>
            <w:tcW w:w="2700"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(loss), net of tax:</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Unrealized loss of investments in unconsolidated affiliates </w:t>
            </w:r>
            <w:r>
              <w:rPr>
                <w:rFonts w:ascii="Times New Roman;serif" w:hAnsi="Times New Roman;serif"/>
                <w:b w:val="false"/>
                <w:color w:val="000000"/>
                <w:sz w:val="12"/>
              </w:rPr>
              <w:t>(1)</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Reclassification adjustments for unrealized gains and losses of unconsolidated affiliates, net of tax, included in net earnings </w:t>
            </w:r>
            <w:r>
              <w:rPr>
                <w:rFonts w:ascii="Times New Roman;serif" w:hAnsi="Times New Roman;serif"/>
                <w:b w:val="false"/>
                <w:color w:val="000000"/>
                <w:sz w:val="12"/>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Cannae Holdings, Inc. common shareholders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(1)Net of income tax benefit of $0.1 million and $0.6 million for the three months ended March 31, 2026 and 2025, respectively.</w:t>
      </w:r>
    </w:p>
    <w:p>
      <w:pPr>
        <w:pStyle w:val="TextBody"/>
        <w:bidi w:val="0"/>
        <w:spacing w:lineRule="auto" w:line="288" w:before="0" w:after="0"/>
        <w:ind w:left="0" w:right="0" w:hanging="540"/>
        <w:jc w:val="both"/>
        <w:rPr/>
      </w:pPr>
      <w:r>
        <w:rPr>
          <w:rFonts w:ascii="Times New Roman;serif" w:hAnsi="Times New Roman;serif"/>
          <w:b w:val="false"/>
          <w:color w:val="000000"/>
          <w:sz w:val="18"/>
        </w:rPr>
        <w:t xml:space="preserve">(2)Net of income tax expense of $0.1 million 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18"/>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pStyle w:val="TextBody"/>
        <w:bidi w:val="0"/>
        <w:spacing w:before="0" w:after="0"/>
        <w:jc w:val="left"/>
        <w:rPr/>
      </w:pPr>
      <w:r>
        <w:rPr/>
      </w:r>
    </w:p>
    <w:p>
      <w:pPr>
        <w:pStyle w:val="TextBody"/>
        <w:bidi w:val="0"/>
        <w:spacing w:before="340" w:after="340"/>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1741" w:type="dxa"/>
        <w:jc w:val="center"/>
        <w:tblInd w:w="0" w:type="dxa"/>
        <w:tblLayout w:type="fixed"/>
        <w:tblCellMar>
          <w:top w:w="28" w:type="dxa"/>
          <w:left w:w="28" w:type="dxa"/>
          <w:bottom w:w="28" w:type="dxa"/>
          <w:right w:w="28" w:type="dxa"/>
        </w:tblCellMar>
      </w:tblPr>
      <w:tblGrid>
        <w:gridCol w:w="653"/>
        <w:gridCol w:w="205"/>
        <w:gridCol w:w="193"/>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556"/>
        <w:gridCol w:w="109"/>
        <w:gridCol w:w="109"/>
        <w:gridCol w:w="109"/>
        <w:gridCol w:w="109"/>
        <w:gridCol w:w="217"/>
        <w:gridCol w:w="533"/>
        <w:gridCol w:w="121"/>
        <w:gridCol w:w="109"/>
        <w:gridCol w:w="109"/>
        <w:gridCol w:w="109"/>
        <w:gridCol w:w="233"/>
        <w:gridCol w:w="233"/>
        <w:gridCol w:w="196"/>
        <w:gridCol w:w="109"/>
        <w:gridCol w:w="109"/>
        <w:gridCol w:w="109"/>
        <w:gridCol w:w="196"/>
        <w:gridCol w:w="706"/>
        <w:gridCol w:w="109"/>
        <w:gridCol w:w="109"/>
        <w:gridCol w:w="109"/>
        <w:gridCol w:w="109"/>
        <w:gridCol w:w="109"/>
        <w:gridCol w:w="109"/>
        <w:gridCol w:w="265"/>
        <w:gridCol w:w="652"/>
        <w:gridCol w:w="149"/>
        <w:gridCol w:w="109"/>
        <w:gridCol w:w="109"/>
        <w:gridCol w:w="109"/>
        <w:gridCol w:w="196"/>
        <w:gridCol w:w="691"/>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earnings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adjustments for unrealized gains and losses on unconsolidated affiliates, net of tax, included in net earnings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and shares held in trust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RSU vesting and payment for shares withheld for taxes and in treasury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earnings — unrealized gains and (losses) of investments in unconsolidated affiliates,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and shares held in trust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RSU vesting and payment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activity in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236" w:type="dxa"/>
        <w:jc w:val="center"/>
        <w:tblInd w:w="0" w:type="dxa"/>
        <w:tblLayout w:type="fixed"/>
        <w:tblCellMar>
          <w:top w:w="28" w:type="dxa"/>
          <w:left w:w="28" w:type="dxa"/>
          <w:bottom w:w="28" w:type="dxa"/>
          <w:right w:w="28" w:type="dxa"/>
        </w:tblCellMar>
      </w:tblPr>
      <w:tblGrid>
        <w:gridCol w:w="2461"/>
        <w:gridCol w:w="2158"/>
        <w:gridCol w:w="2176"/>
        <w:gridCol w:w="221"/>
        <w:gridCol w:w="627"/>
        <w:gridCol w:w="122"/>
        <w:gridCol w:w="122"/>
        <w:gridCol w:w="122"/>
        <w:gridCol w:w="122"/>
        <w:gridCol w:w="221"/>
        <w:gridCol w:w="711"/>
        <w:gridCol w:w="173"/>
      </w:tblGrid>
      <w:tr>
        <w:trP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provided by operating activities: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Equity in losses of unconsolidated affiliates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Distributions from investments in unconsolidated affiliates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Recognized losses (gains) and asset impairments, net </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Lease asset amortization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Stock-based compensation expense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 see Note J</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deferred revenue and other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and other intangible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 in unconsolidated affiliates and other long term investments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investments in unconsolidated affiliates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other long-term investments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 in unconsolidated affiliates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maturity of short-term investment securities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payments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activity in non-controlling interests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vested shares withheld for taxes and in treasury</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repurchases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S</w:t>
      </w:r>
      <w:r>
        <w:rPr>
          <w:rFonts w:ascii="Times New Roman;serif" w:hAnsi="Times New Roman;serif"/>
          <w:b w:val="false"/>
          <w:color w:val="000000"/>
          <w:sz w:val="18"/>
        </w:rPr>
        <w:t xml:space="preserve">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A — Basis of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describes the significant accounting policies of Cannae Holdings, Inc. and its subsidiaries (collectively, "we," "us," "our," "Cannae," "CNNE," or the "Company"), which have been followed in preparing the accompanying Condensed Consolidated Financial Statements.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March 31, 2026 include our ownership interests in Alight, Inc. ("Alight"); Black Knight Football Club US, LP ("Black Knight Football" or "BKFC"); JANA Partners Capital, LLC, JANA Partners Management, LP and JANA Partners Management GP, LLC (together, "JANA" or "JANA Partners"); Computer Services, Inc. ("CSI"); Watkins Holdings, LLC ("Watkins"); JANA Strategic Investments Benchmark Fund ("JANA Fund"); High Sierra Distillery, LP ("Minden Mill"); AmeriLife Group, LLC ("AmeriLife"); O'Charley's Holdings, LLC ("O'Charley's"); 99 Restaurants Holdings, LLC ("99 Restaurants"); and various other controlled subsidiary companies and minority equity ownership interests.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See Note E - </w:t>
      </w:r>
      <w:r>
        <w:rPr>
          <w:rFonts w:ascii="Times New Roman;serif" w:hAnsi="Times New Roman;serif"/>
          <w:b w:val="false"/>
          <w:i/>
          <w:color w:val="000000"/>
          <w:sz w:val="20"/>
        </w:rPr>
        <w:t>Segment Information</w:t>
      </w:r>
      <w:r>
        <w:rPr>
          <w:color w:val="000000"/>
        </w:rPr>
        <w:t> </w:t>
      </w:r>
      <w:r>
        <w:rPr>
          <w:rFonts w:ascii="Times New Roman;serif" w:hAnsi="Times New Roman;serif"/>
          <w:b w:val="false"/>
          <w:color w:val="000000"/>
          <w:sz w:val="20"/>
        </w:rPr>
        <w:t>for further discussion of the businesses comprising our reportable segments.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accompanying Condensed Consolidated Financial Statements are prepared in accordance with generally accepted accounting principles in the United States ("GAAP") </w:t>
      </w:r>
      <w:r>
        <w:rPr>
          <w:rFonts w:ascii="Times New Roman;serif" w:hAnsi="Times New Roman;serif"/>
          <w:b w:val="false"/>
          <w:color w:val="000000"/>
          <w:sz w:val="20"/>
          <w:shd w:fill="FFFFFF" w:val="clear"/>
        </w:rPr>
        <w:t>and the instructions to Form 10-Q and Article 10 of Regulation S-X</w:t>
      </w:r>
      <w:r>
        <w:rPr>
          <w:color w:val="000000"/>
        </w:rPr>
        <w:t xml:space="preserve"> </w:t>
      </w:r>
      <w:r>
        <w:rPr>
          <w:rFonts w:ascii="Times New Roman;serif" w:hAnsi="Times New Roman;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Management Estimates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in accounting for certain equity investments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 xml:space="preserve">and Note C -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and the valuation allowance recorded on our federal net operating loss ("NOL") carryforwards, state net operating loss carryforwards, and certain deferred taxes related to our investments (see information below under the heading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further information). Actual results could differ from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Black Knight Football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BKFC purchased the remaining 60% equity interest in FC Lorient ("FCL") for total consideration of $70.3 million including cash of $40.7 million and stock of BKFC of $29.6 million and now holds a 100% ownership interest in the club.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As of March 31, 2026, we held a 44.5% ownership interest in BKFC. See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for further discussion of our accounting for our ownership interest in BKFC and other equity method investments.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Developments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6, 2026, Cannae Funding A, LLC ("Cannae Funding A"), an indirect wholly owned special purpose subsidiary of the Company, prepaid in full all outstanding obligations under the Margin Loan Agreement, dated as of November 30, 2020 (as amended, the "Margin Loan Agreement") and terminated its revolving loan facility with Bank of America which was secured by shares of Alight common stock. There was no outstanding principal or interest advances under the Margin Loan Agreement as of the pay-off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three months ended March 31, 2026, we repurchased a total of 1,185,000 shares of Cannae common stock for approximately $15.2 million in the aggregate, or an average of $12.84 per share under the 2025 Repurchase program. From April 1, 2026 through May 8, 2026, we repurchased an additional 2,100,000 shares of Cannae common stock for approximately $27.2 million in the aggregate, or an average of $12.94 per share, pursuant to the 2025 Repurchase Program. Since the original commencement of the 2025 Repurchase Program through market close on May 8, 2026, we have repurchased a total of 7,985,913 shares of Cannae common stock for approximately $122.9 million in the aggregate, or an average of $15.39 per share. As of the date of this Quarterly Report, there are 2,014,087 shares available for repurchase under the 2025 Repurchase Program.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our Board authorized a new stock repurchase program (the "2026 Repurchase Program"), under which the Company may repurchase up to 10.0 million shares of its common stock. Such repurchases may be made from time to time in the open market at prevailing prices or in privately negotiated transactions. The 2026 Repurchase Program does not obligate us to acquire any specific number of shares and may be suspended or terminated at any time. The 2026 Repurchase Program does not supersede or impact the repurchase capacity under the prior authorizations. We have not made any purchases under the 2026 Repurchase Program. As of the date of this Quarterly Report, there are 10.0 million shares available for repurchase under the 2026 Repurchase Program.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dividends were declared by our Board in 2026:</w:t>
      </w:r>
    </w:p>
    <w:tbl>
      <w:tblPr>
        <w:tblW w:w="7247"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464"/>
        <w:gridCol w:w="464"/>
        <w:gridCol w:w="466"/>
        <w:gridCol w:w="109"/>
        <w:gridCol w:w="109"/>
        <w:gridCol w:w="109"/>
        <w:gridCol w:w="464"/>
        <w:gridCol w:w="464"/>
        <w:gridCol w:w="466"/>
        <w:gridCol w:w="109"/>
        <w:gridCol w:w="109"/>
        <w:gridCol w:w="109"/>
        <w:gridCol w:w="548"/>
        <w:gridCol w:w="548"/>
        <w:gridCol w:w="778"/>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Per Share</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did not incur any management fee and termination fee expenses with Trasimene Capital Management, LLC ("Manager"), as the Company's agreement with our former Manager terminated in May 2025. During the three months ended March 31, 2025, we incurred management fee and termination fee expenses with our former Manager of $1.9 million and $1.7 million, respectively. These expenses are recorded in Other operating expenses on our Condensed Consolidated Statement of Operations.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that provide the ability to purchase shares of our common stock that are antidilutive are excluded from the computation of diluted earnings per share. For the three months ended March 31, 2026 and 2025, shares of restricted stock outstanding were excluded from the calculation of diluted earnings per share as inclusion of restricted stock would be antidilutive due to net losses.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Put Right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2025, we entered into a director services agreement ("DSA") with William P. Foley II ("Mr. Foley") and pursuant to a provision therein, we agreed to repurchase half of the common stock beneficially owned by Mr. Foley at the greater of $19.50 per share of common stock or 20% in excess of the trading price of our common stock at the time such shares are sold back to the Company (the "Put Right"). The Put Right can be exercised at the option of Mr. Foley beginning January 1, 2026. As of March 31, 2026 there are 2,421,174 shares of the Company's common stock that are subject to the Put Right which represent 50% of the shares held by the director. Based on the price of the Company's common stock as of March 31, 2026, the gross amount that would be paid to settle the Put Right and repurchase the underlying common stock was $47.2 million.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Company accounts for the Put Right as a liability at fair value in accordance with the guidance in ASC 480 and ASC 815. The liability for the Put Right is included in Accounts payable and other accrued liabilities, current on our Condensed Consolidated Balance Sheets as of March 31, 2026. The initial measurement and subsequent changes in fair value of the Put Right are recorded in Recognized losses, net in our Condensed Consolidated Statements of Operations for the three month period ended March 31, 2026. See Note C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discussion of the fair value of the Put Right.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(1.7)% and (121.7)% in the three months ended March 31, 2026 and 2025, respectively. The change in the effective tax rate in the three-month period ended March 31, 2026 compared to the corresponding prior year period was primarily attributable to recording a valuation allowance in the prior year period of $28.3 million and the varying impact of equity in losses of unconsolidated affiliates on income tax expense (benefit). </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January 2025,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which requires public business entities to disaggregate specific expenses in a 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Immaterial Revision of Prior Period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our Condensed Consolidated Financial Statements for the quarter ended March 31, 2026, we identified an error in the Company’s previously issued consolidated financial statements as of and for the year ended December 31, 2025. The error relates to the Company’s income tax receivable and was primarily the result of an incorrect treatment of certain business tax credits utilized in prior year tax returns which were reflected in the current income tax receivable rather than deferred tax assets.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Management evaluated the materiality of the error on a qualitative and quantitative basis in accordance with </w:t>
      </w:r>
      <w:r>
        <w:rPr>
          <w:rFonts w:ascii="Times New Roman;serif" w:hAnsi="Times New Roman;serif"/>
          <w:b w:val="false"/>
          <w:i/>
          <w:color w:val="000000"/>
          <w:sz w:val="20"/>
        </w:rPr>
        <w:t>SEC Staff Accounting Bulletin No. 99, Materiality</w:t>
      </w:r>
      <w:r>
        <w:rPr>
          <w:rFonts w:ascii="Times New Roman;serif" w:hAnsi="Times New Roman;serif"/>
          <w:b w:val="false"/>
          <w:color w:val="000000"/>
          <w:sz w:val="20"/>
        </w:rPr>
        <w:t xml:space="preserve">, codified in </w:t>
      </w:r>
      <w:r>
        <w:rPr>
          <w:rFonts w:ascii="Times New Roman;serif" w:hAnsi="Times New Roman;serif"/>
          <w:b w:val="false"/>
          <w:i/>
          <w:color w:val="000000"/>
          <w:sz w:val="20"/>
        </w:rPr>
        <w:t>Accounting Standards Codification Topic 250, Accounting Changes and Error Corrections</w:t>
      </w:r>
      <w:r>
        <w:rPr>
          <w:rFonts w:ascii="Times New Roman;serif" w:hAnsi="Times New Roman;serif"/>
          <w:b w:val="false"/>
          <w:color w:val="000000"/>
          <w:sz w:val="20"/>
        </w:rPr>
        <w:t>. Based on this assessment, the Company concluded that the error is not material and did not result in a material misstatement to its previously issued consolidated financial statements as of and for the year ended December 31, 2025. However, correcting the cumulative effect of this error in the first quarter of 2026 would have had a material effect on the results of operations for that period. Therefore, the relevant prior periods’ financial statements and related footnotes, for this error for comparative purposes, have been corrected. Previously reported financial information for this immaterial error will be corrected in future filings, as applicable.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corrections to the impacted financial statement line items in the Company’s previously issued Consolidated Statements of Operations, Comprehensive Operations, and Equity as of and for the year ended December 31, 2025 is provided below. The corrections did not result in any changes to the Company’s total consolidated cash flows from operations, investing or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tbl>
      <w:tblPr>
        <w:tblW w:w="9730" w:type="dxa"/>
        <w:jc w:val="left"/>
        <w:tblInd w:w="0" w:type="dxa"/>
        <w:tblLayout w:type="fixed"/>
        <w:tblCellMar>
          <w:top w:w="28" w:type="dxa"/>
          <w:left w:w="28" w:type="dxa"/>
          <w:bottom w:w="28" w:type="dxa"/>
          <w:right w:w="28" w:type="dxa"/>
        </w:tblCellMar>
      </w:tblPr>
      <w:tblGrid>
        <w:gridCol w:w="2039"/>
        <w:gridCol w:w="1789"/>
        <w:gridCol w:w="1797"/>
        <w:gridCol w:w="109"/>
        <w:gridCol w:w="109"/>
        <w:gridCol w:w="109"/>
        <w:gridCol w:w="234"/>
        <w:gridCol w:w="650"/>
        <w:gridCol w:w="120"/>
        <w:gridCol w:w="116"/>
        <w:gridCol w:w="116"/>
        <w:gridCol w:w="116"/>
        <w:gridCol w:w="226"/>
        <w:gridCol w:w="627"/>
        <w:gridCol w:w="116"/>
        <w:gridCol w:w="116"/>
        <w:gridCol w:w="116"/>
        <w:gridCol w:w="116"/>
        <w:gridCol w:w="246"/>
        <w:gridCol w:w="684"/>
        <w:gridCol w:w="179"/>
      </w:tblGrid>
      <w:tr>
        <w:trPr/>
        <w:tc>
          <w:tcPr>
            <w:tcW w:w="203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and for the year ended December 31, 2025</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Correction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Corrected</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Cannae Holdings, Inc.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B —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Investments in Unconsolidated Affiliates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Investments in unconsolidated affiliates recorded using the equity method of accounting as of March 31, 2026 and December 31, 2025 consisted of the following:</w:t>
      </w:r>
    </w:p>
    <w:tbl>
      <w:tblPr>
        <w:tblW w:w="7027" w:type="dxa"/>
        <w:jc w:val="left"/>
        <w:tblInd w:w="0" w:type="dxa"/>
        <w:tblLayout w:type="fixed"/>
        <w:tblCellMar>
          <w:top w:w="28" w:type="dxa"/>
          <w:left w:w="28" w:type="dxa"/>
          <w:bottom w:w="28" w:type="dxa"/>
          <w:right w:w="28" w:type="dxa"/>
        </w:tblCellMar>
      </w:tblPr>
      <w:tblGrid>
        <w:gridCol w:w="465"/>
        <w:gridCol w:w="411"/>
        <w:gridCol w:w="414"/>
        <w:gridCol w:w="507"/>
        <w:gridCol w:w="507"/>
        <w:gridCol w:w="1266"/>
        <w:gridCol w:w="109"/>
        <w:gridCol w:w="109"/>
        <w:gridCol w:w="109"/>
        <w:gridCol w:w="284"/>
        <w:gridCol w:w="829"/>
        <w:gridCol w:w="146"/>
        <w:gridCol w:w="109"/>
        <w:gridCol w:w="109"/>
        <w:gridCol w:w="109"/>
        <w:gridCol w:w="332"/>
        <w:gridCol w:w="970"/>
        <w:gridCol w:w="242"/>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Ownership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Equity in earnings (losses) of unconsolidated affiliates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March 31, 2026 and 2025 consisted of the following:</w:t>
      </w:r>
    </w:p>
    <w:tbl>
      <w:tblPr>
        <w:tblW w:w="4167" w:type="dxa"/>
        <w:jc w:val="left"/>
        <w:tblInd w:w="0" w:type="dxa"/>
        <w:tblLayout w:type="fixed"/>
        <w:tblCellMar>
          <w:top w:w="28" w:type="dxa"/>
          <w:left w:w="28" w:type="dxa"/>
          <w:bottom w:w="28" w:type="dxa"/>
          <w:right w:w="28" w:type="dxa"/>
        </w:tblCellMar>
      </w:tblPr>
      <w:tblGrid>
        <w:gridCol w:w="465"/>
        <w:gridCol w:w="411"/>
        <w:gridCol w:w="414"/>
        <w:gridCol w:w="249"/>
        <w:gridCol w:w="567"/>
        <w:gridCol w:w="128"/>
        <w:gridCol w:w="128"/>
        <w:gridCol w:w="128"/>
        <w:gridCol w:w="128"/>
        <w:gridCol w:w="249"/>
        <w:gridCol w:w="691"/>
        <w:gridCol w:w="128"/>
        <w:gridCol w:w="109"/>
        <w:gridCol w:w="109"/>
        <w:gridCol w:w="109"/>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Alight</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Based on quoted market prices, the fair value of our ownership in Alight common stock was $23.5 million as of March 31, 2026. </w:t>
      </w:r>
      <w:r>
        <w:rPr>
          <w:rFonts w:ascii="Times New Roman;serif" w:hAnsi="Times New Roman;serif"/>
          <w:b w:val="false"/>
          <w:color w:val="000000"/>
          <w:sz w:val="20"/>
        </w:rPr>
        <w:t xml:space="preserve">Summarized statement of operations information for Alight for the relevant dates and time periods included in Equity in (losses) earnings of unconsolidated affiliates in our Condensed Consolidated Statements of Operations is presented below. </w:t>
      </w:r>
    </w:p>
    <w:tbl>
      <w:tblPr>
        <w:tblW w:w="6075" w:type="dxa"/>
        <w:jc w:val="left"/>
        <w:tblInd w:w="0" w:type="dxa"/>
        <w:tblLayout w:type="fixed"/>
        <w:tblCellMar>
          <w:top w:w="28" w:type="dxa"/>
          <w:left w:w="28" w:type="dxa"/>
          <w:bottom w:w="28" w:type="dxa"/>
          <w:right w:w="28" w:type="dxa"/>
        </w:tblCellMar>
      </w:tblPr>
      <w:tblGrid>
        <w:gridCol w:w="1156"/>
        <w:gridCol w:w="1017"/>
        <w:gridCol w:w="1022"/>
        <w:gridCol w:w="230"/>
        <w:gridCol w:w="672"/>
        <w:gridCol w:w="119"/>
        <w:gridCol w:w="119"/>
        <w:gridCol w:w="119"/>
        <w:gridCol w:w="119"/>
        <w:gridCol w:w="230"/>
        <w:gridCol w:w="672"/>
        <w:gridCol w:w="119"/>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Alight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BKFC</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Summarized statement of operation information for Black Knight Football for the relevant dates and time periods included in Equity in (losses) earnings of unconsolidated affiliates in our Condensed Consolidated Statements of Operations is presented below. We report our equity in the earnings or loss of BKFC on a three-month lag. Accordingly, our net earnings (loss) for the three months ended March 31,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includes our equity in Black Knight Football’s earnings (losses) for the three months ended December 31, 2025 and 2024, respectively. </w:t>
      </w:r>
    </w:p>
    <w:tbl>
      <w:tblPr>
        <w:tblW w:w="5998" w:type="dxa"/>
        <w:jc w:val="left"/>
        <w:tblInd w:w="0" w:type="dxa"/>
        <w:tblLayout w:type="fixed"/>
        <w:tblCellMar>
          <w:top w:w="28" w:type="dxa"/>
          <w:left w:w="28" w:type="dxa"/>
          <w:bottom w:w="28" w:type="dxa"/>
          <w:right w:w="28" w:type="dxa"/>
        </w:tblCellMar>
      </w:tblPr>
      <w:tblGrid>
        <w:gridCol w:w="1058"/>
        <w:gridCol w:w="931"/>
        <w:gridCol w:w="936"/>
        <w:gridCol w:w="275"/>
        <w:gridCol w:w="666"/>
        <w:gridCol w:w="142"/>
        <w:gridCol w:w="142"/>
        <w:gridCol w:w="142"/>
        <w:gridCol w:w="142"/>
        <w:gridCol w:w="275"/>
        <w:gridCol w:w="666"/>
        <w:gridCol w:w="142"/>
        <w:gridCol w:w="109"/>
        <w:gridCol w:w="109"/>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of unconsolidated affiliates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BKFC</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JANA Partners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Summarized statement of operation information for JANA Partners for the relevant dates and time periods included in Equity in (losses) earnings of unconsolidated affiliates in our Condensed Consolidated Statements of Operations is presented below. We account for our ownership interest in JANA Partners as an unconsolidated affiliate using the equity method of accounting and record our ratable share of JANA's net income or loss on a three-month lag. Accordingly, our net earnings (loss) for the three months ended March 31,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includes our equity in JANA’s earnings (losses) for the three months ended December 31, 2025 and 2024, respectively.</w:t>
      </w:r>
    </w:p>
    <w:tbl>
      <w:tblPr>
        <w:tblW w:w="4648" w:type="dxa"/>
        <w:jc w:val="left"/>
        <w:tblInd w:w="0" w:type="dxa"/>
        <w:tblLayout w:type="fixed"/>
        <w:tblCellMar>
          <w:top w:w="28" w:type="dxa"/>
          <w:left w:w="28" w:type="dxa"/>
          <w:bottom w:w="28" w:type="dxa"/>
          <w:right w:w="28" w:type="dxa"/>
        </w:tblCellMar>
      </w:tblPr>
      <w:tblGrid>
        <w:gridCol w:w="569"/>
        <w:gridCol w:w="501"/>
        <w:gridCol w:w="504"/>
        <w:gridCol w:w="290"/>
        <w:gridCol w:w="559"/>
        <w:gridCol w:w="150"/>
        <w:gridCol w:w="150"/>
        <w:gridCol w:w="150"/>
        <w:gridCol w:w="150"/>
        <w:gridCol w:w="290"/>
        <w:gridCol w:w="704"/>
        <w:gridCol w:w="150"/>
        <w:gridCol w:w="109"/>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Securities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Recognized (losses) gains, net on the Condensed Consolidated Statements of Operations consisted of the following losses on equity securities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March 31, 2026 and 2025:</w:t>
      </w:r>
    </w:p>
    <w:tbl>
      <w:tblPr>
        <w:tblW w:w="10205" w:type="dxa"/>
        <w:jc w:val="left"/>
        <w:tblInd w:w="0" w:type="dxa"/>
        <w:tblLayout w:type="fixed"/>
        <w:tblCellMar>
          <w:top w:w="28" w:type="dxa"/>
          <w:left w:w="28" w:type="dxa"/>
          <w:bottom w:w="28" w:type="dxa"/>
          <w:right w:w="28" w:type="dxa"/>
        </w:tblCellMar>
      </w:tblPr>
      <w:tblGrid>
        <w:gridCol w:w="2701"/>
        <w:gridCol w:w="2372"/>
        <w:gridCol w:w="2380"/>
        <w:gridCol w:w="238"/>
        <w:gridCol w:w="528"/>
        <w:gridCol w:w="122"/>
        <w:gridCol w:w="122"/>
        <w:gridCol w:w="122"/>
        <w:gridCol w:w="122"/>
        <w:gridCol w:w="238"/>
        <w:gridCol w:w="647"/>
        <w:gridCol w:w="122"/>
        <w:gridCol w:w="109"/>
        <w:gridCol w:w="109"/>
        <w:gridCol w:w="109"/>
        <w:gridCol w:w="164"/>
      </w:tblGrid>
      <w:tr>
        <w:trPr/>
        <w:tc>
          <w:tcPr>
            <w:tcW w:w="270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91" w:type="dxa"/>
            <w:gridSpan w:val="4"/>
            <w:tcBorders/>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recognized during the period on equity securities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(losses) recognized during the period on equity securities sold, transferred or disposed during the period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during the reporting period on equity securities held at the reporting date</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Equity Security Investments Without Readily Determinable Fair Values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We account for our investments in AmeriLife and certain other ownership interests at cost adjusted for any impairment</w:t>
      </w:r>
      <w:r>
        <w:rPr>
          <w:color w:val="000000"/>
        </w:rPr>
        <w:t xml:space="preserve"> </w:t>
      </w:r>
      <w:r>
        <w:rPr>
          <w:rFonts w:ascii="Times New Roman;serif" w:hAnsi="Times New Roman;serif"/>
          <w:b w:val="false"/>
          <w:color w:val="000000"/>
          <w:sz w:val="20"/>
        </w:rPr>
        <w:t>or changes resulting from observable price changes in orderly market transactions</w:t>
      </w:r>
      <w:r>
        <w:rPr>
          <w:rFonts w:ascii="Times New Roman;serif" w:hAnsi="Times New Roman;serif"/>
          <w:b w:val="false"/>
          <w:color w:val="000000"/>
          <w:sz w:val="20"/>
          <w:shd w:fill="FFFFFF" w:val="clear"/>
        </w:rPr>
        <w:t xml:space="preserve">. As of March 31, 2026 and December 31, 2025, we have $148.3 million and $147.3 million, respectively, recorded for such investments, which is included in Equity securities, without a readily determinable fair value on our Condensed Consolidated Balance Sheets. 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March 31, 2026 and 2025, we have not recorded any material upward or downward adjustments to these investments due to price changes or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C — Fair Value Measurements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1. </w:t>
      </w:r>
      <w:r>
        <w:rPr>
          <w:rFonts w:ascii="Times New Roman;serif" w:hAnsi="Times New Roman;serif"/>
          <w:b w:val="false"/>
          <w:color w:val="000000"/>
          <w:sz w:val="20"/>
          <w:shd w:fill="FFFFFF" w:val="clear"/>
        </w:rPr>
        <w:t>Financial assets and liabilities whose values are based on unadjusted quoted prices for identical assets or liabilities in an active market that we have the ability to access.</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2. </w:t>
      </w:r>
      <w:r>
        <w:rPr>
          <w:rFonts w:ascii="Times New Roman;serif" w:hAnsi="Times New Roman;serif"/>
          <w:b w:val="false"/>
          <w:color w:val="000000"/>
          <w:sz w:val="20"/>
          <w:shd w:fill="FFFFFF" w:val="clear"/>
        </w:rPr>
        <w:t>Financial assets and liabilities whose values are based on quoted prices in markets that are not active or model inputs that are observable either directly or indirectly for substantially the full term of the asset or liability.</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3. </w:t>
      </w:r>
      <w:r>
        <w:rPr>
          <w:rFonts w:ascii="Times New Roman;serif" w:hAnsi="Times New Roman;serif"/>
          <w:b w:val="false"/>
          <w:color w:val="000000"/>
          <w:sz w:val="20"/>
          <w:shd w:fill="FFFFFF" w:val="clear"/>
        </w:rPr>
        <w:t>Financial assets and liabilities whose values are based on model inputs that are unobservable.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our fair value hierarchy for those assets and liabilities measured at fair value on a recurring basis as of March 31, 2026 and December 31, 2025, respectively:</w:t>
      </w:r>
    </w:p>
    <w:tbl>
      <w:tblPr>
        <w:tblW w:w="9544" w:type="dxa"/>
        <w:jc w:val="left"/>
        <w:tblInd w:w="0" w:type="dxa"/>
        <w:tblLayout w:type="fixed"/>
        <w:tblCellMar>
          <w:top w:w="28" w:type="dxa"/>
          <w:left w:w="28" w:type="dxa"/>
          <w:bottom w:w="28" w:type="dxa"/>
          <w:right w:w="28" w:type="dxa"/>
        </w:tblCellMar>
      </w:tblPr>
      <w:tblGrid>
        <w:gridCol w:w="1799"/>
        <w:gridCol w:w="1584"/>
        <w:gridCol w:w="1597"/>
        <w:gridCol w:w="211"/>
        <w:gridCol w:w="61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liabilities,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tbl>
      <w:tblPr>
        <w:tblW w:w="9435" w:type="dxa"/>
        <w:jc w:val="left"/>
        <w:tblInd w:w="0" w:type="dxa"/>
        <w:tblLayout w:type="fixed"/>
        <w:tblCellMar>
          <w:top w:w="28" w:type="dxa"/>
          <w:left w:w="28" w:type="dxa"/>
          <w:bottom w:w="28" w:type="dxa"/>
          <w:right w:w="28" w:type="dxa"/>
        </w:tblCellMar>
      </w:tblPr>
      <w:tblGrid>
        <w:gridCol w:w="1799"/>
        <w:gridCol w:w="1584"/>
        <w:gridCol w:w="1597"/>
        <w:gridCol w:w="211"/>
        <w:gridCol w:w="61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liabilities,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Put Right is accounted for at fair value calculated using a Monte Carlo Simulation with Level 2 fair value hierarchy inputs. The valuation model utilizes the stock price and growth rate of the Company's common stock, the two-year duration of the DSA, the implied volatility of the Company's common stock using comparable public companies and a discount rate based on US treasury securities of similar duration to the Put Right.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Note D — Variable Interest Entities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March 31, 2026 and December 31, 2025, we are not the primary beneficiary of any VIEs.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select information related to variable interests held by the Company as of March 31, 2026 and December 31, 2025, of which we are not the primary beneficiary:</w:t>
      </w:r>
    </w:p>
    <w:tbl>
      <w:tblPr>
        <w:tblW w:w="10205" w:type="dxa"/>
        <w:jc w:val="left"/>
        <w:tblInd w:w="0" w:type="dxa"/>
        <w:tblLayout w:type="fixed"/>
        <w:tblCellMar>
          <w:top w:w="28" w:type="dxa"/>
          <w:left w:w="28" w:type="dxa"/>
          <w:bottom w:w="28" w:type="dxa"/>
          <w:right w:w="28" w:type="dxa"/>
        </w:tblCellMar>
      </w:tblPr>
      <w:tblGrid>
        <w:gridCol w:w="1449"/>
        <w:gridCol w:w="1276"/>
        <w:gridCol w:w="1279"/>
        <w:gridCol w:w="109"/>
        <w:gridCol w:w="109"/>
        <w:gridCol w:w="109"/>
        <w:gridCol w:w="250"/>
        <w:gridCol w:w="731"/>
        <w:gridCol w:w="128"/>
        <w:gridCol w:w="128"/>
        <w:gridCol w:w="338"/>
        <w:gridCol w:w="988"/>
        <w:gridCol w:w="174"/>
        <w:gridCol w:w="127"/>
        <w:gridCol w:w="127"/>
        <w:gridCol w:w="127"/>
        <w:gridCol w:w="246"/>
        <w:gridCol w:w="721"/>
        <w:gridCol w:w="127"/>
        <w:gridCol w:w="109"/>
        <w:gridCol w:w="332"/>
        <w:gridCol w:w="971"/>
        <w:gridCol w:w="250"/>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62" w:type="dxa"/>
            <w:gridSpan w:val="4"/>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128"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39"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662" w:type="dxa"/>
            <w:gridSpan w:val="4"/>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Investments in Unconsolidated Affiliates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held variable interests in certain unconsolidated affiliates, which are primarily comprised of our ownership interests in BKFC, CSI, the JANA Fund and Minden Mill. Cannae does not have the power to direct the activities that most significantly impact the economic performance of these unconsolidated affiliates; therefore, we are not the primary beneficiary.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amounts included in Other long-term investments and non-current assets on the Condensed Consolidated Balance Sheets consist of notes receivable with Minden Mill.</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principal risk to which these investments and funds are exposed is the credit risk of the underlying investees. The primary assets for our ownership of these VIEs are included in Investments in unconsolidated affiliates on the Condensed Consolidated Balance Sheets and accounted for under the equity method of accounting. See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 xml:space="preserve">for further discussion of our accounting for investments in unconsolidated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E — Segment Information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Cannae has identified four reportable segments: Restaurant Group, Alight, BKFC and JANA. The activities in our segments include the following:</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 xml:space="preserve">Restaurant Group. </w:t>
      </w:r>
      <w:r>
        <w:rPr>
          <w:rFonts w:ascii="Times New Roman;serif" w:hAnsi="Times New Roman;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Alight</w:t>
      </w:r>
      <w:r>
        <w:rPr>
          <w:rFonts w:ascii="Times New Roman;serif" w:hAnsi="Times New Roman;serif"/>
          <w:b w:val="false"/>
          <w:color w:val="000000"/>
          <w:sz w:val="20"/>
        </w:rPr>
        <w:t>. This segment consists of our 7.7% ownership interest in Alight. Alight is a technology-enabled services company delivering human capital management solutions to many of the 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("CODM")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Black Knight Football.</w:t>
      </w:r>
      <w:r>
        <w:rPr>
          <w:color w:val="000000"/>
        </w:rPr>
        <w:t xml:space="preserve"> </w:t>
      </w:r>
      <w:r>
        <w:rPr>
          <w:rFonts w:ascii="Times New Roman;serif" w:hAnsi="Times New Roman;serif"/>
          <w:b w:val="false"/>
          <w:color w:val="000000"/>
          <w:sz w:val="20"/>
        </w:rPr>
        <w:t xml:space="preserve">This segment consists of our 44.5% ownership interest in BKFC. BKFC is a partnership led by Mr. Foley, which owns and operates AFC Bournemouth ("AFCB"), an English Premier League ("EPL" or the "Premier League") football club and now holds a 100% ownership interest in FCL, a French Ligue 1 football club pursuant to a purchase in January 2026. In June 2025, BKFC acquired a controlling interest in Moreirense Futebol Clube ("MFC"), a Portuguese Primeira Liga Football club. BKFC aims to grow into a leading multi-club operator of football assets across the world. Our CODM reviews the financial results of Black Knight Football for purposes of assessing performance and allocating resources. Thus, we consider BKFC an operating segment. We account for our ownership of BKFC using the equity method of accounting and therefore its results of operations do not consolidate into ours. We report our equity in earnings or loss of BKFC on a three-month lag. Accordingly, our net earnings (loss) for the three months ended March 31,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includes our equity in losses of BKFC for the three months ended December 31, 2025 and 2024, respectively. </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JANA Partners</w:t>
      </w:r>
      <w:r>
        <w:rPr>
          <w:rFonts w:ascii="Times New Roman;serif" w:hAnsi="Times New Roman;serif"/>
          <w:b w:val="false"/>
          <w:color w:val="000000"/>
          <w:sz w:val="20"/>
        </w:rPr>
        <w:t>. This segment consists of our 50.0% ownership interest in JANA Partners. JANA is an investment manager founded in 2001. Our CODM reviews the financial results of JANA Partners for purposes of assessing performance and allocating resources and thus we consider JANA an operating segment. We account for our ownership of JANA Partners using the equity method of accounting and therefore its results of operations do not consolidate into ours. We report our equity in earnings or loss of JANA on a three-month lag. Accordingly, our net earnings (loss) for the three months ended March 31, 2026 and 2025 includes our equity in JANA’s earnings for the three months ended December 31, 2025 and 2024, respectively.</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Corporate and Other.</w:t>
      </w:r>
      <w:r>
        <w:rPr>
          <w:color w:val="000000"/>
        </w:rPr>
        <w:t xml:space="preserve"> </w:t>
      </w:r>
      <w:r>
        <w:rPr>
          <w:rFonts w:ascii="Times New Roman;serif" w:hAnsi="Times New Roman;serif"/>
          <w:b w:val="false"/>
          <w:color w:val="000000"/>
          <w:sz w:val="20"/>
        </w:rPr>
        <w:t>This nonreportable segment consists of our share in the operations of certain controlled portfolio companies and other equity interests, activity of the corporate holding company and certain intercompany eliminations and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Cannae’s CODM is the Company’s CEO, who oversees all of the Company’s investments and is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tables below provide information about the Company's segments, as well as an aggregation of all other non-reportable operating segments within the Corporate and Other category. For Alight, BKFC and JANA,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serif" w:hAnsi="Times New Roman;serif"/>
          <w:b w:val="false"/>
          <w:i/>
          <w:color w:val="000000"/>
          <w:sz w:val="20"/>
        </w:rPr>
        <w:t xml:space="preserve">Investments </w:t>
      </w:r>
      <w:r>
        <w:rPr>
          <w:rFonts w:ascii="Times New Roman;serif" w:hAnsi="Times New Roman;serif"/>
          <w:b w:val="false"/>
          <w:color w:val="000000"/>
          <w:sz w:val="20"/>
        </w:rPr>
        <w:t xml:space="preserve">for certain summarized gross amounts of the results of operations of these unconsolidated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disclosed those expenses for each reportable segment that are (1) regularly provided to the CODM; (2) included in each reported measure of segment profit and loss; and (3) considered significant, including categories of expense and amounts.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and for the three months ended March 31, 2026:</w:t>
      </w:r>
    </w:p>
    <w:tbl>
      <w:tblPr>
        <w:tblW w:w="10205" w:type="dxa"/>
        <w:jc w:val="left"/>
        <w:tblInd w:w="0" w:type="dxa"/>
        <w:tblLayout w:type="fixed"/>
        <w:tblCellMar>
          <w:top w:w="28" w:type="dxa"/>
          <w:left w:w="28" w:type="dxa"/>
          <w:bottom w:w="28" w:type="dxa"/>
          <w:right w:w="28" w:type="dxa"/>
        </w:tblCellMar>
      </w:tblPr>
      <w:tblGrid>
        <w:gridCol w:w="672"/>
        <w:gridCol w:w="330"/>
        <w:gridCol w:w="332"/>
        <w:gridCol w:w="229"/>
        <w:gridCol w:w="650"/>
        <w:gridCol w:w="127"/>
        <w:gridCol w:w="109"/>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233"/>
        <w:gridCol w:w="665"/>
        <w:gridCol w:w="131"/>
        <w:gridCol w:w="109"/>
        <w:gridCol w:w="109"/>
        <w:gridCol w:w="109"/>
        <w:gridCol w:w="218"/>
        <w:gridCol w:w="620"/>
        <w:gridCol w:w="123"/>
        <w:gridCol w:w="109"/>
        <w:gridCol w:w="109"/>
        <w:gridCol w:w="109"/>
        <w:gridCol w:w="224"/>
        <w:gridCol w:w="794"/>
        <w:gridCol w:w="184"/>
      </w:tblGrid>
      <w:tr>
        <w:trPr/>
        <w:tc>
          <w:tcPr>
            <w:tcW w:w="6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42"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9" w:type="dxa"/>
            <w:gridSpan w:val="6"/>
            <w:tcBorders/>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 of unconsolidated affiliates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657.3 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 of and for the three months ended March 31, 2025:</w:t>
      </w:r>
    </w:p>
    <w:tbl>
      <w:tblPr>
        <w:tblW w:w="10205" w:type="dxa"/>
        <w:jc w:val="left"/>
        <w:tblInd w:w="0" w:type="dxa"/>
        <w:tblLayout w:type="fixed"/>
        <w:tblCellMar>
          <w:top w:w="28" w:type="dxa"/>
          <w:left w:w="28" w:type="dxa"/>
          <w:bottom w:w="28" w:type="dxa"/>
          <w:right w:w="28" w:type="dxa"/>
        </w:tblCellMar>
      </w:tblPr>
      <w:tblGrid>
        <w:gridCol w:w="668"/>
        <w:gridCol w:w="324"/>
        <w:gridCol w:w="326"/>
        <w:gridCol w:w="228"/>
        <w:gridCol w:w="647"/>
        <w:gridCol w:w="127"/>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1"/>
        <w:gridCol w:w="658"/>
        <w:gridCol w:w="130"/>
        <w:gridCol w:w="109"/>
        <w:gridCol w:w="109"/>
        <w:gridCol w:w="109"/>
        <w:gridCol w:w="196"/>
        <w:gridCol w:w="691"/>
        <w:gridCol w:w="109"/>
        <w:gridCol w:w="109"/>
        <w:gridCol w:w="109"/>
        <w:gridCol w:w="109"/>
        <w:gridCol w:w="224"/>
        <w:gridCol w:w="791"/>
        <w:gridCol w:w="182"/>
      </w:tblGrid>
      <w:tr>
        <w:trPr/>
        <w:tc>
          <w:tcPr>
            <w:tcW w:w="6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3"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4" w:type="dxa"/>
            <w:gridSpan w:val="6"/>
            <w:tcBorders/>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2,096.4 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12"/>
        </w:rPr>
      </w:pPr>
      <w:r>
        <w:rPr>
          <w:rFonts w:ascii="Times New Roman;serif" w:hAnsi="Times New Roman;serif"/>
          <w:b w:val="false"/>
          <w:i/>
          <w:color w:val="000000"/>
          <w:sz w:val="12"/>
        </w:rPr>
        <w:t>_____________________________________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(1) "Other segment items" includes restaurant corporate personnel costs, advertising, professional fees and recognized gains and losses,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F — Revenue Recognition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w:t>
      </w:r>
    </w:p>
    <w:tbl>
      <w:tblPr>
        <w:tblW w:w="7788"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573"/>
        <w:gridCol w:w="573"/>
        <w:gridCol w:w="579"/>
        <w:gridCol w:w="109"/>
        <w:gridCol w:w="109"/>
        <w:gridCol w:w="109"/>
        <w:gridCol w:w="241"/>
        <w:gridCol w:w="585"/>
        <w:gridCol w:w="124"/>
        <w:gridCol w:w="124"/>
        <w:gridCol w:w="124"/>
        <w:gridCol w:w="124"/>
        <w:gridCol w:w="241"/>
        <w:gridCol w:w="706"/>
        <w:gridCol w:w="124"/>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Restaurant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Restaurant revenue consists of restaurant sales and, to a lesser extent, franchise revenue and other revenue. Restaurant sales including food and beverage sales,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our restaurant and other operating revenues are generated in the United States.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trade receivables and deferred revenue:</w:t>
      </w:r>
    </w:p>
    <w:tbl>
      <w:tblPr>
        <w:tblW w:w="6281" w:type="dxa"/>
        <w:jc w:val="center"/>
        <w:tblInd w:w="0" w:type="dxa"/>
        <w:tblLayout w:type="fixed"/>
        <w:tblCellMar>
          <w:top w:w="28" w:type="dxa"/>
          <w:left w:w="28" w:type="dxa"/>
          <w:bottom w:w="28" w:type="dxa"/>
          <w:right w:w="28" w:type="dxa"/>
        </w:tblCellMar>
      </w:tblPr>
      <w:tblGrid>
        <w:gridCol w:w="1139"/>
        <w:gridCol w:w="1002"/>
        <w:gridCol w:w="1009"/>
        <w:gridCol w:w="366"/>
        <w:gridCol w:w="705"/>
        <w:gridCol w:w="189"/>
        <w:gridCol w:w="109"/>
        <w:gridCol w:w="109"/>
        <w:gridCol w:w="109"/>
        <w:gridCol w:w="422"/>
        <w:gridCol w:w="812"/>
        <w:gridCol w:w="310"/>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(contract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receivables, net are included in Other current assets on our Condensed Consolidated Balance Sheets.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Deferred revenue is recorded primarily for restaurant gift card sales. The unrecognized portion of such revenue is recorded as Deferred revenue in the Condensed Consolidated Balance Sheets. Revenues of $1.4 million and $1.3 million was recognized in the three months ended </w:t>
      </w:r>
      <w:r>
        <w:rPr>
          <w:rFonts w:ascii="Times New Roman;serif" w:hAnsi="Times New Roman;serif"/>
          <w:b w:val="false"/>
          <w:color w:val="000000"/>
          <w:sz w:val="20"/>
          <w:shd w:fill="FFFFFF" w:val="clear"/>
        </w:rPr>
        <w:t>March 31, 2026 and</w:t>
      </w:r>
      <w:r>
        <w:rPr>
          <w:color w:val="000000"/>
        </w:rPr>
        <w:t xml:space="preserve">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respectively, that was included in Deferred revenue at the beginning of the period.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impairment related to contract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G — Notes Payable</w:t>
      </w:r>
    </w:p>
    <w:p>
      <w:pPr>
        <w:pStyle w:val="TextBody"/>
        <w:bidi w:val="0"/>
        <w:spacing w:lineRule="auto" w:line="288" w:before="120" w:after="120"/>
        <w:ind w:left="0" w:right="0" w:firstLine="31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Notes payable, net consists of the following:</w:t>
      </w:r>
    </w:p>
    <w:tbl>
      <w:tblPr>
        <w:tblW w:w="5858" w:type="dxa"/>
        <w:jc w:val="left"/>
        <w:tblInd w:w="0" w:type="dxa"/>
        <w:tblLayout w:type="fixed"/>
        <w:tblCellMar>
          <w:top w:w="28" w:type="dxa"/>
          <w:left w:w="28" w:type="dxa"/>
          <w:bottom w:w="28" w:type="dxa"/>
          <w:right w:w="28" w:type="dxa"/>
        </w:tblCellMar>
      </w:tblPr>
      <w:tblGrid>
        <w:gridCol w:w="869"/>
        <w:gridCol w:w="764"/>
        <w:gridCol w:w="767"/>
        <w:gridCol w:w="109"/>
        <w:gridCol w:w="109"/>
        <w:gridCol w:w="109"/>
        <w:gridCol w:w="320"/>
        <w:gridCol w:w="775"/>
        <w:gridCol w:w="165"/>
        <w:gridCol w:w="109"/>
        <w:gridCol w:w="109"/>
        <w:gridCol w:w="109"/>
        <w:gridCol w:w="372"/>
        <w:gridCol w:w="901"/>
        <w:gridCol w:w="271"/>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FNF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2020 Margin Facility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we borrowed an additional $40.0 million under the 2020 Margin Facility. On August 26, 2025, we paid off the entire balance of the 2020 Margin Facility in conjunction with the closing of D&amp;B's definitive agreement to be acquired by Clearlake Capital Group, L.P. (the "D&amp;B Sale"). On August 27, 2025, the 2020 Margin Facility was amended primarily to (i) remove the Company's prior holdings of D&amp;B from the collateral pool, (ii) reduce the capacity of the Margin Loan from $150.0 million to $50.0 million, (iii) reduce the spread from 310 to 275 basis points and (iv) extend the maturity date to August 27,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 prepaid in full all outstanding obligations under the 2020 Margin Facility and terminated the Margin Loan Agreement. There was no outstanding principal or interest advances under the Margin Loan Agreement as of the termination date and the 40 million shares of Alight that were pledged as collateral for borrowings were delivered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FNF Revolver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2022, we completed the repurchase of all of our common stock previously held by FNF; accordingly, there is no incremental borrowing capacity available under the FNF Revolver. On January 29, 2024, the FNF Revolver was amended to (i) reduce the borrowing capacity to $60.0 million and (ii) change the interest rate to a fixed rate of 7.0% per annum. The Company also repaid $25.0 million of outstanding principal under the FNF Revolver.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the Company also sold real estate to FNF in exchange for a $12.2 million reduction of outstanding principal under the FNF Revolver.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a $47.5 million outstanding principal amount which incurred interest at 5.0% and there is no available borrowing capacity under the FNF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principal maturities of notes payable at March 31, 2026 are as follows (in millions):</w:t>
      </w:r>
    </w:p>
    <w:tbl>
      <w:tblPr>
        <w:tblW w:w="2405" w:type="dxa"/>
        <w:jc w:val="left"/>
        <w:tblInd w:w="0" w:type="dxa"/>
        <w:tblLayout w:type="fixed"/>
        <w:tblCellMar>
          <w:top w:w="28" w:type="dxa"/>
          <w:left w:w="28" w:type="dxa"/>
          <w:bottom w:w="28" w:type="dxa"/>
          <w:right w:w="28" w:type="dxa"/>
        </w:tblCellMar>
      </w:tblPr>
      <w:tblGrid>
        <w:gridCol w:w="553"/>
        <w:gridCol w:w="486"/>
        <w:gridCol w:w="490"/>
        <w:gridCol w:w="211"/>
        <w:gridCol w:w="51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carrying value of our outstanding notes payable approximates fair value and are considered Level 2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H — Commitments and Contingencies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March 31, 2026 and December 31, 2025,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23, 2025, a putative class action lawsuit was filed in the Delaware Court of Chancery under the caption, New England Teamsters Pension Fund and Daniel Clark v. William P. Foley II, Anthony M. Jabbour, Thomas M. Hagerty, Douglas K. Ammerman, and Cannae Holdings, Inc., C.A. No. 2025-1220. The plaintiffs allege that the individual defendants, each of whom served as an officer and/or director of D&amp;B at the relevant time, breached their fiduciary duties in connection with the August 26, 2025 sale of D&amp;B to a private equity firm. Specifically, the complaint asserts that the transaction undervalued D&amp;B's stock, resulting in inadequate cash consideration for its stockholders. The plaintiffs further allege that certain of the individual defendants' knowledge should be imputed to the Company, and on that basis, include a claim against the Company for aiding and abetting the alleged breaches of fiduciary duty. The plaintiffs seek declaratory judgment, monetary damages, and other equitable relief. They also seek to certify a class comprising all former D&amp;B stockholders who exchanged their shares for cash in the transaction, excluding the defendants and any individuals who were officers or directors of D&amp;B at the time the transaction closed. On January 12, 2026, the Company filed a motion to dismiss the complaint. The motion is fully briefed and set for hearing on November 10, 2026. The Company intends to vigorously defend against the claims asserted in the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March 31, 2026 to determine the amount of the obligations. Purchase obligations as of March 31, 2026 are as follows (in millions):</w:t>
      </w:r>
    </w:p>
    <w:tbl>
      <w:tblPr>
        <w:tblW w:w="3336" w:type="dxa"/>
        <w:jc w:val="center"/>
        <w:tblInd w:w="0" w:type="dxa"/>
        <w:tblLayout w:type="fixed"/>
        <w:tblCellMar>
          <w:top w:w="28" w:type="dxa"/>
          <w:left w:w="28" w:type="dxa"/>
          <w:bottom w:w="28" w:type="dxa"/>
          <w:right w:w="28" w:type="dxa"/>
        </w:tblCellMar>
      </w:tblPr>
      <w:tblGrid>
        <w:gridCol w:w="890"/>
        <w:gridCol w:w="782"/>
        <w:gridCol w:w="788"/>
        <w:gridCol w:w="211"/>
        <w:gridCol w:w="51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2025, we entered into an agreement to acquire an additional 30% ownership interest in JANA Partners in exchange for an upfront payment of $67.5 million and potential further payments aggregating to $26.0 million if JANA Partners achieves certain assets under management thresholds (the "JANA Contingent Consideration"). We are potentially liable for the JANA Contingent Consideration. The JANA Contingent Consideration is payable if JANA Partners achieves certain thresholds for assets under management ("AUM") by certain dates. The total $26 million potentially payable for the JANA Contingent Consideration is bifurcated into two tranches as follows: (1) a payment of $16 million if JANA Partners achieves an AUM threshold from September 2026 through December 2028 (the "Initial Payment") and (2) a payment of $10 million if JANA Partners achieves an AUM threshold as of December 31, 2028 (the "Additional Payment"). We consider the Initial Payment probable and have included $16 million in the basis of our investment in JANA Partners and a corresponding liability in Accounts payable and other accrued liabilities, current in our Condensed Consolidated Balance Sheet as of March 31, 2026. We do not consider the Additional Payment to be probable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I — Supplemental Cash Flow Information</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supplemental cash flow information is provided with respect to certain cash payments, as well as certain non-cash investing and financing activities.</w:t>
      </w:r>
    </w:p>
    <w:tbl>
      <w:tblPr>
        <w:tblW w:w="8542" w:type="dxa"/>
        <w:jc w:val="left"/>
        <w:tblInd w:w="0" w:type="dxa"/>
        <w:tblLayout w:type="fixed"/>
        <w:tblCellMar>
          <w:top w:w="28" w:type="dxa"/>
          <w:left w:w="28" w:type="dxa"/>
          <w:bottom w:w="28" w:type="dxa"/>
          <w:right w:w="28" w:type="dxa"/>
        </w:tblCellMar>
      </w:tblPr>
      <w:tblGrid>
        <w:gridCol w:w="2104"/>
        <w:gridCol w:w="1849"/>
        <w:gridCol w:w="1866"/>
        <w:gridCol w:w="109"/>
        <w:gridCol w:w="109"/>
        <w:gridCol w:w="109"/>
        <w:gridCol w:w="277"/>
        <w:gridCol w:w="534"/>
        <w:gridCol w:w="143"/>
        <w:gridCol w:w="143"/>
        <w:gridCol w:w="143"/>
        <w:gridCol w:w="143"/>
        <w:gridCol w:w="277"/>
        <w:gridCol w:w="534"/>
        <w:gridCol w:w="202"/>
      </w:tblGrid>
      <w:tr>
        <w:trPr/>
        <w:tc>
          <w:tcPr>
            <w:tcW w:w="210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Fulfillment received as consideration in the WD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real estate as 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J — Discontinued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Dun &amp; Bradstreet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2025, D&amp;B announced the D&amp;B Sale. As a result of the transaction, D&amp;B is presented as a discontinued operation in our Consolidated Financial Statements for the year ended December 31, 2025. Through the date of the D&amp;B Disposition, we continued to exert significant influence over D&amp;B and therefore we continued to account for this investment under the equity method of accounting. As a result of the reclassification of our investment in Dun &amp; Bradstreet as held for sale and a discontinued operation, we marked our investment in D&amp;B to the fair market value implied by the stock price beginning as of March 31, 2025 and recorded an impairment of $68.1 million in the three months ended March 31, 2025, which is included in Net losses from discontinued operations, net of tax on our Condensed Consolidated Statement of Operations.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26, 2025, the D&amp;B Sale closed and Cannae completed the disposition of its ownership interests in D&amp;B for aggregate proceeds of $540.3 million in cash in exchange for our remaining 59,048,691 shares of common stock (the "D&amp;B Disposition"). Following the consummation of the D&amp;B Disposition, Cannae no longer has any ownership interest in the common stock of D&amp;B.</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operations of D&amp;B to the Condensed Consolidated Statement of Operations is presented below for the three months ended March 31, 2025 (in millions):</w:t>
      </w:r>
    </w:p>
    <w:tbl>
      <w:tblPr>
        <w:tblW w:w="6413" w:type="dxa"/>
        <w:jc w:val="left"/>
        <w:tblInd w:w="0" w:type="dxa"/>
        <w:tblLayout w:type="fixed"/>
        <w:tblCellMar>
          <w:top w:w="28" w:type="dxa"/>
          <w:left w:w="28" w:type="dxa"/>
          <w:bottom w:w="28" w:type="dxa"/>
          <w:right w:w="28" w:type="dxa"/>
        </w:tblCellMar>
      </w:tblPr>
      <w:tblGrid>
        <w:gridCol w:w="1659"/>
        <w:gridCol w:w="1462"/>
        <w:gridCol w:w="1469"/>
        <w:gridCol w:w="109"/>
        <w:gridCol w:w="109"/>
        <w:gridCol w:w="109"/>
        <w:gridCol w:w="109"/>
        <w:gridCol w:w="211"/>
        <w:gridCol w:w="586"/>
        <w:gridCol w:w="109"/>
        <w:gridCol w:w="109"/>
        <w:gridCol w:w="109"/>
        <w:gridCol w:w="109"/>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7"/>
            <w:tcBorders/>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(losses) gains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statement of operations information for D&amp;B for the relevant dates and time periods included in Net losses from discontinued operations, net of tax in our Statements of Operations is presented below for the three months ended March 31, 2025 (in millions): </w:t>
      </w:r>
    </w:p>
    <w:tbl>
      <w:tblPr>
        <w:tblW w:w="6503" w:type="dxa"/>
        <w:jc w:val="center"/>
        <w:tblInd w:w="0" w:type="dxa"/>
        <w:tblLayout w:type="fixed"/>
        <w:tblCellMar>
          <w:top w:w="28" w:type="dxa"/>
          <w:left w:w="28" w:type="dxa"/>
          <w:bottom w:w="28" w:type="dxa"/>
          <w:right w:w="28" w:type="dxa"/>
        </w:tblCellMar>
      </w:tblPr>
      <w:tblGrid>
        <w:gridCol w:w="1681"/>
        <w:gridCol w:w="1480"/>
        <w:gridCol w:w="1489"/>
        <w:gridCol w:w="109"/>
        <w:gridCol w:w="109"/>
        <w:gridCol w:w="109"/>
        <w:gridCol w:w="109"/>
        <w:gridCol w:w="211"/>
        <w:gridCol w:w="616"/>
        <w:gridCol w:w="109"/>
        <w:gridCol w:w="109"/>
        <w:gridCol w:w="109"/>
        <w:gridCol w:w="109"/>
        <w:gridCol w:w="154"/>
      </w:tblGrid>
      <w:tr>
        <w:trPr/>
        <w:tc>
          <w:tcPr>
            <w:tcW w:w="168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7"/>
            <w:tcBorders/>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Dun &amp; Bradstreet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both"/>
        <w:rPr/>
      </w:pP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March 31, 2025, we received quarterly cash dividends from D&amp;B in the amount of</w:t>
      </w:r>
      <w:r>
        <w:rPr>
          <w:color w:val="000000"/>
        </w:rPr>
        <w:t xml:space="preserve"> </w:t>
      </w:r>
      <w:r>
        <w:rPr>
          <w:rFonts w:ascii="Times New Roman;serif" w:hAnsi="Times New Roman;serif"/>
          <w:b w:val="false"/>
          <w:color w:val="000000"/>
          <w:sz w:val="20"/>
        </w:rPr>
        <w:t xml:space="preserve">$3.5 million which are included in Distributions from investments in unconsolidated affiliates on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and other risks detailed in the "Statement Regarding Forward-Looking Information," "Risk Factors" and other sections of our Annual Report on Form 10-K for the year ended December 31, 2025 (our "Annual Report") and other filings with the Securities Exchange Commission ("SEC").</w:t>
      </w:r>
    </w:p>
    <w:p>
      <w:pPr>
        <w:pStyle w:val="TextBody"/>
        <w:bidi w:val="0"/>
        <w:spacing w:lineRule="auto" w:line="25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indicates otherwise, as used herein, the terms "we," "us," "our," "Cannae," or the "Company" refer collectively to Cannae Holdings, Inc., and its subsidiaries.</w:t>
      </w:r>
    </w:p>
    <w:p>
      <w:pPr>
        <w:pStyle w:val="TextBody"/>
        <w:bidi w:val="0"/>
        <w:spacing w:lineRule="auto" w:line="256" w:before="120" w:after="120"/>
        <w:ind w:left="0" w:right="0" w:firstLine="360"/>
        <w:jc w:val="both"/>
        <w:rPr/>
      </w:pPr>
      <w:r>
        <w:rPr>
          <w:rFonts w:ascii="Times New Roman;serif" w:hAnsi="Times New Roman;serif"/>
          <w:b w:val="false"/>
          <w:color w:val="000000"/>
          <w:sz w:val="20"/>
        </w:rPr>
        <w:t>The following discussion should be read in conjunction with our Annual Report. For an additional description of our business, including descriptions of segments and recent business developments, see the discussion</w:t>
      </w:r>
      <w:r>
        <w:rPr>
          <w:color w:val="000000"/>
        </w:rPr>
        <w:t xml:space="preserve"> </w:t>
      </w:r>
      <w:r>
        <w:rPr>
          <w:rFonts w:ascii="Times New Roman;serif" w:hAnsi="Times New Roman;serif"/>
          <w:b w:val="false"/>
          <w:color w:val="000000"/>
          <w:sz w:val="20"/>
        </w:rPr>
        <w:t xml:space="preserve">in Note A - </w:t>
      </w:r>
      <w:r>
        <w:rPr>
          <w:rFonts w:ascii="Times New Roman;serif" w:hAnsi="Times New Roman;serif"/>
          <w:b w:val="false"/>
          <w:i/>
          <w:color w:val="000000"/>
          <w:sz w:val="20"/>
        </w:rPr>
        <w:t>Basis of Financial Statements</w:t>
      </w:r>
      <w:r>
        <w:rPr>
          <w:color w:val="000000"/>
        </w:rPr>
        <w:t xml:space="preserve"> </w:t>
      </w:r>
      <w:r>
        <w:rPr>
          <w:rFonts w:ascii="Times New Roman;serif" w:hAnsi="Times New Roman;serif"/>
          <w:b w:val="false"/>
          <w:color w:val="000000"/>
          <w:sz w:val="20"/>
        </w:rPr>
        <w:t xml:space="preserve">and Note E -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to the Condensed Consolidated Financial Statements included in Item 1 of Part I of this Quarterly Report, which is incorporated by reference into this Part I, Item 2.</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Seasonality and Macroeconomic Conditions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Restaurant Group</w:t>
      </w:r>
      <w:r>
        <w:rPr>
          <w:rFonts w:ascii="Times New Roman;serif" w:hAnsi="Times New Roman;serif"/>
          <w:b w:val="false"/>
          <w:color w:val="000000"/>
          <w:sz w:val="20"/>
        </w:rPr>
        <w:t>. 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Average weekly sales per restaurant are typically higher in the first and second quarters than in other quarters, and we typically generate a disproportionate share of our earnings from operations in the first half of the year. Holidays, severe weather and other disruptive conditions may impact sales volumes seasonally in some operating regions.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various macroeconomic factors will continue to drive uncertainty and instability, which could have a significant impact on the Company during fiscal 2026. These factors include,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In light of increasing uncertainty in the markets we serve, we are unable to predict how long the current environment will last or the significance of the financial and operational impacts to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continuing to explore strategic alternatives related to our restaurant group as part of our portfolio transformation strategy.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and operating income in future periods will continue to be subject to these and other factors that are beyond our control and, as a result, are likely to fluctuate.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bidi w:val="0"/>
        <w:spacing w:lineRule="auto" w:line="288" w:before="120" w:after="100"/>
        <w:ind w:left="0" w:right="0" w:firstLine="360"/>
        <w:jc w:val="both"/>
        <w:rPr/>
      </w:pPr>
      <w:r>
        <w:rPr>
          <w:rFonts w:ascii="Times New Roman;serif" w:hAnsi="Times New Roman;serif"/>
          <w:b w:val="false"/>
          <w:i/>
          <w:color w:val="000000"/>
          <w:sz w:val="20"/>
        </w:rPr>
        <w:t>Investments in unconsolidated affiliates - impairment monitoring</w:t>
      </w:r>
      <w:r>
        <w:rPr>
          <w:rFonts w:ascii="Times New Roman;serif" w:hAnsi="Times New Roman;serif"/>
          <w:b w:val="false"/>
          <w:color w:val="000000"/>
          <w:sz w:val="20"/>
        </w:rPr>
        <w:t>.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 xml:space="preserve">As of March 31, 2026, the book value of our investment in Alight accounted for under the equity method of accounting is </w:t>
      </w:r>
      <w:r>
        <w:rPr>
          <w:rFonts w:ascii="Times New Roman;serif" w:hAnsi="Times New Roman;serif"/>
          <w:b w:val="false"/>
          <w:color w:val="000000"/>
          <w:sz w:val="20"/>
        </w:rPr>
        <w:t xml:space="preserve">$71.6 million. Based on the closing stock price of Alight common shares as of </w:t>
      </w:r>
      <w:r>
        <w:rPr>
          <w:rFonts w:ascii="Times New Roman;serif" w:hAnsi="Times New Roman;serif"/>
          <w:b w:val="false"/>
          <w:color w:val="000000"/>
          <w:sz w:val="20"/>
          <w:shd w:fill="FFFFFF" w:val="clear"/>
        </w:rPr>
        <w:t xml:space="preserve">March 31, 2026, the fair value of our investment in Alight was </w:t>
      </w:r>
      <w:r>
        <w:rPr>
          <w:rFonts w:ascii="Times New Roman;serif" w:hAnsi="Times New Roman;serif"/>
          <w:b w:val="false"/>
          <w:color w:val="000000"/>
          <w:sz w:val="20"/>
        </w:rPr>
        <w:t xml:space="preserve">$23.5 million. While the fair value of our investment in Alight is currently below our book value as of March 31, 2026, the fair value has only been below book value for less than three months. </w:t>
      </w:r>
      <w:r>
        <w:rPr>
          <w:rFonts w:ascii="Times New Roman;serif" w:hAnsi="Times New Roman;serif"/>
          <w:b w:val="false"/>
          <w:color w:val="000000"/>
          <w:sz w:val="20"/>
          <w:shd w:fill="FFFFFF" w:val="clear"/>
        </w:rPr>
        <w:t>Though we do not currently believe our investment in Alight is other than temporarily impaired, because the fair value is below the book value of our investment as of March 31, 2026,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Accounting for Income Taxes. </w:t>
      </w:r>
      <w:r>
        <w:rPr>
          <w:rFonts w:ascii="Times New Roman;serif" w:hAnsi="Times New Roman;serif"/>
          <w:b w:val="false"/>
          <w:color w:val="000000"/>
          <w:sz w:val="20"/>
        </w:rPr>
        <w:t>We recognize deferred tax assets and liabilities for temporary differences between the financial reporting basis and the tax basis of our assets and liabilities and expected benefits of utilizing net operating loss ("NOL")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a net deferred tax asset of $1.0 million, which is primarily attributable to temporary differences for certain state income taxes. The Company continues to record a full valuation allowance on its federal NOL carryforwards and certain other deferred taxes related to our ownership interests where it is not more likely than not that the tax benefit will be realized. As of March 31, 2026, our federal valuation allowance was $171.5 million. Additionally, a state valuation allowance of $6.7 million has been recorded representing certain state NOLs where it is not more likely than not that the tax benefit of certain state NOLs will be realized before the NOLs in those certain states expire.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and our related valuation allowances. The Company will continue to monitor the recoverability of deferred tax assets on a quarterly basis and may need to adjust its valuation allowances on its net deferred tax asset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Consolidated Results of Operations</w:t>
      </w:r>
    </w:p>
    <w:p>
      <w:pPr>
        <w:pStyle w:val="TextBody"/>
        <w:bidi w:val="0"/>
        <w:spacing w:lineRule="auto" w:line="288" w:before="120" w:after="120"/>
        <w:ind w:left="0" w:right="0" w:firstLine="360"/>
        <w:jc w:val="left"/>
        <w:rPr/>
      </w:pPr>
      <w:r>
        <w:rPr>
          <w:rFonts w:ascii="Times New Roman;serif" w:hAnsi="Times New Roman;serif"/>
          <w:b w:val="false"/>
          <w:i/>
          <w:color w:val="000000"/>
          <w:sz w:val="20"/>
        </w:rPr>
        <w:t xml:space="preserve">Net Earnings (Loss). </w:t>
      </w:r>
      <w:r>
        <w:rPr>
          <w:rFonts w:ascii="Times New Roman;serif" w:hAnsi="Times New Roman;serif"/>
          <w:b w:val="false"/>
          <w:color w:val="000000"/>
          <w:sz w:val="20"/>
        </w:rPr>
        <w:t>The following table presents certain financial data for the periods indicated:</w:t>
      </w:r>
    </w:p>
    <w:tbl>
      <w:tblPr>
        <w:tblW w:w="8139" w:type="dxa"/>
        <w:jc w:val="left"/>
        <w:tblInd w:w="0" w:type="dxa"/>
        <w:tblLayout w:type="fixed"/>
        <w:tblCellMar>
          <w:top w:w="28" w:type="dxa"/>
          <w:left w:w="28" w:type="dxa"/>
          <w:bottom w:w="28" w:type="dxa"/>
          <w:right w:w="28" w:type="dxa"/>
        </w:tblCellMar>
      </w:tblPr>
      <w:tblGrid>
        <w:gridCol w:w="1919"/>
        <w:gridCol w:w="1687"/>
        <w:gridCol w:w="1703"/>
        <w:gridCol w:w="218"/>
        <w:gridCol w:w="604"/>
        <w:gridCol w:w="121"/>
        <w:gridCol w:w="121"/>
        <w:gridCol w:w="121"/>
        <w:gridCol w:w="121"/>
        <w:gridCol w:w="218"/>
        <w:gridCol w:w="704"/>
        <w:gridCol w:w="121"/>
        <w:gridCol w:w="109"/>
        <w:gridCol w:w="109"/>
        <w:gridCol w:w="109"/>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2830" w:type="dxa"/>
            <w:gridSpan w:val="13"/>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revenue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revenues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restaurant revenue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costs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including asset impairments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investment and other income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(losses) gains,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(expense) income, net </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 and equity in losses of unconsolidated affiliates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equity in losses of unconsolidated affiliates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unconsolidated affiliates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Cannae Holdings, Inc. common shareholders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 the Three Months Ended March 31, 2026 and 2025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following is a discussion of the material fluctuations in our consolidated results of operations for the three months ended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as compared to the three months ended March 31, 2025. The material changes in revenues, expenses and pre-tax loss for the three months ended </w:t>
      </w:r>
      <w:r>
        <w:rPr>
          <w:rFonts w:ascii="Times New Roman;serif" w:hAnsi="Times New Roman;serif"/>
          <w:b w:val="false"/>
          <w:color w:val="000000"/>
          <w:sz w:val="20"/>
          <w:shd w:fill="FFFFFF" w:val="clear"/>
        </w:rPr>
        <w:t>March 31, 2026 and 2025 are</w:t>
      </w:r>
      <w:r>
        <w:rPr>
          <w:color w:val="000000"/>
        </w:rPr>
        <w:t xml:space="preserve"> </w:t>
      </w:r>
      <w:r>
        <w:rPr>
          <w:rFonts w:ascii="Times New Roman;serif" w:hAnsi="Times New Roman;serif"/>
          <w:b w:val="false"/>
          <w:color w:val="000000"/>
          <w:sz w:val="20"/>
        </w:rPr>
        <w:t>discussed in further detail at the segment level below.</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Restaurant sales including food and beverage sales,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Expenses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primarily of personnel costs, cost of restaurant revenue, other operating expenses, and depreciation and amortization.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consists of our depreciation related to investments in property and equipment as well as amortization of intangible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include management fees, carried interest fees, professional fees, advertising costs, travel expenses and impairments of operating assets.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Recognized (losses) gains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Recognized (losses) gains changed $14.4 million, or 200.0%, in the three months ended March 31, 2026 compared to the corresponding period in 2025. The change in Recognized (losses) gains is discussed in further detail at the segment level below.</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Pre-Tax Earnings (Loss)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(loss) before income taxes and equity in losses of unconsolidated affiliates decreased $12.9 million, or 77.7%, in the three months ended March 31, 2026 compared to the corresponding period in 2025.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benefit was $0.5 million and $20.2 million in the three-month periods ended March 31, 2026 and 2025, respectively. Our effective tax rate was (1.7)% and (121.7)% in the three months ended March 31, 2026 and 2025,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March 31, 2026 compared to the corresponding period in 2025 is attributable to recording a valuation allowance recorded in the prior year period of $28.3 million and the varying impact of equity in losses of unconsolidated affiliates on income tax expense (benefit).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Equity in Earnings (Losses) of Unconsolidated Affiliates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Equity in earnings (losses) of unconsolidated affiliates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months ended March 31, 2026 and 2025 consisted of the following:</w:t>
      </w:r>
    </w:p>
    <w:tbl>
      <w:tblPr>
        <w:tblW w:w="4167" w:type="dxa"/>
        <w:jc w:val="left"/>
        <w:tblInd w:w="0" w:type="dxa"/>
        <w:tblLayout w:type="fixed"/>
        <w:tblCellMar>
          <w:top w:w="28" w:type="dxa"/>
          <w:left w:w="28" w:type="dxa"/>
          <w:bottom w:w="28" w:type="dxa"/>
          <w:right w:w="28" w:type="dxa"/>
        </w:tblCellMar>
      </w:tblPr>
      <w:tblGrid>
        <w:gridCol w:w="465"/>
        <w:gridCol w:w="411"/>
        <w:gridCol w:w="414"/>
        <w:gridCol w:w="249"/>
        <w:gridCol w:w="567"/>
        <w:gridCol w:w="128"/>
        <w:gridCol w:w="128"/>
        <w:gridCol w:w="128"/>
        <w:gridCol w:w="128"/>
        <w:gridCol w:w="249"/>
        <w:gridCol w:w="691"/>
        <w:gridCol w:w="128"/>
        <w:gridCol w:w="109"/>
        <w:gridCol w:w="109"/>
        <w:gridCol w:w="109"/>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net income or loss from our unconsolidated affiliates that are reportable segments is discussed in further detail at the segment level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Restaurant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from operations of our Restaurant Group segment:</w:t>
      </w:r>
    </w:p>
    <w:tbl>
      <w:tblPr>
        <w:tblW w:w="8906" w:type="dxa"/>
        <w:jc w:val="left"/>
        <w:tblInd w:w="0" w:type="dxa"/>
        <w:tblLayout w:type="fixed"/>
        <w:tblCellMar>
          <w:top w:w="28" w:type="dxa"/>
          <w:left w:w="28" w:type="dxa"/>
          <w:bottom w:w="28" w:type="dxa"/>
          <w:right w:w="28" w:type="dxa"/>
        </w:tblCellMar>
      </w:tblPr>
      <w:tblGrid>
        <w:gridCol w:w="2193"/>
        <w:gridCol w:w="1931"/>
        <w:gridCol w:w="1950"/>
        <w:gridCol w:w="240"/>
        <w:gridCol w:w="668"/>
        <w:gridCol w:w="124"/>
        <w:gridCol w:w="124"/>
        <w:gridCol w:w="124"/>
        <w:gridCol w:w="124"/>
        <w:gridCol w:w="240"/>
        <w:gridCol w:w="583"/>
        <w:gridCol w:w="124"/>
        <w:gridCol w:w="109"/>
        <w:gridCol w:w="109"/>
        <w:gridCol w:w="109"/>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restaurant revenue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including asset impairments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(loss) gains, net</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of unconsolidated affiliates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 xml:space="preserve">For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the Restaurant Group segment decreased $7.2 million, or 7.3%, in the three months ended March 31, 2026, compared to the corresponding period in 2025. The reduction in revenue is primarily attributable to approximately $3.4 million of incremental revenue included in the three months ended March 31, 2025 associated with O'Charley's store locations that were closed prior to the three months ended March 31, 2026 and a decline in comparable store sales.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Comparable Store Sales. </w:t>
      </w:r>
      <w:r>
        <w:rPr>
          <w:rFonts w:ascii="Times New Roman;serif" w:hAnsi="Times New Roman;serif"/>
          <w:b w:val="false"/>
          <w:color w:val="000000"/>
          <w:sz w:val="20"/>
        </w:rPr>
        <w:t>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12.6% and 2.1%, respectively, in the three months ended March 31, 2026 compared to the corresponding period in 2025. The decrease is primarily attributable to our O'Charley's and 99 Restaurants brands decrease in guest counts of 20.8% and 7.4%, respectively, partially offset by an increase in the average amount spent by guests each visit of 10.4% and 5.8%, respectively. The decline in same store sales is an unfavorable trend reasonably likely to have a material unfavorable impact on future net sales and income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 for the Restaurant Group segment increased $7.5 million, or 141.5%, in the three months ended March 31, 2026, compared to the corresponding periods in 2025. The change is primarily attributable to an $8.0 million increase in non-cash impairments to property, plant and equipment and lease assets with O'Charley's and 99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Alight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own approximately 7.7% of the outstanding common stock of Alight. We account for our ownership of Alight under the equity method of accounting; therefore, its results do not consolidate into ours.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statement of operations information for Alight for the relevant dates and time periods included in Equity in losses of unconsolidated affiliates in our Condensed Consolidated Statements of Operations is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6930" w:type="dxa"/>
        <w:jc w:val="left"/>
        <w:tblInd w:w="0" w:type="dxa"/>
        <w:tblLayout w:type="fixed"/>
        <w:tblCellMar>
          <w:top w:w="28" w:type="dxa"/>
          <w:left w:w="28" w:type="dxa"/>
          <w:bottom w:w="28" w:type="dxa"/>
          <w:right w:w="28" w:type="dxa"/>
        </w:tblCellMar>
      </w:tblPr>
      <w:tblGrid>
        <w:gridCol w:w="1465"/>
        <w:gridCol w:w="1290"/>
        <w:gridCol w:w="1295"/>
        <w:gridCol w:w="230"/>
        <w:gridCol w:w="672"/>
        <w:gridCol w:w="119"/>
        <w:gridCol w:w="119"/>
        <w:gridCol w:w="119"/>
        <w:gridCol w:w="119"/>
        <w:gridCol w:w="230"/>
        <w:gridCol w:w="672"/>
        <w:gridCol w:w="119"/>
        <w:gridCol w:w="109"/>
        <w:gridCol w:w="109"/>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Alight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relating to the results of operations of Alight (NYSE: "ALIT")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00"/>
        <w:jc w:val="both"/>
        <w:rPr>
          <w:rFonts w:ascii="Times New Roman;serif" w:hAnsi="Times New Roman;serif"/>
          <w:b/>
          <w:i/>
          <w:color w:val="000000"/>
          <w:sz w:val="20"/>
        </w:rPr>
      </w:pPr>
      <w:r>
        <w:rPr>
          <w:rFonts w:ascii="Times New Roman;serif" w:hAnsi="Times New Roman;serif"/>
          <w:b/>
          <w:i/>
          <w:color w:val="000000"/>
          <w:sz w:val="20"/>
        </w:rPr>
        <w:t>Black Knight Football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own approximately 44.5% of the ownership interest of Black Knight Football. We account for our ownership of BKFC under the equity method of accounting, and therefore its results do not consolidate into ours. We report our equity in the earnings or loss of BKFC on a three-month lag, and accordingly, our net loss for the three months ended March 31, 2026 and 2025 includes our equity in BKFC’s losses for the three months ended December 31, 2025 and 2024,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statement of operation information for Black Knight Football for the relevant dates and time periods included in Equity in losses of unconsolidated affiliates in our Condensed Consolidated Statements of Operations is presented below.</w:t>
      </w:r>
    </w:p>
    <w:tbl>
      <w:tblPr>
        <w:tblW w:w="5998" w:type="dxa"/>
        <w:jc w:val="left"/>
        <w:tblInd w:w="0" w:type="dxa"/>
        <w:tblLayout w:type="fixed"/>
        <w:tblCellMar>
          <w:top w:w="28" w:type="dxa"/>
          <w:left w:w="28" w:type="dxa"/>
          <w:bottom w:w="28" w:type="dxa"/>
          <w:right w:w="28" w:type="dxa"/>
        </w:tblCellMar>
      </w:tblPr>
      <w:tblGrid>
        <w:gridCol w:w="1058"/>
        <w:gridCol w:w="931"/>
        <w:gridCol w:w="936"/>
        <w:gridCol w:w="275"/>
        <w:gridCol w:w="666"/>
        <w:gridCol w:w="142"/>
        <w:gridCol w:w="142"/>
        <w:gridCol w:w="142"/>
        <w:gridCol w:w="142"/>
        <w:gridCol w:w="275"/>
        <w:gridCol w:w="666"/>
        <w:gridCol w:w="142"/>
        <w:gridCol w:w="109"/>
        <w:gridCol w:w="109"/>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of unconsolidated affiliates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BKFC</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BKFC's total revenue is primarily attributable to Premier League media rights, matchday and sponsorship revenue earned by AFCB.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Black Knight Football increased $6.7 million, or 9.4%, in the three months ended December 31, 2025, compared to the corresponding period in 2024. The change in revenue was primarily attributable to a $6.7 million, or 13.4%, increase due to AFCB's higher placement in the table which drives revenue from the Premier League along with an increase in matchday and sponsorship revenue, offset by a decrease in other income from players on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JANA Partners</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own approximately 50.0% of the ownership interest of JANA Partners. We account for our ownership of JANA under the equity method of accounting, and therefore its results do not consolidate into ours. We report our equity in the earnings or loss of JANA Partners on a three-month lag, and accordingly, our net earnings (loss) for the three months ended March 31, 2026 and 2025 includes our equity in JANA’s earnings for the three months ended December 31, 2025, and 2024, respectively.</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statement of operations information for JANA Partners for the relevant dates and time periods included in Equity in losses of unconsolidated affiliates in our Condensed Consolidated Statements of Operations is presented below. </w:t>
      </w:r>
    </w:p>
    <w:tbl>
      <w:tblPr>
        <w:tblW w:w="4866" w:type="dxa"/>
        <w:jc w:val="left"/>
        <w:tblInd w:w="0" w:type="dxa"/>
        <w:tblLayout w:type="fixed"/>
        <w:tblCellMar>
          <w:top w:w="28" w:type="dxa"/>
          <w:left w:w="28" w:type="dxa"/>
          <w:bottom w:w="28" w:type="dxa"/>
          <w:right w:w="28" w:type="dxa"/>
        </w:tblCellMar>
      </w:tblPr>
      <w:tblGrid>
        <w:gridCol w:w="569"/>
        <w:gridCol w:w="501"/>
        <w:gridCol w:w="504"/>
        <w:gridCol w:w="290"/>
        <w:gridCol w:w="559"/>
        <w:gridCol w:w="150"/>
        <w:gridCol w:w="150"/>
        <w:gridCol w:w="150"/>
        <w:gridCol w:w="150"/>
        <w:gridCol w:w="290"/>
        <w:gridCol w:w="704"/>
        <w:gridCol w:w="150"/>
        <w:gridCol w:w="109"/>
        <w:gridCol w:w="109"/>
        <w:gridCol w:w="109"/>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72" w:type="dxa"/>
            <w:gridSpan w:val="3"/>
            <w:tcBorders/>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JANA's total revenue is primarily attributable to management fees earned from managing investment funds and performance fees earned which are calculated based on investment performance and various factors, including relative benchmarks, hurdles and preferred returns.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JANA Partners decreased $14.0 million, or 70.4%, in the three months ended December 31, 2025 relative to the corresponding period in 2024. The change is revenue was primarily attributable to investment performance and the timing of certain performance fees earned over a multi-year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and Other segment consists of our share in the operations of certain controlled businesses and other equity ownership interests, activity of the corporate holding company and certain intercompany eliminations and taxes.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from operations of our non-reportable Corporate and other segment:</w:t>
      </w:r>
    </w:p>
    <w:tbl>
      <w:tblPr>
        <w:tblW w:w="9764" w:type="dxa"/>
        <w:jc w:val="left"/>
        <w:tblInd w:w="0" w:type="dxa"/>
        <w:tblLayout w:type="fixed"/>
        <w:tblCellMar>
          <w:top w:w="28" w:type="dxa"/>
          <w:left w:w="28" w:type="dxa"/>
          <w:bottom w:w="28" w:type="dxa"/>
          <w:right w:w="28" w:type="dxa"/>
        </w:tblCellMar>
      </w:tblPr>
      <w:tblGrid>
        <w:gridCol w:w="2510"/>
        <w:gridCol w:w="2203"/>
        <w:gridCol w:w="2216"/>
        <w:gridCol w:w="232"/>
        <w:gridCol w:w="645"/>
        <w:gridCol w:w="120"/>
        <w:gridCol w:w="120"/>
        <w:gridCol w:w="120"/>
        <w:gridCol w:w="120"/>
        <w:gridCol w:w="232"/>
        <w:gridCol w:w="645"/>
        <w:gridCol w:w="120"/>
        <w:gridCol w:w="109"/>
        <w:gridCol w:w="109"/>
        <w:gridCol w:w="109"/>
        <w:gridCol w:w="154"/>
      </w:tblGrid>
      <w:tr>
        <w:trPr/>
        <w:tc>
          <w:tcPr>
            <w:tcW w:w="251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investment and other income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(losses) gains,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earnings of unconsolidated affiliates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 xml:space="preserve">For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Personnel costs decreased $3.2 million in the three months ended March 31, 2026, compared to the corresponding period in 2025. The change in personnel costs was primarily driven by a transition in executive management in the prior year which resulted in a $3.6 million decrease in bonus and stock compensation expense in the current year period, partially offset by a slight increase in personnel costs at Brasada.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decreased $3.2 million in the three months ended March 31, 2026, compared to the prior year period in 2025. The change was primarily attributable to the MSA Termination Agreement which decreased operating expenses by $3.6 million, partially offset by a slight increase in legal and other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excluding Brasada and certain intercompany eliminations ("corporate holding company expenses"), were $8.9 million and $16.2 million in the three months ended March 31, 2026 and 2025, respectively. The corporate holding company expense decrease of $7.3 million, or 45%, in the three months ended March 31, 2026, compared to the corresponding period in 2025, was primarily attributable to the factors described above and reflects the Company's board and management focus on cost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Recognized gains, net in our Corporate and Other segment consists of the following:</w:t>
      </w:r>
    </w:p>
    <w:tbl>
      <w:tblPr>
        <w:tblW w:w="5672" w:type="dxa"/>
        <w:jc w:val="left"/>
        <w:tblInd w:w="0" w:type="dxa"/>
        <w:tblLayout w:type="fixed"/>
        <w:tblCellMar>
          <w:top w:w="28" w:type="dxa"/>
          <w:left w:w="28" w:type="dxa"/>
          <w:bottom w:w="28" w:type="dxa"/>
          <w:right w:w="28" w:type="dxa"/>
        </w:tblCellMar>
      </w:tblPr>
      <w:tblGrid>
        <w:gridCol w:w="989"/>
        <w:gridCol w:w="869"/>
        <w:gridCol w:w="872"/>
        <w:gridCol w:w="268"/>
        <w:gridCol w:w="611"/>
        <w:gridCol w:w="138"/>
        <w:gridCol w:w="138"/>
        <w:gridCol w:w="138"/>
        <w:gridCol w:w="138"/>
        <w:gridCol w:w="268"/>
        <w:gridCol w:w="515"/>
        <w:gridCol w:w="138"/>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 fair value adjustments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Paysafe fair value adjustments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value adjustments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WD Transaction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Cash Requirements.</w:t>
      </w:r>
      <w:r>
        <w:rPr>
          <w:color w:val="000000"/>
        </w:rPr>
        <w:t xml:space="preserve"> </w:t>
      </w:r>
      <w:r>
        <w:rPr>
          <w:rFonts w:ascii="Times New Roman;serif" w:hAnsi="Times New Roman;serif"/>
          <w:b w:val="false"/>
          <w:color w:val="000000"/>
          <w:sz w:val="20"/>
        </w:rPr>
        <w:t>Our short and long term cash requirements include management fees, personnel costs, other operating expenses, taxes, payments of interest and principal on our debt, capital expenditures, dividends on our common stock, and other potential business acquisitions or investments. On May 7, 2026, our Board declared cash dividends of $0.15 per share, payable on June 30, 2026, to Cannae common shareholders of record as of June 16, 2026. There are no restrictions on our retained earnings regarding our ability to pay dividends to stockholders. The declaration of any future dividends is at the discretion of our Board. Additional uses of cash flow beyond the foregoing over the short and long term are expected to include stock repurchases (including, but not limited to, the purchase of the common stock underlying the Put Right) and debt repayments.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$135.7 million, of which $124.2 million was cash held by the corporate holding company.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continually assess our capital allocation strategy, including decisions relating to repurchasing our stock, paying dividends, reducing debt, and/or conserving cash. We believe that all anticipated cash requirements for current operations will be met from internally generated funds, cash dividends or distributions from subsidiaries and holdings, cash generated from short-term investments,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engaged in actively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Company expects to continue to generate a material portion of its cash inflow from activities classified as investing activities under GAAP and does not expect to generate positive operating cash flows on a regular basis. The cash requirements of the Company typically come from the activities classified as investing activities under GAAP as we receive distributions from unconsolidated affiliates and at times sell a portion or all of our investment in these various operating companies.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Cash Flows for the Three Months Ended March 31, 2026</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Operating Cash Flow</w:t>
      </w:r>
      <w:r>
        <w:rPr>
          <w:rFonts w:ascii="Times New Roman;serif" w:hAnsi="Times New Roman;serif"/>
          <w:b w:val="false"/>
          <w:color w:val="000000"/>
          <w:sz w:val="20"/>
        </w:rPr>
        <w:t>. Our cash flows (used in) provided by operations for the three months ended March 31, 2026 and 2025 totaled $(21.2) million and $9.1 million, respectively. The change in cash (used in) provided by operations of $30.3 million is primarily attributable to $24.5 million of cash refunds of taxes in the 2025 period compared to the 2026 period. See Footnote I for additional information on cash paid for income taxes.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Investing Cash Flows. </w:t>
      </w:r>
      <w:r>
        <w:rPr>
          <w:rFonts w:ascii="Times New Roman;serif" w:hAnsi="Times New Roman;serif"/>
          <w:b w:val="false"/>
          <w:color w:val="000000"/>
          <w:sz w:val="20"/>
        </w:rPr>
        <w:t xml:space="preserve">Our cash flows used in investing activities for the three months ended March 31, 2026 and 2025 were $1.8 million and $7.0 million, respectively. The change in cash used in investing activities of $5.2 million is primarily attributable to our prior year investments in BKFC and Sightline of $25.0 million and $5.1 million, respectively, partially offset by cash proceeds of $13.6 million received in the spin-off of WineDirect, Inc. and $6.2 million in proceeds from sales of short-term investments in the prior year period. This was also offset by minimal new investments made in the 2026 period.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Financing Cash Flows. </w:t>
      </w:r>
      <w:r>
        <w:rPr>
          <w:rFonts w:ascii="Times New Roman;serif" w:hAnsi="Times New Roman;serif"/>
          <w:b w:val="false"/>
          <w:color w:val="000000"/>
          <w:sz w:val="20"/>
        </w:rPr>
        <w:t>Our cash flows used in financing activities for the three months ended March 31, 2026 and 2025 were $23.3 million and $7.4 million, respectively. The change in cash used in financing activities of $15.9 million is primarily attributable to the $14.7 million in repurchases of treasury stock made in the 2026 period compared to none in the 2025 period.</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Financing Arrangements. </w:t>
      </w:r>
      <w:r>
        <w:rPr>
          <w:rFonts w:ascii="Times New Roman;serif" w:hAnsi="Times New Roman;serif"/>
          <w:b w:val="false"/>
          <w:color w:val="000000"/>
          <w:sz w:val="20"/>
        </w:rPr>
        <w:t xml:space="preserve">For a description of our financing arrangements, see Note G -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included in Item 1 of Part I of this Quarterly Report, which is incorporated by reference into this Item 2 of Part I.</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Seasonality.</w:t>
      </w:r>
      <w:r>
        <w:rPr>
          <w:color w:val="000000"/>
        </w:rPr>
        <w:t> </w:t>
      </w:r>
      <w:r>
        <w:rPr>
          <w:rFonts w:ascii="Times New Roman;serif" w:hAnsi="Times New Roman;serif"/>
          <w:b w:val="false"/>
          <w:color w:val="000000"/>
          <w:sz w:val="20"/>
        </w:rPr>
        <w:t>There have been no material changes to the seasonality experienced in our businesses from those described for the period as of and for the year ended December 31, 2025 included in our Annual Report.</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Contractual Obligations.</w:t>
      </w:r>
      <w:r>
        <w:rPr>
          <w:color w:val="000000"/>
        </w:rPr>
        <w:t xml:space="preserve"> </w:t>
      </w:r>
      <w:r>
        <w:rPr>
          <w:rFonts w:ascii="Times New Roman;serif" w:hAnsi="Times New Roman;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former Manager.</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2026 to determine the amount of these obligations.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required future payments relating to these contractual obligations were as follows:</w:t>
      </w:r>
    </w:p>
    <w:tbl>
      <w:tblPr>
        <w:tblW w:w="10205" w:type="dxa"/>
        <w:jc w:val="left"/>
        <w:tblInd w:w="0" w:type="dxa"/>
        <w:tblLayout w:type="fixed"/>
        <w:tblCellMar>
          <w:top w:w="28" w:type="dxa"/>
          <w:left w:w="28" w:type="dxa"/>
          <w:bottom w:w="28" w:type="dxa"/>
          <w:right w:w="28" w:type="dxa"/>
        </w:tblCellMar>
      </w:tblPr>
      <w:tblGrid>
        <w:gridCol w:w="923"/>
        <w:gridCol w:w="621"/>
        <w:gridCol w:w="62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9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3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Unconditional purchase obligations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payable to former Manager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Group financing obligations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pPr>
      <w:r>
        <w:rPr>
          <w:rFonts w:ascii="Times New Roman;serif" w:hAnsi="Times New Roman;serif"/>
          <w:b w:val="false"/>
          <w:i/>
          <w:color w:val="000000"/>
          <w:sz w:val="20"/>
        </w:rPr>
        <w:t>Capital Stock Transactions</w:t>
      </w:r>
      <w:r>
        <w:rPr>
          <w:rFonts w:ascii="Times New Roman;serif" w:hAnsi="Times New Roman;serif"/>
          <w:b w:val="false"/>
          <w:color w:val="000000"/>
          <w:sz w:val="20"/>
        </w:rPr>
        <w:t xml:space="preserve">. 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three months ended March 31, 2026, we repurchased a total of 1,185,000 shares of Cannae common stock for approximately $15.2 million in the aggregate, or an average of $12.84 per share under the 2025 Repurchase program. From April 1, 2026 through May 8, 2026, we repurchased an additional 2,100,000 shares of Cannae common stock for approximately $27.2 million in the aggregate, or an average of $12.94 per share, pursuant to the 2025 Repurchase Program. Since the original commencement of the 2025 Repurchase Program through market close on May 8, 2026, we have repurchased a total of 7,985,913 shares of Cannae common stock for approximately $122.9 million in the aggregate, or an average of $15.39 per share. As of the date of this Quarterly Report, there are 2,014,087 shares available for repurchase under the 2025 Repurchase Program.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our Board authorized a new stock repurchase program (the "2026 Repurchase Program"), under which the Company may repurchase up to 10.0 million shares of its common stock. Such repurchases may be made from time to time in the open market at prevailing prices or in privately negotiated transactions. The 2026 Repurchase Program does not obligate us to acquire any specific number of shares and may be suspended or terminated at any time. The 2026 Repurchase Program does not supersede or impact the repurchase capacity under the prior authorizations. We have not made any purchases under the 2026 Repurchase Program. As of the date of this Quarterly Report, there are 10.0 million shares available for repurchase under the 2026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have been no material changes in the market risks described in Part II, Item 7A "Quantitative and Qualitative Disclosures about Market Risk"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such term is defined in Exchange Act Rules 13a-15(e) and 15d-15(e),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our principal executive officer and principal financial officer, as appropriate, to allow timely decisions regarding required disclosures.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our fiscal year ended December 31, 2025, we carried out an evaluation, under the supervision and with the participation of our principal executive officer and principal financial officer, of the effectiveness of the design and operation of our disclosure controls and procedures as of December 31, 2025. Any controls and procedures, no matter how well designed and operated, can provide only reasonable assurance of achieving the desired control objectives. Based on such evaluation, our principal executive officer and principal financial officer concluded that our disclosure controls and procedures were not effective as of December 31, 2025 solely because of the material weakness in our internal control over financial reporting identified in relation to our accounting for impairment of right-of-use assets and property and equipment at our Restaurant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Group. This material weakness was disclosed in Item 9A of our Annual Report for the year ended December 31, 2025 (the "Annual Report").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concluded that a material weakness existed related to the design and operation of controls over the determination of impairment charges for Right of Use ("ROU") assets and fixed assets held at the Restaurant Group. Specifically, the Company lacked appropriately designed and operating controls to ensure that impairment analyses, when performed, were evaluated in accordance with applicable accounting guidance.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principal executive officer and principal financial officer, evaluated the effectiveness of our disclosure controls and procedures as of March 31, 2026. Based on that evaluation, our management, including our principal executive officer and principal financial officer, concluded that our disclosure controls and procedures were not effective as of March 31, 2026 due to the material weakness described in the Annual Report, which has not yet been fully remediated. Based on its evaluation of the effectiveness of the design and operation of our internal control over financial reporting as of March 31, 2026, our management, under the supervision and with the participation of our principal executive officer and principal financial officer, has identified no new material weaknesses other than those described in the Annual Report.</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remediate during the year ending December 31, 2026 the material weakness identified in the Annual Report. Remediation efforts have commenced and include improving the design and implementation of our controls around the application of the applicable accounting guidance and the Company's evaluation of impairment charges, if any, to its right-of-use assets and fixed assets. These measures include, but are not limited to, enhancing the design of controls related to the identification and evaluation of impairment triggering events, implementing more robust review controls over the impairment analyses, and increasing the involvement of personnel with technical accounting expertise.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actions taken above in response to the material weakness previously identified, there were no changes in our internal control over financial reporting that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See discussion of legal proceedings in Note H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included in Item 1 of Part I of this Quarterly Report, which is incorporated by reference into this Item 1 of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8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78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repurchases of equity securities by the Company during the three months ended March 31, 2026:</w:t>
      </w:r>
    </w:p>
    <w:tbl>
      <w:tblPr>
        <w:tblW w:w="10205" w:type="dxa"/>
        <w:jc w:val="left"/>
        <w:tblInd w:w="0" w:type="dxa"/>
        <w:tblLayout w:type="fixed"/>
        <w:tblCellMar>
          <w:top w:w="28" w:type="dxa"/>
          <w:left w:w="28" w:type="dxa"/>
          <w:bottom w:w="28" w:type="dxa"/>
          <w:right w:w="28" w:type="dxa"/>
        </w:tblCellMar>
      </w:tblPr>
      <w:tblGrid>
        <w:gridCol w:w="426"/>
        <w:gridCol w:w="375"/>
        <w:gridCol w:w="382"/>
        <w:gridCol w:w="109"/>
        <w:gridCol w:w="109"/>
        <w:gridCol w:w="109"/>
        <w:gridCol w:w="730"/>
        <w:gridCol w:w="409"/>
        <w:gridCol w:w="410"/>
        <w:gridCol w:w="109"/>
        <w:gridCol w:w="109"/>
        <w:gridCol w:w="109"/>
        <w:gridCol w:w="273"/>
        <w:gridCol w:w="798"/>
        <w:gridCol w:w="141"/>
        <w:gridCol w:w="109"/>
        <w:gridCol w:w="109"/>
        <w:gridCol w:w="109"/>
        <w:gridCol w:w="997"/>
        <w:gridCol w:w="707"/>
        <w:gridCol w:w="710"/>
        <w:gridCol w:w="109"/>
        <w:gridCol w:w="109"/>
        <w:gridCol w:w="109"/>
        <w:gridCol w:w="1051"/>
        <w:gridCol w:w="613"/>
        <w:gridCol w:w="875"/>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(4)</w:t>
            </w:r>
          </w:p>
        </w:tc>
      </w:tr>
      <w:tr>
        <w:trPr/>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5,299,087 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1/1/2026 - 1/31/2026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385,000 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4,914,087 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2/1/2026 - 2/28/2026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4,914,087 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3/1/2026 - 3/31/2026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14,114,087 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1,185,000 </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1,185,000 </w:t>
            </w:r>
          </w:p>
        </w:tc>
        <w:tc>
          <w:tcPr>
            <w:tcW w:w="7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On March 24, 2025, our Board approved the 2025 Repurchase Program, under which we may purchase up to 10.0 million shares of our CNNE common stock.</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On March 9, 2026, our Board approved the 2025 Repurchase Program, under which we may purchase up to 10.0 million shares of our CNNE common stock.</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Subsequent to the first quarter of 2026, we adopted a Rule 10b-18 and 10b5-1 trading plan which allows the Company to purchase shares of our common stock under our announced repurchase programs during certain restricted blackout periods. During the term of the Rule 10b-18 and10b5-1 trading plan, purchases of common stock are automatic to the extent the conditions of the plan’s trading instructions are met. We are not obligated to purchase shares under our stock repurchase program outside of the Rule 10b-18 and 10b5-1 trading plan.</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As of the last day of the applicable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3443"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 Other Information</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(a) Exhibits: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48"/>
        <w:gridCol w:w="201"/>
        <w:gridCol w:w="202"/>
        <w:gridCol w:w="109"/>
        <w:gridCol w:w="109"/>
        <w:gridCol w:w="109"/>
        <w:gridCol w:w="2752"/>
        <w:gridCol w:w="2682"/>
        <w:gridCol w:w="3793"/>
      </w:tblGrid>
      <w:tr>
        <w:trPr/>
        <w:tc>
          <w:tcPr>
            <w:tcW w:w="2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Margin Loan Pay-Off Letter, dated March 6, 2026, by and among Cannae Funding A, LLC, the lenders from time to time thereto Bank of America as administrative agent and calculation agent (incorporated by reference to Exhibit 10.1 to the Company's Current Report on Form 8-K, filed March 9, 2026).</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7" w:type="dxa"/>
            <w:gridSpan w:val="3"/>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12026-q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22026-q1.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12026-q1.htm">
              <w:r>
                <w:rPr>
                  <w:rStyle w:val="InternetLink"/>
                  <w:rFonts w:ascii="Times New Roman;serif" w:hAnsi="Times New Roman;serif"/>
                  <w:b w:val="false"/>
                  <w:color w:val="0000FF"/>
                  <w:sz w:val="20"/>
                  <w:u w:val="single"/>
                </w:rPr>
                <w:t>Certification by Principal Executive Officer of Periodic Financial Reports pursuant to Section 906 of the Sarbanes-Oxley Act of 2002, 18 U.S.C. Section 1350.</w:t>
              </w:r>
            </w:hyperlink>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22026-q1.htm">
              <w:r>
                <w:rPr>
                  <w:rStyle w:val="InternetLink"/>
                  <w:rFonts w:ascii="Times New Roman;serif" w:hAnsi="Times New Roman;serif"/>
                  <w:b w:val="false"/>
                  <w:color w:val="0000FF"/>
                  <w:sz w:val="20"/>
                  <w:u w:val="single"/>
                </w:rPr>
                <w:t>Certification by Chief Financial Officer of Periodic Financial Reports pursuant to Section 906 of the Sarbanes-Oxley Act of 2002, 18 U.S.C. Section 1350.</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xml:space="preserve">‡ </w:t>
            </w: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651" w:type="dxa"/>
            <w:gridSpan w:val="3"/>
            <w:tcBorders/>
            <w:vAlign w:val="center"/>
          </w:tcPr>
          <w:p>
            <w:pPr>
              <w:pStyle w:val="TableContents"/>
              <w:bidi w:val="0"/>
              <w:spacing w:before="0" w:after="283"/>
              <w:jc w:val="left"/>
              <w:rPr>
                <w:sz w:val="4"/>
                <w:szCs w:val="4"/>
              </w:rPr>
            </w:pPr>
            <w:r>
              <w:rPr>
                <w:sz w:val="4"/>
                <w:szCs w:val="4"/>
              </w:rPr>
            </w:r>
          </w:p>
        </w:tc>
        <w:tc>
          <w:tcPr>
            <w:tcW w:w="9554"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a01eecb942a4d47a69c6ea1a7f029b0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20" w:after="12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118"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394"/>
        <w:gridCol w:w="394"/>
        <w:gridCol w:w="394"/>
        <w:gridCol w:w="1253"/>
        <w:gridCol w:w="1253"/>
        <w:gridCol w:w="12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CANNAE HOLDINGS, INC.</w:t>
              <w:br/>
              <w:t>(registrant)</w:t>
              <w:b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 Ryan R. Caswell, certify that: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11, 2026 </w:t>
      </w:r>
    </w:p>
    <w:tbl>
      <w:tblPr>
        <w:tblW w:w="541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63"/>
        <w:gridCol w:w="1363"/>
        <w:gridCol w:w="193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Ryan R. Caswell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Ryan R. Caswell </w:t>
              <w:br/>
              <w:t>Chief Executive Officer and Principal Executive Officer</w:t>
            </w:r>
          </w:p>
        </w:tc>
      </w:tr>
    </w:tbl>
    <w:p>
      <w:pPr>
        <w:pStyle w:val="TextBody"/>
        <w:bidi w:val="0"/>
        <w:spacing w:before="0" w:after="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 Bryan D. Coy, certify that: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11, 2026 </w:t>
      </w:r>
    </w:p>
    <w:tbl>
      <w:tblPr>
        <w:tblW w:w="529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23"/>
        <w:gridCol w:w="1323"/>
        <w:gridCol w:w="189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Bryan D. Coy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br/>
              <w:t>Chief Financial Officer and 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erif" w:hAnsi="Times New Roman;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Principal Executive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11, 2026 </w:t>
      </w:r>
    </w:p>
    <w:tbl>
      <w:tblPr>
        <w:tblW w:w="5412" w:type="dxa"/>
        <w:jc w:val="left"/>
        <w:tblInd w:w="0" w:type="dxa"/>
        <w:tblLayout w:type="fixed"/>
        <w:tblCellMar>
          <w:top w:w="28" w:type="dxa"/>
          <w:left w:w="28" w:type="dxa"/>
          <w:bottom w:w="28" w:type="dxa"/>
          <w:right w:w="28" w:type="dxa"/>
        </w:tblCellMar>
      </w:tblPr>
      <w:tblGrid>
        <w:gridCol w:w="151"/>
        <w:gridCol w:w="134"/>
        <w:gridCol w:w="135"/>
        <w:gridCol w:w="1538"/>
        <w:gridCol w:w="1538"/>
        <w:gridCol w:w="154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18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Chief Financial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Date: May 11, 2026 </w:t>
      </w:r>
    </w:p>
    <w:tbl>
      <w:tblPr>
        <w:tblW w:w="5352" w:type="dxa"/>
        <w:jc w:val="left"/>
        <w:tblInd w:w="0" w:type="dxa"/>
        <w:tblLayout w:type="fixed"/>
        <w:tblCellMar>
          <w:top w:w="28" w:type="dxa"/>
          <w:left w:w="28" w:type="dxa"/>
          <w:bottom w:w="28" w:type="dxa"/>
          <w:right w:w="28" w:type="dxa"/>
        </w:tblCellMar>
      </w:tblPr>
      <w:tblGrid>
        <w:gridCol w:w="173"/>
        <w:gridCol w:w="153"/>
        <w:gridCol w:w="154"/>
        <w:gridCol w:w="1497"/>
        <w:gridCol w:w="1497"/>
        <w:gridCol w:w="1506"/>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4720/000170472026000052/cnnemarginloanpay-offlette.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17384</Words>
  <Characters>96236</Characters>
  <CharactersWithSpaces>112626</CharactersWithSpaces>
  <Paragraphs>2335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