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1-38300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CANNAE HOLDINGS, INC.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______________________________________________________________________________________________________________________________________________________</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555" w:type="dxa"/>
        <w:jc w:val="center"/>
        <w:tblInd w:w="0" w:type="dxa"/>
        <w:tblLayout w:type="fixed"/>
        <w:tblCellMar>
          <w:top w:w="28" w:type="dxa"/>
          <w:left w:w="28" w:type="dxa"/>
          <w:bottom w:w="28" w:type="dxa"/>
          <w:right w:w="28" w:type="dxa"/>
        </w:tblCellMar>
      </w:tblPr>
      <w:tblGrid>
        <w:gridCol w:w="878"/>
        <w:gridCol w:w="772"/>
        <w:gridCol w:w="779"/>
        <w:gridCol w:w="170"/>
        <w:gridCol w:w="170"/>
        <w:gridCol w:w="170"/>
        <w:gridCol w:w="339"/>
        <w:gridCol w:w="339"/>
        <w:gridCol w:w="341"/>
        <w:gridCol w:w="170"/>
        <w:gridCol w:w="170"/>
        <w:gridCol w:w="170"/>
        <w:gridCol w:w="250"/>
        <w:gridCol w:w="250"/>
        <w:gridCol w:w="251"/>
        <w:gridCol w:w="109"/>
        <w:gridCol w:w="109"/>
        <w:gridCol w:w="109"/>
        <w:gridCol w:w="586"/>
        <w:gridCol w:w="586"/>
        <w:gridCol w:w="837"/>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2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82-1273460</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1701 Village Center Circle,</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89134</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(702) 323-7330 </w:t>
      </w:r>
    </w:p>
    <w:p>
      <w:pPr>
        <w:pStyle w:val="TextBody"/>
        <w:bidi w:val="0"/>
        <w:spacing w:lineRule="auto" w:line="288" w:before="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w:t>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20" w:after="283"/>
        <w:jc w:val="center"/>
        <w:rPr/>
      </w:pPr>
      <w:r>
        <w:rPr/>
      </w:r>
    </w:p>
    <w:p>
      <w:pPr>
        <w:pStyle w:val="TextBody"/>
        <w:bidi w:val="0"/>
        <w:spacing w:lineRule="auto" w:line="288" w:before="0" w:after="12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9052" w:type="dxa"/>
        <w:jc w:val="left"/>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627"/>
        <w:gridCol w:w="551"/>
        <w:gridCol w:w="555"/>
        <w:gridCol w:w="109"/>
        <w:gridCol w:w="109"/>
        <w:gridCol w:w="109"/>
        <w:gridCol w:w="442"/>
        <w:gridCol w:w="442"/>
        <w:gridCol w:w="444"/>
        <w:gridCol w:w="109"/>
        <w:gridCol w:w="109"/>
        <w:gridCol w:w="109"/>
        <w:gridCol w:w="562"/>
        <w:gridCol w:w="562"/>
        <w:gridCol w:w="564"/>
        <w:gridCol w:w="109"/>
        <w:gridCol w:w="109"/>
        <w:gridCol w:w="109"/>
        <w:gridCol w:w="625"/>
        <w:gridCol w:w="625"/>
        <w:gridCol w:w="628"/>
        <w:gridCol w:w="109"/>
        <w:gridCol w:w="109"/>
        <w:gridCol w:w="109"/>
        <w:gridCol w:w="630"/>
        <w:gridCol w:w="630"/>
        <w:gridCol w:w="632"/>
        <w:gridCol w:w="109"/>
        <w:gridCol w:w="109"/>
        <w:gridCol w:w="160"/>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2025 there were 62,818,001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9"/>
        <w:gridCol w:w="3088"/>
        <w:gridCol w:w="3095"/>
        <w:gridCol w:w="149"/>
        <w:gridCol w:w="149"/>
        <w:gridCol w:w="215"/>
      </w:tblGrid>
      <w:tr>
        <w:trPr/>
        <w:tc>
          <w:tcPr>
            <w:tcW w:w="3509"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13">
              <w:r>
                <w:rPr>
                  <w:rStyle w:val="InternetLink"/>
                  <w:rFonts w:ascii="Times New Roman;sans-serif" w:hAnsi="Times New Roman;sans-serif"/>
                  <w:b w:val="false"/>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16">
              <w:r>
                <w:rPr>
                  <w:rStyle w:val="InternetLink"/>
                  <w:rFonts w:ascii="Times New Roman;sans-serif" w:hAnsi="Times New Roman;sans-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19">
              <w:r>
                <w:rPr>
                  <w:rStyle w:val="InternetLink"/>
                  <w:rFonts w:ascii="Times New Roman;sans-serif" w:hAnsi="Times New Roman;sans-serif"/>
                  <w:b w:val="false"/>
                  <w:color w:val="000080"/>
                  <w:sz w:val="20"/>
                  <w:u w:val="single"/>
                </w:rPr>
                <w:t xml:space="preserve">A. Condensed Consolidated Balance Sheets as of </w:t>
              </w:r>
            </w:hyperlink>
            <w:hyperlink w:anchor="i974877713d6b43d39c51417c52f6e0f8_19">
              <w:r>
                <w:rPr>
                  <w:rStyle w:val="InternetLink"/>
                  <w:rFonts w:ascii="Times New Roman;sans-serif" w:hAnsi="Times New Roman;sans-serif"/>
                  <w:b w:val="false"/>
                  <w:color w:val="000080"/>
                  <w:sz w:val="20"/>
                  <w:u w:val="single"/>
                </w:rPr>
                <w:t>March 31, 2025</w:t>
              </w:r>
            </w:hyperlink>
            <w:hyperlink w:anchor="i974877713d6b43d39c51417c52f6e0f8_19">
              <w:r>
                <w:rPr>
                  <w:rStyle w:val="InternetLink"/>
                  <w:rFonts w:ascii="Times New Roman;sans-serif" w:hAnsi="Times New Roman;sans-serif"/>
                  <w:b w:val="false"/>
                  <w:color w:val="000080"/>
                  <w:sz w:val="20"/>
                  <w:u w:val="single"/>
                </w:rPr>
                <w:t xml:space="preserve"> and December 31, 202</w:t>
              </w:r>
            </w:hyperlink>
            <w:hyperlink w:anchor="i974877713d6b43d39c51417c52f6e0f8_19">
              <w:r>
                <w:rPr>
                  <w:rStyle w:val="InternetLink"/>
                  <w:rFonts w:ascii="Times New Roman;sans-serif" w:hAnsi="Times New Roman;sans-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19">
              <w:r>
                <w:rPr>
                  <w:rStyle w:val="InternetLink"/>
                  <w:rFonts w:ascii="Times New Roman;sans-serif" w:hAnsi="Times New Roman;sans-serif"/>
                  <w:b w:val="false"/>
                  <w:color w:val="0000FF"/>
                  <w:sz w:val="20"/>
                  <w:u w:val="single"/>
                </w:rPr>
                <w:t>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2">
              <w:r>
                <w:rPr>
                  <w:rStyle w:val="InternetLink"/>
                  <w:rFonts w:ascii="Times New Roman;sans-serif" w:hAnsi="Times New Roman;sans-serif"/>
                  <w:b w:val="false"/>
                  <w:color w:val="000080"/>
                  <w:sz w:val="20"/>
                  <w:u w:val="single"/>
                </w:rPr>
                <w:t>B. Condensed Consolidated Statements of Operations for the three</w:t>
              </w:r>
            </w:hyperlink>
            <w:hyperlink w:anchor="i974877713d6b43d39c51417c52f6e0f8_22">
              <w:r>
                <w:rPr>
                  <w:rStyle w:val="InternetLink"/>
                  <w:rFonts w:ascii="Times New Roman;sans-serif" w:hAnsi="Times New Roman;sans-serif"/>
                  <w:b w:val="false"/>
                  <w:color w:val="000080"/>
                  <w:sz w:val="20"/>
                  <w:u w:val="single"/>
                </w:rPr>
                <w:t xml:space="preserve">-month periods ended </w:t>
              </w:r>
            </w:hyperlink>
          </w:p>
          <w:p>
            <w:pPr>
              <w:pStyle w:val="TableContents"/>
              <w:bidi w:val="0"/>
              <w:spacing w:lineRule="auto" w:line="240" w:before="0" w:after="0"/>
              <w:jc w:val="left"/>
              <w:rPr/>
            </w:pPr>
            <w:hyperlink w:anchor="i974877713d6b43d39c51417c52f6e0f8_22">
              <w:r>
                <w:rPr>
                  <w:rStyle w:val="InternetLink"/>
                  <w:rFonts w:ascii="Times New Roman;sans-serif" w:hAnsi="Times New Roman;sans-serif"/>
                  <w:b w:val="false"/>
                  <w:color w:val="000080"/>
                  <w:sz w:val="20"/>
                  <w:u w:val="single"/>
                </w:rPr>
                <w:t>March</w:t>
              </w:r>
            </w:hyperlink>
            <w:hyperlink w:anchor="i974877713d6b43d39c51417c52f6e0f8_22">
              <w:r>
                <w:rPr>
                  <w:rStyle w:val="InternetLink"/>
                  <w:rFonts w:ascii="Times New Roman;sans-serif" w:hAnsi="Times New Roman;sans-serif"/>
                  <w:b w:val="false"/>
                  <w:color w:val="000080"/>
                  <w:sz w:val="20"/>
                  <w:u w:val="single"/>
                </w:rPr>
                <w:t xml:space="preserve"> 3</w:t>
              </w:r>
            </w:hyperlink>
            <w:hyperlink w:anchor="i974877713d6b43d39c51417c52f6e0f8_22">
              <w:r>
                <w:rPr>
                  <w:rStyle w:val="InternetLink"/>
                  <w:rFonts w:ascii="Times New Roman;sans-serif" w:hAnsi="Times New Roman;sans-serif"/>
                  <w:b w:val="false"/>
                  <w:color w:val="000080"/>
                  <w:sz w:val="20"/>
                  <w:u w:val="single"/>
                </w:rPr>
                <w:t>1</w:t>
              </w:r>
            </w:hyperlink>
            <w:hyperlink w:anchor="i974877713d6b43d39c51417c52f6e0f8_22">
              <w:r>
                <w:rPr>
                  <w:rStyle w:val="InternetLink"/>
                  <w:rFonts w:ascii="Times New Roman;sans-serif" w:hAnsi="Times New Roman;sans-serif"/>
                  <w:b w:val="false"/>
                  <w:color w:val="000080"/>
                  <w:sz w:val="20"/>
                  <w:u w:val="single"/>
                </w:rPr>
                <w:t>, 202</w:t>
              </w:r>
            </w:hyperlink>
            <w:hyperlink w:anchor="i974877713d6b43d39c51417c52f6e0f8_22">
              <w:r>
                <w:rPr>
                  <w:rStyle w:val="InternetLink"/>
                  <w:rFonts w:ascii="Times New Roman;sans-serif" w:hAnsi="Times New Roman;sans-serif"/>
                  <w:b w:val="false"/>
                  <w:color w:val="000080"/>
                  <w:sz w:val="20"/>
                  <w:u w:val="single"/>
                </w:rPr>
                <w:t>5</w:t>
              </w:r>
            </w:hyperlink>
            <w:hyperlink w:anchor="i974877713d6b43d39c51417c52f6e0f8_22">
              <w:r>
                <w:rPr>
                  <w:rStyle w:val="InternetLink"/>
                  <w:rFonts w:ascii="Times New Roman;sans-serif" w:hAnsi="Times New Roman;sans-serif"/>
                  <w:b w:val="false"/>
                  <w:color w:val="000080"/>
                  <w:sz w:val="20"/>
                  <w:u w:val="single"/>
                </w:rPr>
                <w:t xml:space="preserve"> and 202</w:t>
              </w:r>
            </w:hyperlink>
            <w:hyperlink w:anchor="i974877713d6b43d39c51417c52f6e0f8_22">
              <w:r>
                <w:rPr>
                  <w:rStyle w:val="InternetLink"/>
                  <w:rFonts w:ascii="Times New Roman;sans-serif" w:hAnsi="Times New Roman;sans-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2">
              <w:r>
                <w:rPr>
                  <w:rStyle w:val="InternetLink"/>
                  <w:rFonts w:ascii="Times New Roman;sans-serif" w:hAnsi="Times New Roman;sans-serif"/>
                  <w:b w:val="false"/>
                  <w:color w:val="0000FF"/>
                  <w:sz w:val="20"/>
                  <w:u w:val="single"/>
                </w:rPr>
                <w:t>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5">
              <w:r>
                <w:rPr>
                  <w:rStyle w:val="InternetLink"/>
                  <w:rFonts w:ascii="Times New Roman;sans-serif" w:hAnsi="Times New Roman;sans-serif"/>
                  <w:b w:val="false"/>
                  <w:color w:val="000080"/>
                  <w:sz w:val="20"/>
                  <w:u w:val="single"/>
                </w:rPr>
                <w:t>C. Condensed Consolidated Statements of Comprehensive (Loss) Earnings for the three</w:t>
              </w:r>
            </w:hyperlink>
            <w:hyperlink w:anchor="i974877713d6b43d39c51417c52f6e0f8_25">
              <w:r>
                <w:rPr>
                  <w:rStyle w:val="InternetLink"/>
                  <w:rFonts w:ascii="Times New Roman;sans-serif" w:hAnsi="Times New Roman;sans-serif"/>
                  <w:b w:val="false"/>
                  <w:color w:val="000080"/>
                  <w:sz w:val="20"/>
                  <w:u w:val="single"/>
                </w:rPr>
                <w:t xml:space="preserve">-month periods ended </w:t>
              </w:r>
            </w:hyperlink>
            <w:hyperlink w:anchor="i974877713d6b43d39c51417c52f6e0f8_22">
              <w:r>
                <w:rPr>
                  <w:rStyle w:val="InternetLink"/>
                  <w:rFonts w:ascii="Times New Roman;sans-serif" w:hAnsi="Times New Roman;sans-serif"/>
                  <w:b w:val="false"/>
                  <w:color w:val="000080"/>
                  <w:sz w:val="20"/>
                  <w:u w:val="single"/>
                </w:rPr>
                <w:t>March</w:t>
              </w:r>
            </w:hyperlink>
            <w:hyperlink w:anchor="i974877713d6b43d39c51417c52f6e0f8_22">
              <w:r>
                <w:rPr>
                  <w:rStyle w:val="InternetLink"/>
                  <w:rFonts w:ascii="Times New Roman;sans-serif" w:hAnsi="Times New Roman;sans-serif"/>
                  <w:b w:val="false"/>
                  <w:color w:val="000080"/>
                  <w:sz w:val="20"/>
                  <w:u w:val="single"/>
                </w:rPr>
                <w:t xml:space="preserve"> 3</w:t>
              </w:r>
            </w:hyperlink>
            <w:hyperlink w:anchor="i974877713d6b43d39c51417c52f6e0f8_22">
              <w:r>
                <w:rPr>
                  <w:rStyle w:val="InternetLink"/>
                  <w:rFonts w:ascii="Times New Roman;sans-serif" w:hAnsi="Times New Roman;sans-serif"/>
                  <w:b w:val="false"/>
                  <w:color w:val="000080"/>
                  <w:sz w:val="20"/>
                  <w:u w:val="single"/>
                </w:rPr>
                <w:t>1</w:t>
              </w:r>
            </w:hyperlink>
            <w:hyperlink w:anchor="i974877713d6b43d39c51417c52f6e0f8_22">
              <w:r>
                <w:rPr>
                  <w:rStyle w:val="InternetLink"/>
                  <w:rFonts w:ascii="Times New Roman;sans-serif" w:hAnsi="Times New Roman;sans-serif"/>
                  <w:b w:val="false"/>
                  <w:color w:val="000080"/>
                  <w:sz w:val="20"/>
                  <w:u w:val="single"/>
                </w:rPr>
                <w:t>, 202</w:t>
              </w:r>
            </w:hyperlink>
            <w:hyperlink w:anchor="i974877713d6b43d39c51417c52f6e0f8_22">
              <w:r>
                <w:rPr>
                  <w:rStyle w:val="InternetLink"/>
                  <w:rFonts w:ascii="Times New Roman;sans-serif" w:hAnsi="Times New Roman;sans-serif"/>
                  <w:b w:val="false"/>
                  <w:color w:val="000080"/>
                  <w:sz w:val="20"/>
                  <w:u w:val="single"/>
                </w:rPr>
                <w:t>5</w:t>
              </w:r>
            </w:hyperlink>
            <w:hyperlink w:anchor="i974877713d6b43d39c51417c52f6e0f8_22">
              <w:r>
                <w:rPr>
                  <w:rStyle w:val="InternetLink"/>
                  <w:rFonts w:ascii="Times New Roman;sans-serif" w:hAnsi="Times New Roman;sans-serif"/>
                  <w:b w:val="false"/>
                  <w:color w:val="000080"/>
                  <w:sz w:val="20"/>
                  <w:u w:val="single"/>
                </w:rPr>
                <w:t xml:space="preserve"> and 202</w:t>
              </w:r>
            </w:hyperlink>
            <w:hyperlink w:anchor="i974877713d6b43d39c51417c52f6e0f8_22">
              <w:r>
                <w:rPr>
                  <w:rStyle w:val="InternetLink"/>
                  <w:rFonts w:ascii="Times New Roman;sans-serif" w:hAnsi="Times New Roman;sans-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5">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8">
              <w:r>
                <w:rPr>
                  <w:rStyle w:val="InternetLink"/>
                  <w:rFonts w:ascii="Times New Roman;sans-serif" w:hAnsi="Times New Roman;sans-serif"/>
                  <w:b w:val="false"/>
                  <w:color w:val="000080"/>
                  <w:sz w:val="20"/>
                  <w:u w:val="single"/>
                </w:rPr>
                <w:t>D. Condensed Consolidated Statements of Equity for the three</w:t>
              </w:r>
            </w:hyperlink>
            <w:hyperlink w:anchor="i974877713d6b43d39c51417c52f6e0f8_28">
              <w:r>
                <w:rPr>
                  <w:rStyle w:val="InternetLink"/>
                  <w:rFonts w:ascii="Times New Roman;sans-serif" w:hAnsi="Times New Roman;sans-serif"/>
                  <w:b w:val="false"/>
                  <w:color w:val="000080"/>
                  <w:sz w:val="20"/>
                  <w:u w:val="single"/>
                </w:rPr>
                <w:t xml:space="preserve">-month periods ended </w:t>
              </w:r>
            </w:hyperlink>
          </w:p>
          <w:p>
            <w:pPr>
              <w:pStyle w:val="TableContents"/>
              <w:bidi w:val="0"/>
              <w:spacing w:lineRule="auto" w:line="240" w:before="0" w:after="0"/>
              <w:jc w:val="left"/>
              <w:rPr/>
            </w:pPr>
            <w:hyperlink w:anchor="i974877713d6b43d39c51417c52f6e0f8_22">
              <w:r>
                <w:rPr>
                  <w:rStyle w:val="InternetLink"/>
                  <w:rFonts w:ascii="Times New Roman;sans-serif" w:hAnsi="Times New Roman;sans-serif"/>
                  <w:b w:val="false"/>
                  <w:color w:val="000080"/>
                  <w:sz w:val="20"/>
                  <w:u w:val="single"/>
                </w:rPr>
                <w:t>March</w:t>
              </w:r>
            </w:hyperlink>
            <w:hyperlink w:anchor="i974877713d6b43d39c51417c52f6e0f8_22">
              <w:r>
                <w:rPr>
                  <w:rStyle w:val="InternetLink"/>
                  <w:rFonts w:ascii="Times New Roman;sans-serif" w:hAnsi="Times New Roman;sans-serif"/>
                  <w:b w:val="false"/>
                  <w:color w:val="000080"/>
                  <w:sz w:val="20"/>
                  <w:u w:val="single"/>
                </w:rPr>
                <w:t xml:space="preserve"> 3</w:t>
              </w:r>
            </w:hyperlink>
            <w:hyperlink w:anchor="i974877713d6b43d39c51417c52f6e0f8_22">
              <w:r>
                <w:rPr>
                  <w:rStyle w:val="InternetLink"/>
                  <w:rFonts w:ascii="Times New Roman;sans-serif" w:hAnsi="Times New Roman;sans-serif"/>
                  <w:b w:val="false"/>
                  <w:color w:val="000080"/>
                  <w:sz w:val="20"/>
                  <w:u w:val="single"/>
                </w:rPr>
                <w:t>1</w:t>
              </w:r>
            </w:hyperlink>
            <w:hyperlink w:anchor="i974877713d6b43d39c51417c52f6e0f8_22">
              <w:r>
                <w:rPr>
                  <w:rStyle w:val="InternetLink"/>
                  <w:rFonts w:ascii="Times New Roman;sans-serif" w:hAnsi="Times New Roman;sans-serif"/>
                  <w:b w:val="false"/>
                  <w:color w:val="000080"/>
                  <w:sz w:val="20"/>
                  <w:u w:val="single"/>
                </w:rPr>
                <w:t>, 202</w:t>
              </w:r>
            </w:hyperlink>
            <w:hyperlink w:anchor="i974877713d6b43d39c51417c52f6e0f8_22">
              <w:r>
                <w:rPr>
                  <w:rStyle w:val="InternetLink"/>
                  <w:rFonts w:ascii="Times New Roman;sans-serif" w:hAnsi="Times New Roman;sans-serif"/>
                  <w:b w:val="false"/>
                  <w:color w:val="000080"/>
                  <w:sz w:val="20"/>
                  <w:u w:val="single"/>
                </w:rPr>
                <w:t>5</w:t>
              </w:r>
            </w:hyperlink>
            <w:hyperlink w:anchor="i974877713d6b43d39c51417c52f6e0f8_22">
              <w:r>
                <w:rPr>
                  <w:rStyle w:val="InternetLink"/>
                  <w:rFonts w:ascii="Times New Roman;sans-serif" w:hAnsi="Times New Roman;sans-serif"/>
                  <w:b w:val="false"/>
                  <w:color w:val="000080"/>
                  <w:sz w:val="20"/>
                  <w:u w:val="single"/>
                </w:rPr>
                <w:t xml:space="preserve"> and 202</w:t>
              </w:r>
            </w:hyperlink>
            <w:hyperlink w:anchor="i974877713d6b43d39c51417c52f6e0f8_22">
              <w:r>
                <w:rPr>
                  <w:rStyle w:val="InternetLink"/>
                  <w:rFonts w:ascii="Times New Roman;sans-serif" w:hAnsi="Times New Roman;sans-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8">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34">
              <w:r>
                <w:rPr>
                  <w:rStyle w:val="InternetLink"/>
                  <w:rFonts w:ascii="Times New Roman;sans-serif" w:hAnsi="Times New Roman;sans-serif"/>
                  <w:b w:val="false"/>
                  <w:color w:val="000080"/>
                  <w:sz w:val="20"/>
                  <w:u w:val="single"/>
                </w:rPr>
                <w:t xml:space="preserve">E. Condensed Consolidated Statements of Cash Flows for the </w:t>
              </w:r>
            </w:hyperlink>
            <w:hyperlink w:anchor="i974877713d6b43d39c51417c52f6e0f8_34">
              <w:r>
                <w:rPr>
                  <w:rStyle w:val="InternetLink"/>
                  <w:rFonts w:ascii="Times New Roman;sans-serif" w:hAnsi="Times New Roman;sans-serif"/>
                  <w:b w:val="false"/>
                  <w:color w:val="000080"/>
                  <w:sz w:val="20"/>
                  <w:u w:val="single"/>
                </w:rPr>
                <w:t>three</w:t>
              </w:r>
            </w:hyperlink>
            <w:hyperlink w:anchor="i974877713d6b43d39c51417c52f6e0f8_34">
              <w:r>
                <w:rPr>
                  <w:rStyle w:val="InternetLink"/>
                  <w:rFonts w:ascii="Times New Roman;sans-serif" w:hAnsi="Times New Roman;sans-serif"/>
                  <w:b w:val="false"/>
                  <w:color w:val="000080"/>
                  <w:sz w:val="20"/>
                  <w:u w:val="single"/>
                </w:rPr>
                <w:t xml:space="preserve">-month periods ended </w:t>
              </w:r>
            </w:hyperlink>
          </w:p>
          <w:p>
            <w:pPr>
              <w:pStyle w:val="TableContents"/>
              <w:bidi w:val="0"/>
              <w:spacing w:lineRule="auto" w:line="240" w:before="0" w:after="0"/>
              <w:jc w:val="left"/>
              <w:rPr/>
            </w:pPr>
            <w:hyperlink w:anchor="i974877713d6b43d39c51417c52f6e0f8_22">
              <w:r>
                <w:rPr>
                  <w:rStyle w:val="InternetLink"/>
                  <w:rFonts w:ascii="Times New Roman;sans-serif" w:hAnsi="Times New Roman;sans-serif"/>
                  <w:b w:val="false"/>
                  <w:color w:val="000080"/>
                  <w:sz w:val="20"/>
                  <w:u w:val="single"/>
                </w:rPr>
                <w:t>March</w:t>
              </w:r>
            </w:hyperlink>
            <w:hyperlink w:anchor="i974877713d6b43d39c51417c52f6e0f8_22">
              <w:r>
                <w:rPr>
                  <w:rStyle w:val="InternetLink"/>
                  <w:rFonts w:ascii="Times New Roman;sans-serif" w:hAnsi="Times New Roman;sans-serif"/>
                  <w:b w:val="false"/>
                  <w:color w:val="000080"/>
                  <w:sz w:val="20"/>
                  <w:u w:val="single"/>
                </w:rPr>
                <w:t xml:space="preserve"> 3</w:t>
              </w:r>
            </w:hyperlink>
            <w:hyperlink w:anchor="i974877713d6b43d39c51417c52f6e0f8_22">
              <w:r>
                <w:rPr>
                  <w:rStyle w:val="InternetLink"/>
                  <w:rFonts w:ascii="Times New Roman;sans-serif" w:hAnsi="Times New Roman;sans-serif"/>
                  <w:b w:val="false"/>
                  <w:color w:val="000080"/>
                  <w:sz w:val="20"/>
                  <w:u w:val="single"/>
                </w:rPr>
                <w:t>1</w:t>
              </w:r>
            </w:hyperlink>
            <w:hyperlink w:anchor="i974877713d6b43d39c51417c52f6e0f8_22">
              <w:r>
                <w:rPr>
                  <w:rStyle w:val="InternetLink"/>
                  <w:rFonts w:ascii="Times New Roman;sans-serif" w:hAnsi="Times New Roman;sans-serif"/>
                  <w:b w:val="false"/>
                  <w:color w:val="000080"/>
                  <w:sz w:val="20"/>
                  <w:u w:val="single"/>
                </w:rPr>
                <w:t>, 202</w:t>
              </w:r>
            </w:hyperlink>
            <w:hyperlink w:anchor="i974877713d6b43d39c51417c52f6e0f8_22">
              <w:r>
                <w:rPr>
                  <w:rStyle w:val="InternetLink"/>
                  <w:rFonts w:ascii="Times New Roman;sans-serif" w:hAnsi="Times New Roman;sans-serif"/>
                  <w:b w:val="false"/>
                  <w:color w:val="000080"/>
                  <w:sz w:val="20"/>
                  <w:u w:val="single"/>
                </w:rPr>
                <w:t>5</w:t>
              </w:r>
            </w:hyperlink>
            <w:hyperlink w:anchor="i974877713d6b43d39c51417c52f6e0f8_22">
              <w:r>
                <w:rPr>
                  <w:rStyle w:val="InternetLink"/>
                  <w:rFonts w:ascii="Times New Roman;sans-serif" w:hAnsi="Times New Roman;sans-serif"/>
                  <w:b w:val="false"/>
                  <w:color w:val="000080"/>
                  <w:sz w:val="20"/>
                  <w:u w:val="single"/>
                </w:rPr>
                <w:t xml:space="preserve"> and 202</w:t>
              </w:r>
            </w:hyperlink>
            <w:hyperlink w:anchor="i974877713d6b43d39c51417c52f6e0f8_22">
              <w:r>
                <w:rPr>
                  <w:rStyle w:val="InternetLink"/>
                  <w:rFonts w:ascii="Times New Roman;sans-serif" w:hAnsi="Times New Roman;sans-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34">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37">
              <w:r>
                <w:rPr>
                  <w:rStyle w:val="InternetLink"/>
                  <w:rFonts w:ascii="Times New Roman;sans-serif" w:hAnsi="Times New Roman;sans-serif"/>
                  <w:b w:val="false"/>
                  <w:color w:val="0000FF"/>
                  <w:sz w:val="20"/>
                  <w:u w:val="single"/>
                </w:rPr>
                <w:t xml:space="preserve">F. Notes to Condensed Consolidated Financial Statements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40">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13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136">
              <w:r>
                <w:rPr>
                  <w:rStyle w:val="InternetLink"/>
                  <w:rFonts w:ascii="Times New Roman;sans-serif" w:hAnsi="Times New Roman;sans-serif"/>
                  <w:b w:val="false"/>
                  <w:color w:val="0000FF"/>
                  <w:sz w:val="20"/>
                  <w:u w:val="single"/>
                </w:rPr>
                <w:t>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29">
              <w:r>
                <w:rPr>
                  <w:rStyle w:val="InternetLink"/>
                  <w:rFonts w:ascii="Times New Roman;sans-serif" w:hAnsi="Times New Roman;sans-serif"/>
                  <w:b w:val="false"/>
                  <w:color w:val="0000FF"/>
                  <w:sz w:val="20"/>
                  <w:u w:val="single"/>
                </w:rPr>
                <w:t>Item 3. Quantitative and Qualitative Disclosure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29">
              <w:r>
                <w:rPr>
                  <w:rStyle w:val="InternetLink"/>
                  <w:rFonts w:ascii="Times New Roman;sans-serif" w:hAnsi="Times New Roman;sans-serif"/>
                  <w:b w:val="false"/>
                  <w:color w:val="0000FF"/>
                  <w:sz w:val="20"/>
                  <w:u w:val="single"/>
                </w:rPr>
                <w:t>27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32">
              <w:r>
                <w:rPr>
                  <w:rStyle w:val="InternetLink"/>
                  <w:rFonts w:ascii="Times New Roman;sans-serif" w:hAnsi="Times New Roman;sans-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32">
              <w:r>
                <w:rPr>
                  <w:rStyle w:val="InternetLink"/>
                  <w:rFonts w:ascii="Times New Roman;sans-serif" w:hAnsi="Times New Roman;sans-serif"/>
                  <w:b w:val="false"/>
                  <w:color w:val="0000FF"/>
                  <w:sz w:val="20"/>
                  <w:u w:val="single"/>
                </w:rPr>
                <w:t>27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35">
              <w:r>
                <w:rPr>
                  <w:rStyle w:val="InternetLink"/>
                  <w:rFonts w:ascii="Times New Roman;sans-serif" w:hAnsi="Times New Roman;sans-serif"/>
                  <w:b w:val="false"/>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38">
              <w:r>
                <w:rPr>
                  <w:rStyle w:val="InternetLink"/>
                  <w:rFonts w:ascii="Times New Roman;sans-serif" w:hAnsi="Times New Roman;sans-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38">
              <w:r>
                <w:rPr>
                  <w:rStyle w:val="InternetLink"/>
                  <w:rFonts w:ascii="Times New Roman;sans-serif" w:hAnsi="Times New Roman;sans-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41">
              <w:r>
                <w:rPr>
                  <w:rStyle w:val="InternetLink"/>
                  <w:rFonts w:ascii="Times New Roman;sans-serif" w:hAnsi="Times New Roman;sans-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41">
              <w:r>
                <w:rPr>
                  <w:rStyle w:val="InternetLink"/>
                  <w:rFonts w:ascii="Times New Roman;sans-serif" w:hAnsi="Times New Roman;sans-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44">
              <w:r>
                <w:rPr>
                  <w:rStyle w:val="InternetLink"/>
                  <w:rFonts w:ascii="Times New Roman;sans-serif" w:hAnsi="Times New Roman;sans-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44">
              <w:r>
                <w:rPr>
                  <w:rStyle w:val="InternetLink"/>
                  <w:rFonts w:ascii="Times New Roman;sans-serif" w:hAnsi="Times New Roman;sans-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53">
              <w:r>
                <w:rPr>
                  <w:rStyle w:val="InternetLink"/>
                  <w:rFonts w:ascii="Times New Roman;sans-serif" w:hAnsi="Times New Roman;sans-serif"/>
                  <w:b w:val="false"/>
                  <w:color w:val="000080"/>
                  <w:sz w:val="20"/>
                  <w:u w:val="single"/>
                </w:rPr>
                <w:t>Item 3. D</w:t>
              </w:r>
            </w:hyperlink>
            <w:r>
              <w:rPr>
                <w:rFonts w:ascii="Times New Roman;sans-serif" w:hAnsi="Times New Roman;sans-serif"/>
                <w:b w:val="false"/>
                <w:color w:val="0000FF"/>
                <w:sz w:val="20"/>
                <w:u w:val="single"/>
              </w:rPr>
              <w:t>efaults Upon Senior Securities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53">
              <w:r>
                <w:rPr>
                  <w:rStyle w:val="InternetLink"/>
                  <w:rFonts w:ascii="Times New Roman;sans-serif" w:hAnsi="Times New Roman;sans-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56">
              <w:r>
                <w:rPr>
                  <w:rStyle w:val="InternetLink"/>
                  <w:rFonts w:ascii="Times New Roman;sans-serif" w:hAnsi="Times New Roman;sans-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56">
              <w:r>
                <w:rPr>
                  <w:rStyle w:val="InternetLink"/>
                  <w:rFonts w:ascii="Times New Roman;sans-serif" w:hAnsi="Times New Roman;sans-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59">
              <w:r>
                <w:rPr>
                  <w:rStyle w:val="InternetLink"/>
                  <w:rFonts w:ascii="Times New Roman;sans-serif" w:hAnsi="Times New Roman;sans-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59">
              <w:r>
                <w:rPr>
                  <w:rStyle w:val="InternetLink"/>
                  <w:rFonts w:ascii="Times New Roman;sans-serif" w:hAnsi="Times New Roman;sans-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4877713d6b43d39c51417c52f6e0f8_262">
              <w:r>
                <w:rPr>
                  <w:rStyle w:val="InternetLink"/>
                  <w:rFonts w:ascii="Times New Roman;sans-serif" w:hAnsi="Times New Roman;sans-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4877713d6b43d39c51417c52f6e0f8_262">
              <w:r>
                <w:rPr>
                  <w:rStyle w:val="InternetLink"/>
                  <w:rFonts w:ascii="Times New Roman;sans-serif" w:hAnsi="Times New Roman;sans-serif"/>
                  <w:b w:val="false"/>
                  <w:color w:val="0000FF"/>
                  <w:sz w:val="20"/>
                  <w:u w:val="single"/>
                </w:rPr>
                <w:t>29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CANNAE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21"/>
        <w:gridCol w:w="2410"/>
        <w:gridCol w:w="2380"/>
        <w:gridCol w:w="196"/>
        <w:gridCol w:w="691"/>
        <w:gridCol w:w="109"/>
        <w:gridCol w:w="109"/>
        <w:gridCol w:w="109"/>
        <w:gridCol w:w="109"/>
        <w:gridCol w:w="201"/>
        <w:gridCol w:w="709"/>
        <w:gridCol w:w="161"/>
      </w:tblGrid>
      <w:tr>
        <w:trPr/>
        <w:tc>
          <w:tcPr>
            <w:tcW w:w="3021"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of discontinued operations held for sale - see Note J</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 at fair value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investments and non-current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of discontinued operations held for sale - see Note J</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long-term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 see Note H</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Cannae common stock, 0.0001 par value; authorized 115,000,000 shares as of March 31, 2025 and December 31, 2024; issued of 94,688,825 and 94,328,322 shares as of March 31, 2025 and December 31, 2024, respectively, and outstanding of 62,815,170 and 62,789,542 shares as of March 31, 2025 and December 31, 2024,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authorized 10,000,000 shares; none issued and outstanding as of March 31, 2025 and December 31, 2024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Treasury stock, 31,873,655 and 31,538,780 shares as of March 31, 2025 and December 31, 2024, respectively, at cost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Cannae shareholders'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94" w:type="dxa"/>
        <w:jc w:val="center"/>
        <w:tblInd w:w="0" w:type="dxa"/>
        <w:tblLayout w:type="fixed"/>
        <w:tblCellMar>
          <w:top w:w="28" w:type="dxa"/>
          <w:left w:w="28" w:type="dxa"/>
          <w:bottom w:w="28" w:type="dxa"/>
          <w:right w:w="28" w:type="dxa"/>
        </w:tblCellMar>
      </w:tblPr>
      <w:tblGrid>
        <w:gridCol w:w="2555"/>
        <w:gridCol w:w="2244"/>
        <w:gridCol w:w="2265"/>
        <w:gridCol w:w="217"/>
        <w:gridCol w:w="699"/>
        <w:gridCol w:w="120"/>
        <w:gridCol w:w="120"/>
        <w:gridCol w:w="120"/>
        <w:gridCol w:w="120"/>
        <w:gridCol w:w="217"/>
        <w:gridCol w:w="616"/>
        <w:gridCol w:w="120"/>
        <w:gridCol w:w="109"/>
        <w:gridCol w:w="109"/>
        <w:gridCol w:w="109"/>
        <w:gridCol w:w="154"/>
      </w:tblGrid>
      <w:tr>
        <w:trPr/>
        <w:tc>
          <w:tcPr>
            <w:tcW w:w="255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34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net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(losses) earnings of unconsolidated affiliates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equity in (losses) earnings of unconsolidated affiliates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earnings of unconsolidated affiliates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continuing operations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discontinued operations, net of tax - see Note J</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Cannae Holdings, Inc. common shareholders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Amounts attributable to Cannae Holdings, Inc. common shareholders</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continuing operations attributable to Cannae Holdings, Inc. common shareholders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discontinued operations attributable to Cannae Holdings, Inc. common shareholders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Cannae Holdings, Inc. common shareholders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Basic</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from continuing operations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from discontinued operations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Diluted</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from continuing operations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from discontinued operations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Weighted Average Shares Outstanding</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basic basis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diluted basis</w:t>
            </w:r>
          </w:p>
        </w:tc>
        <w:tc>
          <w:tcPr>
            <w:tcW w:w="9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0"/>
        <w:gridCol w:w="2357"/>
        <w:gridCol w:w="2389"/>
        <w:gridCol w:w="213"/>
        <w:gridCol w:w="677"/>
        <w:gridCol w:w="118"/>
        <w:gridCol w:w="118"/>
        <w:gridCol w:w="118"/>
        <w:gridCol w:w="118"/>
        <w:gridCol w:w="213"/>
        <w:gridCol w:w="579"/>
        <w:gridCol w:w="118"/>
        <w:gridCol w:w="109"/>
        <w:gridCol w:w="109"/>
        <w:gridCol w:w="109"/>
        <w:gridCol w:w="160"/>
      </w:tblGrid>
      <w:tr>
        <w:trPr/>
        <w:tc>
          <w:tcPr>
            <w:tcW w:w="2700"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earnings, net of tax:</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Unrealized loss of investments in unconsolidated affiliates </w:t>
            </w:r>
            <w:r>
              <w:rPr>
                <w:rFonts w:ascii="Times New Roman;sans-serif" w:hAnsi="Times New Roman;sans-serif"/>
                <w:b w:val="false"/>
                <w:color w:val="000000"/>
                <w:sz w:val="12"/>
              </w:rPr>
              <w:t>(1)</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Reclassification adjustments for unrealized gains and losses of unconsolidated affiliates, net of tax, included in net earnings </w:t>
            </w:r>
            <w:r>
              <w:rPr>
                <w:rFonts w:ascii="Times New Roman;sans-serif" w:hAnsi="Times New Roman;sans-serif"/>
                <w:b w:val="false"/>
                <w:color w:val="000000"/>
                <w:sz w:val="12"/>
              </w:rPr>
              <w:t>(2)</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earnings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attributable to noncontrolling interests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Cannae Holdings, Inc. common shareholders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(1)Net of income tax benefit of $0.6 million and $0.2 million for the three months ended March 31, 2025 and 2024, respectively.</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(2)Net of income tax expense of $0.1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18"/>
        </w:rPr>
        <w:t>$1.1 million</w:t>
      </w:r>
      <w:r>
        <w:rPr>
          <w:color w:val="000000"/>
        </w:rPr>
        <w:t xml:space="preserve"> </w:t>
      </w:r>
      <w:r>
        <w:rPr>
          <w:rFonts w:ascii="Times New Roman;sans-serif" w:hAnsi="Times New Roman;sans-serif"/>
          <w:b w:val="false"/>
          <w:color w:val="000000"/>
          <w:sz w:val="18"/>
        </w:rPr>
        <w:t xml:space="preserve">for the </w:t>
      </w:r>
      <w:r>
        <w:rPr>
          <w:rFonts w:ascii="Times New Roman;sans-serif" w:hAnsi="Times New Roman;sans-serif"/>
          <w:b w:val="false"/>
          <w:color w:val="000000"/>
          <w:sz w:val="20"/>
        </w:rPr>
        <w:t>three</w:t>
      </w:r>
      <w:r>
        <w:rPr>
          <w:color w:val="000000"/>
        </w:rPr>
        <w:t xml:space="preserve"> </w:t>
      </w:r>
      <w:r>
        <w:rPr>
          <w:rFonts w:ascii="Times New Roman;sans-serif" w:hAnsi="Times New Roman;sans-serif"/>
          <w:b w:val="false"/>
          <w:color w:val="000000"/>
          <w:sz w:val="18"/>
        </w:rPr>
        <w:t>months ended March 31, 2025 and 2024, respectively.</w:t>
      </w:r>
      <w:r>
        <w:rPr>
          <w:color w:val="000000"/>
        </w:rPr>
        <w:t>    </w:t>
      </w:r>
    </w:p>
    <w:p>
      <w:pPr>
        <w:pStyle w:val="TextBody"/>
        <w:bidi w:val="0"/>
        <w:spacing w:lineRule="auto" w:line="288" w:before="3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pStyle w:val="TextBody"/>
        <w:bidi w:val="0"/>
        <w:spacing w:before="0" w:after="0"/>
        <w:jc w:val="left"/>
        <w:rPr/>
      </w:pPr>
      <w:r>
        <w:rPr/>
      </w:r>
    </w:p>
    <w:p>
      <w:pPr>
        <w:pStyle w:val="TextBody"/>
        <w:bidi w:val="0"/>
        <w:spacing w:before="340" w:after="340"/>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1966" w:type="dxa"/>
        <w:jc w:val="center"/>
        <w:tblInd w:w="0" w:type="dxa"/>
        <w:tblLayout w:type="fixed"/>
        <w:tblCellMar>
          <w:top w:w="28" w:type="dxa"/>
          <w:left w:w="28" w:type="dxa"/>
          <w:bottom w:w="28" w:type="dxa"/>
          <w:right w:w="28" w:type="dxa"/>
        </w:tblCellMar>
      </w:tblPr>
      <w:tblGrid>
        <w:gridCol w:w="623"/>
        <w:gridCol w:w="548"/>
        <w:gridCol w:w="240"/>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556"/>
        <w:gridCol w:w="109"/>
        <w:gridCol w:w="109"/>
        <w:gridCol w:w="109"/>
        <w:gridCol w:w="109"/>
        <w:gridCol w:w="217"/>
        <w:gridCol w:w="533"/>
        <w:gridCol w:w="121"/>
        <w:gridCol w:w="109"/>
        <w:gridCol w:w="109"/>
        <w:gridCol w:w="109"/>
        <w:gridCol w:w="233"/>
        <w:gridCol w:w="233"/>
        <w:gridCol w:w="196"/>
        <w:gridCol w:w="109"/>
        <w:gridCol w:w="109"/>
        <w:gridCol w:w="109"/>
        <w:gridCol w:w="196"/>
        <w:gridCol w:w="571"/>
        <w:gridCol w:w="109"/>
        <w:gridCol w:w="109"/>
        <w:gridCol w:w="109"/>
        <w:gridCol w:w="109"/>
        <w:gridCol w:w="109"/>
        <w:gridCol w:w="109"/>
        <w:gridCol w:w="265"/>
        <w:gridCol w:w="652"/>
        <w:gridCol w:w="149"/>
        <w:gridCol w:w="109"/>
        <w:gridCol w:w="109"/>
        <w:gridCol w:w="109"/>
        <w:gridCol w:w="196"/>
        <w:gridCol w:w="69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2023</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gains and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adjustments for unrealized gains and losses on unconsolidated affiliates, net of tax, included in net earnings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 and shares held in trust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shares withheld for taxes and in treasury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shares issued for investment in JANA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2024</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2024</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Reclassification adjustments for unrealized gains and losses on unconsolidated affiliates, net of tax, included in net earnings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 and shares held in trust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RSU vesting and payment for shares withheld for taxes and in treasury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2025</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560" w:type="dxa"/>
        <w:jc w:val="center"/>
        <w:tblInd w:w="0" w:type="dxa"/>
        <w:tblLayout w:type="fixed"/>
        <w:tblCellMar>
          <w:top w:w="28" w:type="dxa"/>
          <w:left w:w="28" w:type="dxa"/>
          <w:bottom w:w="28" w:type="dxa"/>
          <w:right w:w="28" w:type="dxa"/>
        </w:tblCellMar>
      </w:tblPr>
      <w:tblGrid>
        <w:gridCol w:w="2217"/>
        <w:gridCol w:w="1943"/>
        <w:gridCol w:w="1959"/>
        <w:gridCol w:w="221"/>
        <w:gridCol w:w="711"/>
        <w:gridCol w:w="122"/>
        <w:gridCol w:w="122"/>
        <w:gridCol w:w="122"/>
        <w:gridCol w:w="122"/>
        <w:gridCol w:w="221"/>
        <w:gridCol w:w="627"/>
        <w:gridCol w:w="173"/>
      </w:tblGrid>
      <w:tr>
        <w:trPr/>
        <w:tc>
          <w:tcPr>
            <w:tcW w:w="221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Equity in losses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Distributions from investments in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 xml:space="preserve">Recognized (gains) losses and asset impairments,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Lease asset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from discontinued operations - see Note 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deferred revenue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sales of Dayforce shares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 and 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 in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investments in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other long 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investments in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maturity of short-term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service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vested shares withheld for taxes and in treasury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pPr>
      <w:r>
        <w:rPr>
          <w:rFonts w:ascii="Times New Roman;sans-serif" w:hAnsi="Times New Roman;sans-serif"/>
          <w:b w:val="false"/>
          <w:color w:val="000000"/>
          <w:sz w:val="20"/>
        </w:rPr>
        <w:t>S</w:t>
      </w:r>
      <w:r>
        <w:rPr>
          <w:rFonts w:ascii="Times New Roman;sans-serif" w:hAnsi="Times New Roman;sans-serif"/>
          <w:b w:val="false"/>
          <w:color w:val="000000"/>
          <w:sz w:val="16"/>
        </w:rPr>
        <w:t xml:space="preserve">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A — Basis of Financial Statements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describes the significant accounting policies of Cannae Holdings, Inc. and its subsidiaries (collectively, "we," "us," "our," "Cannae," "CNNE," or the "Company"), which have been followed in preparing the accompanying Condensed Consolidated Financial Statements.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March 31, 2025 include our ownership interests in Dun &amp; Bradstreet Holdings, Inc. ("Dun &amp; Bradstreet" or "D&amp;B"); Alight, Inc. ("Alight"); Paysafe Limited ("Paysafe"); Sightline Payments Holdings, LLC ("Sightline"); System1, Inc. ("System1"); Black Knight Football Club US, LP ("Black Knight Football" or "BKFC", formerly known as Black Knight Football and Entertainment, LP); Computer Services, Inc. ("CSI"); Watkins Holdings, LLC ("Watkins Holdings"); JANA Partners Capital, LLC and JANA Partners Management, LP (together, "JANA" or "JANA Partners"); High Sierra Distillery, LP ("Minden Mill"); AmeriLife Group, LLC ("AmeriLife"); O'Charley's Holdings, LLC ("O'Charley's"); 99 Restaurants Holdings, LLC ("99 Restaurants"); and various other controlled subsidiary companies and minority equity ownership interests.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Note E - </w:t>
      </w:r>
      <w:r>
        <w:rPr>
          <w:rFonts w:ascii="Times New Roman;sans-serif" w:hAnsi="Times New Roman;sans-serif"/>
          <w:b w:val="false"/>
          <w:i/>
          <w:color w:val="000000"/>
          <w:sz w:val="20"/>
        </w:rPr>
        <w:t>Segment Information</w:t>
      </w:r>
      <w:r>
        <w:rPr>
          <w:color w:val="000000"/>
        </w:rPr>
        <w:t> </w:t>
      </w:r>
      <w:r>
        <w:rPr>
          <w:rFonts w:ascii="Times New Roman;sans-serif" w:hAnsi="Times New Roman;sans-serif"/>
          <w:b w:val="false"/>
          <w:color w:val="000000"/>
          <w:sz w:val="20"/>
        </w:rPr>
        <w:t>for further discussion of the businesses comprising our reportable segments.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generally accepted accounting principles in the United States ("GAAP") </w:t>
      </w:r>
      <w:r>
        <w:rPr>
          <w:rFonts w:ascii="Times New Roman;sans-serif" w:hAnsi="Times New Roman;sans-serif"/>
          <w:b w:val="false"/>
          <w:color w:val="000000"/>
          <w:sz w:val="20"/>
          <w:shd w:fill="FFFFFF" w:val="clear"/>
        </w:rPr>
        <w:t>and the instructions to Form 10-Q and Article 10 of Regulation S-X</w:t>
      </w:r>
      <w:r>
        <w:rPr>
          <w:color w:val="000000"/>
        </w:rPr>
        <w:t xml:space="preserve"> </w:t>
      </w:r>
      <w:r>
        <w:rPr>
          <w:rFonts w:ascii="Times New Roman;sans-serif" w:hAnsi="Times New Roman;sans-serif"/>
          <w:b w:val="false"/>
          <w:color w:val="000000"/>
          <w:sz w:val="20"/>
        </w:rPr>
        <w:t>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2024.</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Management Estimates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and Note C -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Actual results could differ from estimates.</w:t>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76"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2025, Dun &amp; Bradstreet announced that it entered into a definitive agreement to be acquired by Clearlake Capital Group, L.P. (the "D&amp;B Sale"). Under the terms of the agreement, D&amp;B shareholders will receive $9.15 in cash for each share of common stock they own upon closing of the D&amp;B Sale. The transaction is expected to close in the third quarter of 2025, subject to Dun &amp; Bradstreet shareholder approval, regulatory clearances and other customary closing conditions. Upon completion of the transaction, Cannae is expected to receive $631.8 million of cash proceeds and will no longer hold any shares of Dun &amp; Bradstreet.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D&amp;B Sale, Cannae entered into a Voting and Support Agreement with Dun &amp; Bradstreet pursuant to which Cannae has agreed to vote the 69,048,691 shares of D&amp;B common stock, par value $0.0001 per share, for which the Company is currently the beneficial owner (the "Owned Shares") in favor of the D&amp;B Sale. Pursuant to the Voting and Support Agreement, the Company has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The Company is permitted to sell up to 10 million of the Owned Shares prior to completion of the D&amp;B Sale or termination of the merger agreement entered into by D&amp;B related to the D&amp;B Sale in accordance with its terms.</w:t>
      </w:r>
    </w:p>
    <w:p>
      <w:pPr>
        <w:pStyle w:val="TextBody"/>
        <w:bidi w:val="0"/>
        <w:spacing w:lineRule="auto" w:line="276" w:before="120" w:after="120"/>
        <w:ind w:left="0" w:right="0" w:firstLine="360"/>
        <w:jc w:val="both"/>
        <w:rPr/>
      </w:pPr>
      <w:r>
        <w:rPr>
          <w:rFonts w:ascii="Times New Roman;sans-serif" w:hAnsi="Times New Roman;sans-serif"/>
          <w:b w:val="false"/>
          <w:color w:val="000000"/>
          <w:sz w:val="20"/>
        </w:rPr>
        <w:t xml:space="preserve">As a result of the D&amp;B Sale, we began presenting our investment in Dun &amp; Bradstreet as a discontinued operation and assets held for sale in our Condensed Consolidated Financial Statements as of and for the three months ended March 31, 2025 and all prior periods have been recast to reflect our investment in D&amp;B as a discontinued operation and held for sale. See Note J - </w:t>
      </w:r>
      <w:r>
        <w:rPr>
          <w:rFonts w:ascii="Times New Roman;sans-serif" w:hAnsi="Times New Roman;sans-serif"/>
          <w:b w:val="false"/>
          <w:i/>
          <w:color w:val="000000"/>
          <w:sz w:val="20"/>
        </w:rPr>
        <w:t>Discontinued Operations</w:t>
      </w:r>
      <w:r>
        <w:rPr>
          <w:color w:val="000000"/>
        </w:rPr>
        <w:t xml:space="preserve"> </w:t>
      </w:r>
      <w:r>
        <w:rPr>
          <w:rFonts w:ascii="Times New Roman;sans-serif" w:hAnsi="Times New Roman;sans-serif"/>
          <w:b w:val="false"/>
          <w:color w:val="000000"/>
          <w:sz w:val="20"/>
        </w:rPr>
        <w:t>for further discussion of our accounting for our ownership interest in D&amp;B.</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owned 69.0 million shares of D&amp;B, which represented approximately 15.5% of its outstanding common stock.</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March 31, 2025 through the date of this Quarterly Report, we sold 9.0 million shares of common stock of D&amp;B for proceeds of $80.5 million. </w:t>
      </w:r>
    </w:p>
    <w:p>
      <w:pPr>
        <w:pStyle w:val="TextBody"/>
        <w:bidi w:val="0"/>
        <w:spacing w:lineRule="auto" w:line="276"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Black Knight Football</w:t>
      </w:r>
    </w:p>
    <w:p>
      <w:pPr>
        <w:pStyle w:val="TextBody"/>
        <w:bidi w:val="0"/>
        <w:spacing w:lineRule="auto" w:line="276" w:before="120" w:after="120"/>
        <w:ind w:left="0" w:right="0" w:firstLine="360"/>
        <w:jc w:val="both"/>
        <w:rPr/>
      </w:pPr>
      <w:r>
        <w:rPr>
          <w:rFonts w:ascii="Times New Roman;sans-serif" w:hAnsi="Times New Roman;sans-serif"/>
          <w:b w:val="false"/>
          <w:color w:val="000000"/>
          <w:sz w:val="20"/>
        </w:rPr>
        <w:t xml:space="preserve">During the three months ended March 31, 2025, we invested $25.0 million in BKFC and as of March 31, 2025, we held a 44.3% ownership interest.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further discussion of our accounting for our ownership interest in BKFC and other equity method investments.</w:t>
      </w:r>
    </w:p>
    <w:p>
      <w:pPr>
        <w:pStyle w:val="TextBody"/>
        <w:bidi w:val="0"/>
        <w:spacing w:lineRule="auto" w:line="276"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Developments</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WineDirect, Inc. completed the spin-off of its fulfillment division as WineDirect Fulfillment, LLC ("Fulfillment") and sold its E-commerce division (the "WD Transaction"). As a result of the WD Transaction, we received $20.4 million in proceeds including $13.6 million of cash and a 20% ownership interest in Fulfillment valued at $6.8 million. We recorded a new investment in Fulfillment of $6.8 million in Investments in unconsolidated affiliates in our Condensed Consolidated Balance Sheet and a $15.0 million gain which is included in Recognized gains, net on our Condensed Consolidated Statement of Operations for the three months ended March 31, 2025.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2025, our Board authorized a new stock repurchase program (the "2025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2025 Repurchase Program does not supersede or impact the repurchase capacity under the prior authorizations.</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2025, Cannae entered into an agreement to acquire an additional 30% ownership interest in JANA Partners in exchange for an upfront payment of $67.5 million and potential further payments aggregating to $26 million if JANA Partners achieves certain Assets Under Management thresholds (the "JANA Investment"). The transaction is expected to close in the third quarter of 2025 and will result in the Company having a 50% total ownership interest in JANA Partners.</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The MSA also, among other items, (i) reduced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fee to a fixed amount of $7.6 million annually effective beginning July 2, 2024 and (ii) provided for payment of the $20.0 million termination fee due under the MSA to be paid by the Company to the Manager in installments of $6.7 million annually over the three-year period ending July 1, 2026. Mr. Foley holds a majority interest in the Manager and therefore has an indirect interest in the MSA. The MSA Termination Agreement terminates the MSA in its entirety as of May 12, 2025 without any further obligations or liabilities other than certain obligations relating to the continuing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2025, the Company announced that effective immediately, William P. Foley would transition from his roles as Chief Executive Officer, Chief Investment Officer and Chairman of the Board of the Company to serve as the Board's non-executive Vice Chairman. Doug Ammerman has been appointed as Chairman of the Board and Ryan R. Caswell, the Company’s President, began serving as the Company’s Chief Executive Officer, also effective as of May 12, 2025. In connection with the change in Mr. Foley's employment and as described in Mr. Foley’s original employment agreement, Mr. Foley will receive a lump-sum payment of $17.2 million and all of Mr. Foley’s outstanding but unvested equity awards will be accelerated in the second quarter of 2025.</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dividends were declared by our Board in 2025:</w:t>
      </w:r>
    </w:p>
    <w:tbl>
      <w:tblPr>
        <w:tblW w:w="6948" w:type="dxa"/>
        <w:jc w:val="left"/>
        <w:tblInd w:w="0" w:type="dxa"/>
        <w:tblLayout w:type="fixed"/>
        <w:tblCellMar>
          <w:top w:w="28" w:type="dxa"/>
          <w:left w:w="28" w:type="dxa"/>
          <w:bottom w:w="28" w:type="dxa"/>
          <w:right w:w="28" w:type="dxa"/>
        </w:tblCellMar>
      </w:tblPr>
      <w:tblGrid>
        <w:gridCol w:w="565"/>
        <w:gridCol w:w="496"/>
        <w:gridCol w:w="499"/>
        <w:gridCol w:w="109"/>
        <w:gridCol w:w="109"/>
        <w:gridCol w:w="109"/>
        <w:gridCol w:w="414"/>
        <w:gridCol w:w="414"/>
        <w:gridCol w:w="416"/>
        <w:gridCol w:w="109"/>
        <w:gridCol w:w="109"/>
        <w:gridCol w:w="109"/>
        <w:gridCol w:w="429"/>
        <w:gridCol w:w="429"/>
        <w:gridCol w:w="431"/>
        <w:gridCol w:w="109"/>
        <w:gridCol w:w="109"/>
        <w:gridCol w:w="109"/>
        <w:gridCol w:w="548"/>
        <w:gridCol w:w="548"/>
        <w:gridCol w:w="778"/>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Dividends Per Share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we incurred management fee expenses with our Manager of $1.9 million and $9.1 million, respectively. During the three months ended March 31, 2025 and 2024, we incurred termination fee expenses with our Manager of $1.7 million and $2.3 million, respectively. These expenses are recorded in Other operating expenses on our Condensed Consolidated Statement of Operations.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as presented on the Condensed Consolidated Statement of Operations, is computed by dividing net earnings available to common shareholders by the weighted average number of common shares outstanding during the period.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Instruments that provide the ability to purchase shares of our common stock that are antidilutive are excluded from the computation of diluted earnings per share. For the three months ended March 31, 2025 and 2024, shares of restricted stock outstanding were excluded from the calculation of diluted earnings per share as inclusion of restricted stock would be antidilutive due to net losses. </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was (121.7)% and (156.1)% in the three months ended March 31, 2025 and 2024, respectively. The change in the effective tax rate in the three-month period ended March 31, 2025 compared to the corresponding prior year period was primarily attributable to recording a valuation allowance in the current period of $28.3 million partially offset by the impairment recorded to our investment in D&amp;B and a valuation allowance of $59.9 million in the prior period on our federal net operating loss carryforwards and certain deferred taxes related to our consolidated partnerships and the varying impact of equity in losses of unconsolidated affiliates on income tax expense (benefit).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Deferred tax asset of $55.0 million and $73.9 million as of March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respectively. The $18.9 million change in deferred taxes in the three months ended March 31, 2025 is primarily attributable to recording of a valuation allowance of $28.3 million primarily related to our federal net operating loss carryforwards, state net operating loss carryforwards and certain deferred taxes related to our investments, partially offset by the tax impact of the impairment of D&amp;B.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w:t>
      </w:r>
      <w:r>
        <w:rPr>
          <w:rFonts w:ascii="Times New Roman;sans-serif" w:hAnsi="Times New Roman;sans-serif"/>
          <w:b w:val="false"/>
          <w:color w:val="000000"/>
          <w:sz w:val="20"/>
        </w:rPr>
        <w:t>, which requires consistent categories and greater disaggregation of information in the rate reconciliation and income taxes paid disaggregated by jurisdiction. For public business entities, the amendments are effective for fiscal years beginning after December 15, 2024. We will adopt this authoritative guidance prospectively during the current year and do not expect it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B —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unconsolidated affiliates recorded using the equity method of accounting as of March 31, 2025 and December 31, 2024 consisted of the following:</w:t>
      </w:r>
    </w:p>
    <w:tbl>
      <w:tblPr>
        <w:tblW w:w="6533" w:type="dxa"/>
        <w:jc w:val="left"/>
        <w:tblInd w:w="0" w:type="dxa"/>
        <w:tblLayout w:type="fixed"/>
        <w:tblCellMar>
          <w:top w:w="28" w:type="dxa"/>
          <w:left w:w="28" w:type="dxa"/>
          <w:bottom w:w="28" w:type="dxa"/>
          <w:right w:w="28" w:type="dxa"/>
        </w:tblCellMar>
      </w:tblPr>
      <w:tblGrid>
        <w:gridCol w:w="288"/>
        <w:gridCol w:w="252"/>
        <w:gridCol w:w="256"/>
        <w:gridCol w:w="507"/>
        <w:gridCol w:w="507"/>
        <w:gridCol w:w="1266"/>
        <w:gridCol w:w="109"/>
        <w:gridCol w:w="109"/>
        <w:gridCol w:w="109"/>
        <w:gridCol w:w="284"/>
        <w:gridCol w:w="829"/>
        <w:gridCol w:w="146"/>
        <w:gridCol w:w="109"/>
        <w:gridCol w:w="109"/>
        <w:gridCol w:w="109"/>
        <w:gridCol w:w="332"/>
        <w:gridCol w:w="970"/>
        <w:gridCol w:w="242"/>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 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BKFC</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Watkins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fair value of our direct ownership in the common stock of unconsolidated affiliates that have quoted market prices as of March 31, 2025 consisted of the following:</w:t>
      </w:r>
    </w:p>
    <w:tbl>
      <w:tblPr>
        <w:tblW w:w="2115" w:type="dxa"/>
        <w:jc w:val="left"/>
        <w:tblInd w:w="0" w:type="dxa"/>
        <w:tblLayout w:type="fixed"/>
        <w:tblCellMar>
          <w:top w:w="28" w:type="dxa"/>
          <w:left w:w="28" w:type="dxa"/>
          <w:bottom w:w="28" w:type="dxa"/>
          <w:right w:w="28" w:type="dxa"/>
        </w:tblCellMar>
      </w:tblPr>
      <w:tblGrid>
        <w:gridCol w:w="293"/>
        <w:gridCol w:w="257"/>
        <w:gridCol w:w="261"/>
        <w:gridCol w:w="380"/>
        <w:gridCol w:w="380"/>
        <w:gridCol w:w="54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earnings of unconsolidated affiliates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months ended March 31, 2025 and 2024 consisted of the following:</w:t>
      </w:r>
    </w:p>
    <w:tbl>
      <w:tblPr>
        <w:tblW w:w="3673" w:type="dxa"/>
        <w:jc w:val="left"/>
        <w:tblInd w:w="0" w:type="dxa"/>
        <w:tblLayout w:type="fixed"/>
        <w:tblCellMar>
          <w:top w:w="28" w:type="dxa"/>
          <w:left w:w="28" w:type="dxa"/>
          <w:bottom w:w="28" w:type="dxa"/>
          <w:right w:w="28" w:type="dxa"/>
        </w:tblCellMar>
      </w:tblPr>
      <w:tblGrid>
        <w:gridCol w:w="288"/>
        <w:gridCol w:w="252"/>
        <w:gridCol w:w="256"/>
        <w:gridCol w:w="258"/>
        <w:gridCol w:w="589"/>
        <w:gridCol w:w="133"/>
        <w:gridCol w:w="133"/>
        <w:gridCol w:w="133"/>
        <w:gridCol w:w="133"/>
        <w:gridCol w:w="258"/>
        <w:gridCol w:w="626"/>
        <w:gridCol w:w="133"/>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BKFC</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Watkins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Alight</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statement of operations information for Alight for the relevant dates and time periods included in Equity in (losses) earnings of unconsolidated affiliates in our Condensed Consolidated Statements of Operations is presented below. </w:t>
      </w:r>
    </w:p>
    <w:tbl>
      <w:tblPr>
        <w:tblW w:w="7645" w:type="dxa"/>
        <w:jc w:val="left"/>
        <w:tblInd w:w="0" w:type="dxa"/>
        <w:tblLayout w:type="fixed"/>
        <w:tblCellMar>
          <w:top w:w="28" w:type="dxa"/>
          <w:left w:w="28" w:type="dxa"/>
          <w:bottom w:w="28" w:type="dxa"/>
          <w:right w:w="28" w:type="dxa"/>
        </w:tblCellMar>
      </w:tblPr>
      <w:tblGrid>
        <w:gridCol w:w="1742"/>
        <w:gridCol w:w="1533"/>
        <w:gridCol w:w="1539"/>
        <w:gridCol w:w="226"/>
        <w:gridCol w:w="659"/>
        <w:gridCol w:w="116"/>
        <w:gridCol w:w="116"/>
        <w:gridCol w:w="116"/>
        <w:gridCol w:w="116"/>
        <w:gridCol w:w="226"/>
        <w:gridCol w:w="659"/>
        <w:gridCol w:w="116"/>
        <w:gridCol w:w="109"/>
        <w:gridCol w:w="109"/>
        <w:gridCol w:w="109"/>
        <w:gridCol w:w="154"/>
      </w:tblGrid>
      <w:tr>
        <w:trPr/>
        <w:tc>
          <w:tcPr>
            <w:tcW w:w="17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from discontinued operations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noncontrolling interests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Alight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BKFC</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statement of operation information for Black Knight Football for the relevant dates and time periods included in Equity in (losses) earnings of unconsolidated affiliates in our Condensed Consolidated Statements of Operations is presented below. We report our equity in the earnings or loss of BKFC on a three-month lag. Accordingly, our net loss for the three months ended March 31, 2025 and 2024 includes our equity in Black Knight Football’s losses for the three months ended December 31, 2024 and 2023, respectively. </w:t>
      </w:r>
    </w:p>
    <w:tbl>
      <w:tblPr>
        <w:tblW w:w="5997" w:type="dxa"/>
        <w:jc w:val="left"/>
        <w:tblInd w:w="0" w:type="dxa"/>
        <w:tblLayout w:type="fixed"/>
        <w:tblCellMar>
          <w:top w:w="28" w:type="dxa"/>
          <w:left w:w="28" w:type="dxa"/>
          <w:bottom w:w="28" w:type="dxa"/>
          <w:right w:w="28" w:type="dxa"/>
        </w:tblCellMar>
      </w:tblPr>
      <w:tblGrid>
        <w:gridCol w:w="1198"/>
        <w:gridCol w:w="861"/>
        <w:gridCol w:w="865"/>
        <w:gridCol w:w="275"/>
        <w:gridCol w:w="666"/>
        <w:gridCol w:w="142"/>
        <w:gridCol w:w="142"/>
        <w:gridCol w:w="142"/>
        <w:gridCol w:w="142"/>
        <w:gridCol w:w="275"/>
        <w:gridCol w:w="666"/>
        <w:gridCol w:w="142"/>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of unconsolidated affiliates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BKFC</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Securities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Recognized gains (losses), net on the Condensed Consolidated Statements of Operations consisted of the following (losses) gains on equity securities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months ended March 31, 2025 and 2024:</w:t>
      </w:r>
    </w:p>
    <w:tbl>
      <w:tblPr>
        <w:tblW w:w="10205" w:type="dxa"/>
        <w:jc w:val="left"/>
        <w:tblInd w:w="0" w:type="dxa"/>
        <w:tblLayout w:type="fixed"/>
        <w:tblCellMar>
          <w:top w:w="28" w:type="dxa"/>
          <w:left w:w="28" w:type="dxa"/>
          <w:bottom w:w="28" w:type="dxa"/>
          <w:right w:w="28" w:type="dxa"/>
        </w:tblCellMar>
      </w:tblPr>
      <w:tblGrid>
        <w:gridCol w:w="2686"/>
        <w:gridCol w:w="2358"/>
        <w:gridCol w:w="2366"/>
        <w:gridCol w:w="237"/>
        <w:gridCol w:w="648"/>
        <w:gridCol w:w="122"/>
        <w:gridCol w:w="122"/>
        <w:gridCol w:w="122"/>
        <w:gridCol w:w="122"/>
        <w:gridCol w:w="237"/>
        <w:gridCol w:w="576"/>
        <w:gridCol w:w="122"/>
        <w:gridCol w:w="109"/>
        <w:gridCol w:w="109"/>
        <w:gridCol w:w="109"/>
        <w:gridCol w:w="160"/>
      </w:tblGrid>
      <w:tr>
        <w:trPr/>
        <w:tc>
          <w:tcPr>
            <w:tcW w:w="2686"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7" w:type="dxa"/>
            <w:gridSpan w:val="4"/>
            <w:tcBorders/>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recognized during the period on equity securities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gains recognized during the period on equity securities sold, transferred or disposed during the period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recognized during the reporting period on equity securities held at the reporting date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Equity Security Investments Without Readily Determinable Fair Values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We account for our investments in AmeriLife and certain other ownership interests at cost less impairment, </w:t>
      </w:r>
      <w:r>
        <w:rPr>
          <w:rFonts w:ascii="Times New Roman;sans-serif" w:hAnsi="Times New Roman;sans-serif"/>
          <w:b w:val="false"/>
          <w:color w:val="000000"/>
          <w:sz w:val="20"/>
        </w:rPr>
        <w:t>if any, plus or minus changes resulting from observable price changes in orderly market transactions</w:t>
      </w:r>
      <w:r>
        <w:rPr>
          <w:rFonts w:ascii="Times New Roman;sans-serif" w:hAnsi="Times New Roman;sans-serif"/>
          <w:b w:val="false"/>
          <w:color w:val="000000"/>
          <w:sz w:val="20"/>
          <w:shd w:fill="FFFFFF" w:val="clear"/>
        </w:rPr>
        <w:t>. As of March 31, 2025 and December 31, 2024, we have $157.9 million and $159.9 million, respectively, recorded for such investments, which is included in Other long term investments and noncurrent assets on our Condensed Consolidated Balance Sheets. We have not recorded any material upward or downward adjustments to these investments due to price changes or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C — Fair Value Measurements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hierarchy established by the accounting standards on fair value measurements includes three levels, which are based on the priority of the inputs to the valuation technique. The fair value hierarchy gives the highest priority to quoted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1. </w:t>
      </w:r>
      <w:r>
        <w:rPr>
          <w:rFonts w:ascii="Times New Roman;sans-serif" w:hAnsi="Times New Roman;sans-serif"/>
          <w:b w:val="false"/>
          <w:color w:val="000000"/>
          <w:sz w:val="20"/>
          <w:shd w:fill="FFFFFF" w:val="clear"/>
        </w:rPr>
        <w:t>Financial assets and liabilities whose values are based on unadjusted quoted prices for identical assets or liabilities in an active market that we have the ability to access.</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2. </w:t>
      </w:r>
      <w:r>
        <w:rPr>
          <w:rFonts w:ascii="Times New Roman;sans-serif" w:hAnsi="Times New Roman;sans-serif"/>
          <w:b w:val="false"/>
          <w:color w:val="000000"/>
          <w:sz w:val="20"/>
          <w:shd w:fill="FFFFFF" w:val="clear"/>
        </w:rPr>
        <w:t>Financial assets and liabilities whose values are based on quoted prices in markets that are not active or model inputs that are observable either directly or indirectly for substantially the full term of the asset or liability.</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3. </w:t>
      </w:r>
      <w:r>
        <w:rPr>
          <w:rFonts w:ascii="Times New Roman;sans-serif" w:hAnsi="Times New Roman;sans-serif"/>
          <w:b w:val="false"/>
          <w:color w:val="000000"/>
          <w:sz w:val="20"/>
          <w:shd w:fill="FFFFFF" w:val="clear"/>
        </w:rPr>
        <w:t>Financial assets and liabilities whose values are based on model inputs that are unobservable.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fair value hierarchy for those assets and liabilities measured at fair value on a recurring basis as of March 31, 2025 and December 31, 2024, respectively:</w:t>
      </w:r>
    </w:p>
    <w:tbl>
      <w:tblPr>
        <w:tblW w:w="6723" w:type="dxa"/>
        <w:jc w:val="left"/>
        <w:tblInd w:w="0" w:type="dxa"/>
        <w:tblLayout w:type="fixed"/>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We had no material assets or liabilities valued on a recurring basis using Level 3 inputs as of March 31, 2025 and December 31, 2024. Additional information regarding the fair value of our investment portfolio is included in Note B - </w:t>
      </w:r>
      <w:r>
        <w:rPr>
          <w:rFonts w:ascii="Times New Roman;sans-serif" w:hAnsi="Times New Roman;sans-serif"/>
          <w:b w:val="false"/>
          <w:i/>
          <w:color w:val="000000"/>
          <w:sz w:val="20"/>
        </w:rPr>
        <w:t>Investments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D — Variable Interest Entities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as deemed appropriate. As of and for the periods ended March 31, 2025 and December 31, 2024, we are not the primary beneficiary of any VIEs.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Unconsolidated VIEs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select information related to variable interests held by the Company as of March 31, 2025 and December 31, 2024, of which we are not the primary beneficiary:</w:t>
      </w:r>
    </w:p>
    <w:tbl>
      <w:tblPr>
        <w:tblW w:w="10205" w:type="dxa"/>
        <w:jc w:val="left"/>
        <w:tblInd w:w="0" w:type="dxa"/>
        <w:tblLayout w:type="fixed"/>
        <w:tblCellMar>
          <w:top w:w="28" w:type="dxa"/>
          <w:left w:w="28" w:type="dxa"/>
          <w:bottom w:w="28" w:type="dxa"/>
          <w:right w:w="28" w:type="dxa"/>
        </w:tblCellMar>
      </w:tblPr>
      <w:tblGrid>
        <w:gridCol w:w="1448"/>
        <w:gridCol w:w="1274"/>
        <w:gridCol w:w="1278"/>
        <w:gridCol w:w="109"/>
        <w:gridCol w:w="109"/>
        <w:gridCol w:w="109"/>
        <w:gridCol w:w="250"/>
        <w:gridCol w:w="731"/>
        <w:gridCol w:w="129"/>
        <w:gridCol w:w="129"/>
        <w:gridCol w:w="338"/>
        <w:gridCol w:w="989"/>
        <w:gridCol w:w="174"/>
        <w:gridCol w:w="127"/>
        <w:gridCol w:w="127"/>
        <w:gridCol w:w="127"/>
        <w:gridCol w:w="246"/>
        <w:gridCol w:w="721"/>
        <w:gridCol w:w="127"/>
        <w:gridCol w:w="109"/>
        <w:gridCol w:w="332"/>
        <w:gridCol w:w="972"/>
        <w:gridCol w:w="250"/>
      </w:tblGrid>
      <w:tr>
        <w:trPr/>
        <w:tc>
          <w:tcPr>
            <w:tcW w:w="144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663" w:type="dxa"/>
            <w:gridSpan w:val="4"/>
            <w:tcBorders/>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2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r>
      <w:tr>
        <w:trPr/>
        <w:tc>
          <w:tcPr>
            <w:tcW w:w="4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42"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663" w:type="dxa"/>
            <w:gridSpan w:val="4"/>
            <w:tcBorders/>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investments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we held variable interests in certain unconsolidated affiliates, which are primarily comprised of our ownership interests in BKFC, CSI and Minden Mill. Cannae does not have the power to direct the activities that most significantly impact the economic performance of these unconsolidated affiliates; therefore, we are not the primary beneficiary.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risk to which these investments and funds are exposed is the credit risk of the underlying investees. Cannae has guaranteed certain payment obligations of BKFC related to investment commitments associated with its acquisitions of interests in football clubs. These BKFC obligations total an estimated amount between $38.5 million and $70.0 million as of March 31, 2025. These obligations are potentially payable at various increments over the next three years and vary based on certain performance criteria. The underlying obligation of BKFC to fund these amounts is contingent on the exercise of certain investment options by BKFC or other parties. Cannae is required to fund such payments solely to the extent BKFC is unable to meet these obligations. We do not provide any other implicit or explicit liquidity guarantees or principal value guarantees to these VIEs.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primary assets for our ownership of these VIEs are included in Investments in unconsolidated affiliates on the Condensed Consolidated Balance Sheets and accounted for under the equity method of accounting.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for further discussion of our accounting for investments in unconsolidated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E — Segment Information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("ASU")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This guidance is also to be applied retrospectively to all prior periods presented in the financial statements. For public companies, the guidance is effective for fiscal years beginning after December 15, 2023, and interim periods within fiscal years beginning after December 15, 2024.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this ASU and as a result, we have disclosed those expenses for each reportable segment that are (1) regularly provided to the chief operating decision maker ("CODM"); (2) included in each reported measure of segment profit and loss; and (3) considered significant, including categories of expense and amounts. In addition, the segment table for the three months ended March 31, 2024 have been retrospectively revised to incorporate the additional information for reportable segments.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Cannae’s CODM consists of the Company’s Chairman and CEO as well as its President, as they both oversee all of the Company’s investments and are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period ended March 31, 2025, we began accounting for our investment in D&amp;B as a discontinued operation and no longer consider D&amp;B a reportable segment. Segment information for the period ended March 31, 2024 has been recasted in the tables that follow to remove D&amp;B as a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As of March 31, 2025, Cannae has identified three reportable segments: Restaurant Group, Alight, and BKFC. The tables below provide information about the Company's segments, as well as an aggregation of all other non-reportable operating segments within the Corporate and Other category. For Alight and BKFC,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sans-serif" w:hAnsi="Times New Roman;sans-serif"/>
          <w:b w:val="false"/>
          <w:i/>
          <w:color w:val="000000"/>
          <w:sz w:val="20"/>
        </w:rPr>
        <w:t xml:space="preserve">Investments </w:t>
      </w:r>
      <w:r>
        <w:rPr>
          <w:rFonts w:ascii="Times New Roman;sans-serif" w:hAnsi="Times New Roman;sans-serif"/>
          <w:b w:val="false"/>
          <w:color w:val="000000"/>
          <w:sz w:val="20"/>
        </w:rPr>
        <w:t>for certain summarized gross amounts of the results of operations of these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March 31, 2025:</w:t>
      </w:r>
    </w:p>
    <w:tbl>
      <w:tblPr>
        <w:tblW w:w="10205" w:type="dxa"/>
        <w:jc w:val="left"/>
        <w:tblInd w:w="0" w:type="dxa"/>
        <w:tblLayout w:type="fixed"/>
        <w:tblCellMar>
          <w:top w:w="28" w:type="dxa"/>
          <w:left w:w="28" w:type="dxa"/>
          <w:bottom w:w="28" w:type="dxa"/>
          <w:right w:w="28" w:type="dxa"/>
        </w:tblCellMar>
      </w:tblPr>
      <w:tblGrid>
        <w:gridCol w:w="896"/>
        <w:gridCol w:w="653"/>
        <w:gridCol w:w="655"/>
        <w:gridCol w:w="225"/>
        <w:gridCol w:w="641"/>
        <w:gridCol w:w="125"/>
        <w:gridCol w:w="109"/>
        <w:gridCol w:w="109"/>
        <w:gridCol w:w="109"/>
        <w:gridCol w:w="109"/>
        <w:gridCol w:w="109"/>
        <w:gridCol w:w="196"/>
        <w:gridCol w:w="556"/>
        <w:gridCol w:w="109"/>
        <w:gridCol w:w="109"/>
        <w:gridCol w:w="109"/>
        <w:gridCol w:w="109"/>
        <w:gridCol w:w="196"/>
        <w:gridCol w:w="556"/>
        <w:gridCol w:w="109"/>
        <w:gridCol w:w="109"/>
        <w:gridCol w:w="109"/>
        <w:gridCol w:w="109"/>
        <w:gridCol w:w="290"/>
        <w:gridCol w:w="826"/>
        <w:gridCol w:w="162"/>
        <w:gridCol w:w="109"/>
        <w:gridCol w:w="109"/>
        <w:gridCol w:w="109"/>
        <w:gridCol w:w="196"/>
        <w:gridCol w:w="691"/>
        <w:gridCol w:w="109"/>
        <w:gridCol w:w="109"/>
        <w:gridCol w:w="109"/>
        <w:gridCol w:w="109"/>
        <w:gridCol w:w="217"/>
        <w:gridCol w:w="768"/>
        <w:gridCol w:w="176"/>
      </w:tblGrid>
      <w:tr>
        <w:trPr/>
        <w:tc>
          <w:tcPr>
            <w:tcW w:w="89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 Consolidated</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513"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488" w:type="dxa"/>
            <w:gridSpan w:val="6"/>
            <w:tcBorders/>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Other segment items </w:t>
            </w:r>
            <w:r>
              <w:rPr>
                <w:rFonts w:ascii="Times New Roman;sans-serif" w:hAnsi="Times New Roman;sans-serif"/>
                <w:b w:val="false"/>
                <w:color w:val="000000"/>
                <w:sz w:val="10"/>
              </w:rPr>
              <w:t>(1)</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losses of unconsolidated affiliates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from continuing operations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755.9 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2,096.4 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March 31, 2024:</w:t>
      </w:r>
    </w:p>
    <w:tbl>
      <w:tblPr>
        <w:tblW w:w="10205" w:type="dxa"/>
        <w:jc w:val="left"/>
        <w:tblInd w:w="0" w:type="dxa"/>
        <w:tblLayout w:type="fixed"/>
        <w:tblCellMar>
          <w:top w:w="28" w:type="dxa"/>
          <w:left w:w="28" w:type="dxa"/>
          <w:bottom w:w="28" w:type="dxa"/>
          <w:right w:w="28" w:type="dxa"/>
        </w:tblCellMar>
      </w:tblPr>
      <w:tblGrid>
        <w:gridCol w:w="896"/>
        <w:gridCol w:w="653"/>
        <w:gridCol w:w="655"/>
        <w:gridCol w:w="225"/>
        <w:gridCol w:w="641"/>
        <w:gridCol w:w="125"/>
        <w:gridCol w:w="109"/>
        <w:gridCol w:w="109"/>
        <w:gridCol w:w="109"/>
        <w:gridCol w:w="109"/>
        <w:gridCol w:w="109"/>
        <w:gridCol w:w="196"/>
        <w:gridCol w:w="556"/>
        <w:gridCol w:w="109"/>
        <w:gridCol w:w="109"/>
        <w:gridCol w:w="109"/>
        <w:gridCol w:w="109"/>
        <w:gridCol w:w="196"/>
        <w:gridCol w:w="556"/>
        <w:gridCol w:w="109"/>
        <w:gridCol w:w="109"/>
        <w:gridCol w:w="109"/>
        <w:gridCol w:w="109"/>
        <w:gridCol w:w="290"/>
        <w:gridCol w:w="826"/>
        <w:gridCol w:w="162"/>
        <w:gridCol w:w="109"/>
        <w:gridCol w:w="109"/>
        <w:gridCol w:w="109"/>
        <w:gridCol w:w="196"/>
        <w:gridCol w:w="691"/>
        <w:gridCol w:w="109"/>
        <w:gridCol w:w="109"/>
        <w:gridCol w:w="109"/>
        <w:gridCol w:w="109"/>
        <w:gridCol w:w="217"/>
        <w:gridCol w:w="768"/>
        <w:gridCol w:w="176"/>
      </w:tblGrid>
      <w:tr>
        <w:trPr/>
        <w:tc>
          <w:tcPr>
            <w:tcW w:w="89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 Consolidated</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513"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488" w:type="dxa"/>
            <w:gridSpan w:val="6"/>
            <w:tcBorders/>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Other segment items </w:t>
            </w:r>
            <w:r>
              <w:rPr>
                <w:rFonts w:ascii="Times New Roman;sans-serif" w:hAnsi="Times New Roman;sans-serif"/>
                <w:b w:val="false"/>
                <w:color w:val="000000"/>
                <w:sz w:val="10"/>
              </w:rPr>
              <w:t>(1)</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losses of unconsolidated affiliates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from continuing operations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894.2 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2,609.8 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i/>
          <w:color w:val="000000"/>
          <w:sz w:val="12"/>
        </w:rPr>
      </w:pPr>
      <w:r>
        <w:rPr>
          <w:rFonts w:ascii="Times New Roman;sans-serif" w:hAnsi="Times New Roman;sans-serif"/>
          <w:b w:val="false"/>
          <w:i/>
          <w:color w:val="000000"/>
          <w:sz w:val="12"/>
        </w:rPr>
        <w:t>_____________________________________</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"Other segment items" includes restaurant corporate personnel costs, advertising, professional fees and recognized gains and losses,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our segments include the following:</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Restaurant Group. </w:t>
      </w:r>
      <w:r>
        <w:rPr>
          <w:rFonts w:ascii="Times New Roman;sans-serif" w:hAnsi="Times New Roman;sans-serif"/>
          <w:b w:val="false"/>
          <w:color w:val="000000"/>
          <w:sz w:val="20"/>
        </w:rPr>
        <w:t xml:space="preserve">This segment consists primarily of the operations of O'Charley's and 99 Restaurants in which we have 65.4% and 88.5% ownership interests, respectively. O'Charley's and 99 Restaurants and their affiliates are the owners and operators of the O'Charley's and Ninety Nine Restaurants restaurant concepts, respectively.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Alight</w:t>
      </w:r>
      <w:r>
        <w:rPr>
          <w:rFonts w:ascii="Times New Roman;sans-serif" w:hAnsi="Times New Roman;sans-serif"/>
          <w:b w:val="false"/>
          <w:color w:val="000000"/>
          <w:sz w:val="20"/>
        </w:rPr>
        <w:t xml:space="preserve">. This segment consists of our 7.6% ownership interest in Alight. Alight is a technology-enabled services company delivering human capital management solutions to many of the world’s largest and most complex organizations. This includes the implementation and administration of employee benefits (e.g., health, wealth and leaves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engagement platform. Through Alight Worklife, Alight believes it is defining the future of employee benefits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Black Knight Football.</w:t>
      </w:r>
      <w:r>
        <w:rPr>
          <w:color w:val="000000"/>
        </w:rPr>
        <w:t xml:space="preserve"> </w:t>
      </w:r>
      <w:r>
        <w:rPr>
          <w:rFonts w:ascii="Times New Roman;sans-serif" w:hAnsi="Times New Roman;sans-serif"/>
          <w:b w:val="false"/>
          <w:color w:val="000000"/>
          <w:sz w:val="20"/>
        </w:rPr>
        <w:t xml:space="preserve">This segment consists of our 44.3% ownership interest in BKFC. BKFC is a partnership led by Bill Foley that owns and operates AFC Bournemouth ("AFCB"), an English Premier League ("EPL" or the "Premier League") football club founded in 1899, and a significant minority interest in FC Lorient ("FCL"), a French Ligue 1 football club founded in 1926. On February 28, 2024, BKFC entered into a strategic partnership with, and acquired a minority ownership interest in, The Hibernian Football Club Limited, a Scottish Premiership football club founded in 1875. BKFC aims to grow into a leading, multi-club operator of football assets across the world. Our chief operating decision maker reviews the financial results of Black Knight Football for purposes of assessing performance and allocating resources. Thus, we consider BKFC an operating segment. We account for our ownership of BKFC using the equity method of accounting; therefore, its results of operations do not consolidate into ours. We report our equity in earnings or loss of BKFC on a three-month lag. Accordingly, the segment tables above for the three months ended March 31, 2025 and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 xml:space="preserve">include our equity in losses of BKFC and complete results of Black Knight Football for the three months ended December 31, 2024 and 2023.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Corporate and Other.</w:t>
      </w:r>
      <w:r>
        <w:rPr>
          <w:color w:val="000000"/>
        </w:rPr>
        <w:t xml:space="preserve"> </w:t>
      </w:r>
      <w:r>
        <w:rPr>
          <w:rFonts w:ascii="Times New Roman;sans-serif" w:hAnsi="Times New Roman;sans-serif"/>
          <w:b w:val="false"/>
          <w:color w:val="000000"/>
          <w:sz w:val="20"/>
        </w:rPr>
        <w:t>This nonreportable segment consists of our share in the operations of certain controlled portfolio companies and other equity interests, activity of the corporate holding company and certain intercompany eliminations and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F — Revenue Recognition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w:t>
      </w:r>
    </w:p>
    <w:tbl>
      <w:tblPr>
        <w:tblW w:w="7234" w:type="dxa"/>
        <w:jc w:val="left"/>
        <w:tblInd w:w="0" w:type="dxa"/>
        <w:tblLayout w:type="fixed"/>
        <w:tblCellMar>
          <w:top w:w="28" w:type="dxa"/>
          <w:left w:w="28" w:type="dxa"/>
          <w:bottom w:w="28" w:type="dxa"/>
          <w:right w:w="28" w:type="dxa"/>
        </w:tblCellMar>
      </w:tblPr>
      <w:tblGrid>
        <w:gridCol w:w="792"/>
        <w:gridCol w:w="696"/>
        <w:gridCol w:w="701"/>
        <w:gridCol w:w="109"/>
        <w:gridCol w:w="109"/>
        <w:gridCol w:w="109"/>
        <w:gridCol w:w="503"/>
        <w:gridCol w:w="503"/>
        <w:gridCol w:w="509"/>
        <w:gridCol w:w="109"/>
        <w:gridCol w:w="109"/>
        <w:gridCol w:w="109"/>
        <w:gridCol w:w="229"/>
        <w:gridCol w:w="651"/>
        <w:gridCol w:w="127"/>
        <w:gridCol w:w="127"/>
        <w:gridCol w:w="127"/>
        <w:gridCol w:w="127"/>
        <w:gridCol w:w="229"/>
        <w:gridCol w:w="651"/>
        <w:gridCol w:w="127"/>
        <w:gridCol w:w="109"/>
        <w:gridCol w:w="109"/>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Restaurant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and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revenue consists of restaurant sales and, to a lesser extent, franchise revenue and other revenue. Restaurant sales include food and beverage sales are net of applicable state and local sales taxes and discounts, and are recognized at a point in time as services are performed and goods are provided.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revenues are generated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trade receivables and deferred revenue:</w:t>
      </w:r>
    </w:p>
    <w:tbl>
      <w:tblPr>
        <w:tblW w:w="6281" w:type="dxa"/>
        <w:jc w:val="center"/>
        <w:tblInd w:w="0" w:type="dxa"/>
        <w:tblLayout w:type="fixed"/>
        <w:tblCellMar>
          <w:top w:w="28" w:type="dxa"/>
          <w:left w:w="28" w:type="dxa"/>
          <w:bottom w:w="28" w:type="dxa"/>
          <w:right w:w="28" w:type="dxa"/>
        </w:tblCellMar>
      </w:tblPr>
      <w:tblGrid>
        <w:gridCol w:w="1139"/>
        <w:gridCol w:w="1002"/>
        <w:gridCol w:w="1009"/>
        <w:gridCol w:w="366"/>
        <w:gridCol w:w="705"/>
        <w:gridCol w:w="189"/>
        <w:gridCol w:w="109"/>
        <w:gridCol w:w="109"/>
        <w:gridCol w:w="109"/>
        <w:gridCol w:w="422"/>
        <w:gridCol w:w="812"/>
        <w:gridCol w:w="310"/>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(contract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Trade receivables, net are included in Other current assets on our Condensed Consolidated Balance Sheets.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Deferred revenue is recorded primarily for restaurant gift card sales. The unrecognized portion of such revenue is recorded as Deferred revenue in the Condensed Consolidated Balance Sheets. Revenues of $1.3 million and $1.5 million was recognized in the three months ended </w:t>
      </w:r>
      <w:r>
        <w:rPr>
          <w:rFonts w:ascii="Times New Roman;sans-serif" w:hAnsi="Times New Roman;sans-serif"/>
          <w:b w:val="false"/>
          <w:color w:val="000000"/>
          <w:sz w:val="20"/>
          <w:shd w:fill="FFFFFF" w:val="clear"/>
        </w:rPr>
        <w:t>March 31, 2025 and</w:t>
      </w:r>
      <w:r>
        <w:rPr>
          <w:color w:val="000000"/>
        </w:rPr>
        <w:t xml:space="preserve">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respectively, that was included in Deferred revenue at the beginning of the period.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related to contract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G — Notes Payable</w:t>
      </w:r>
    </w:p>
    <w:p>
      <w:pPr>
        <w:pStyle w:val="TextBody"/>
        <w:bidi w:val="0"/>
        <w:spacing w:lineRule="auto" w:line="288" w:before="12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Notes payable, net consists of the following:</w:t>
      </w:r>
    </w:p>
    <w:tbl>
      <w:tblPr>
        <w:tblW w:w="5857"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284"/>
        <w:gridCol w:w="829"/>
        <w:gridCol w:w="146"/>
        <w:gridCol w:w="109"/>
        <w:gridCol w:w="109"/>
        <w:gridCol w:w="109"/>
        <w:gridCol w:w="332"/>
        <w:gridCol w:w="970"/>
        <w:gridCol w:w="242"/>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Margin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FNF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2020 Margin Facility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March 4, 2027. Outstanding amounts under the 2020 Margin Facility, if any, bear interest quarterly at a rate per annum equal to a three-month adjusted SOFR plus an applicable margin. The 2020 Margin Facility requires the Borrowers to maintain a certain loan-to-value ratio (based on the value of D&amp;B and Alight shares). In the event the Borrowers fail to maintain such loan-to-value ratio, the Borrowers must post additional cash collateral under the Loan Agreement and/or elect to repay a portion of the revolving loans thereunder, or sell the D&amp;B and/or Alight shares and use the proceeds from such sale to prepay a portion of the revolving loans thereunder.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be required to repay the entire balance under the 2020 Margin Facility upon closing of the D&amp;B Sale. The D&amp;B Sale is expected to close in the third quarter of 2025. Accordingly, we have classified the balance under the 2020 Margin Facility as a current liability on our Condensed Consolidated Balance Sheet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an outstanding balance of $101.0 million under the 2020 Margin Facility which incurred interest at 7.68%, $49.0 million of unused capacity with an option to increase the capacity to $500.0 million upon amendment, and 35 million shares of D&amp;B and 40 million shares of Alight were pledged as collateral for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FNF Revolver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2022, we completed the repurchase of all of our common stock previously held by FNF; accordingly, there is no incremental borrowing capacity available under the FNF Revolver. On January 29, 2024, the FNF Revolver was amended to (i) reduce the borrowing capacity to $60.0 million and (ii) change the interest rate to a fixed rate of 7.0% per annum. The Company also repaid $25.0 million of outstanding principal under the FNF Revolver.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three months ended March 31, 2025, the Company also sold real estate to FNF in exchange for a $12.2 million reduction of outstanding principal under the FNF Revolver.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a $47.5 million outstanding principal amount which incurred interest at 5.0% and there is no available borrowing capacity under the FNF Revolver.</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principal maturities of notes payable at March 31, 2025 are as follows (in millions):</w:t>
      </w:r>
    </w:p>
    <w:tbl>
      <w:tblPr>
        <w:tblW w:w="2510" w:type="dxa"/>
        <w:jc w:val="left"/>
        <w:tblInd w:w="0" w:type="dxa"/>
        <w:tblLayout w:type="fixed"/>
        <w:tblCellMar>
          <w:top w:w="28" w:type="dxa"/>
          <w:left w:w="28" w:type="dxa"/>
          <w:bottom w:w="28" w:type="dxa"/>
          <w:right w:w="28" w:type="dxa"/>
        </w:tblCellMar>
      </w:tblPr>
      <w:tblGrid>
        <w:gridCol w:w="553"/>
        <w:gridCol w:w="486"/>
        <w:gridCol w:w="490"/>
        <w:gridCol w:w="211"/>
        <w:gridCol w:w="61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carrying value of our outstanding notes payable approximates fair value and are considered Level 2 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H — Commitments and Contingencies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March 31, 2025 and December 31, 2024,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pStyle w:val="TextBody"/>
        <w:bidi w:val="0"/>
        <w:spacing w:lineRule="auto" w:line="256" w:before="120" w:after="120"/>
        <w:jc w:val="both"/>
        <w:rPr>
          <w:rFonts w:ascii="Times New Roman;sans-serif" w:hAnsi="Times New Roman;sans-serif"/>
          <w:b/>
          <w:i/>
          <w:color w:val="000000"/>
          <w:sz w:val="20"/>
        </w:rPr>
      </w:pPr>
      <w:r>
        <w:rPr>
          <w:rFonts w:ascii="Times New Roman;sans-serif" w:hAnsi="Times New Roman;sans-serif"/>
          <w:b/>
          <w:i/>
          <w:color w:val="000000"/>
          <w:sz w:val="20"/>
        </w:rPr>
        <w:t>Unconditional Purchase Obligations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unconditional purchase obligations, primarily in our Restaurant Group segment. These purchase obligations are with various vendors and are primarily related to food and beverage obligations with fixed commitments in regard to the time period of the contract and the quantities purchased with annual price adjustments that can fluctuate. We used both historical and projected volume and pricing as of March 31, 2025 to determine the amount of the obligations. Purchase obligations as of March 31, 2025 are as follows (in millions):</w:t>
      </w:r>
    </w:p>
    <w:tbl>
      <w:tblPr>
        <w:tblW w:w="3336" w:type="dxa"/>
        <w:jc w:val="center"/>
        <w:tblInd w:w="0" w:type="dxa"/>
        <w:tblLayout w:type="fixed"/>
        <w:tblCellMar>
          <w:top w:w="28" w:type="dxa"/>
          <w:left w:w="28" w:type="dxa"/>
          <w:bottom w:w="28" w:type="dxa"/>
          <w:right w:w="28" w:type="dxa"/>
        </w:tblCellMar>
      </w:tblPr>
      <w:tblGrid>
        <w:gridCol w:w="890"/>
        <w:gridCol w:w="782"/>
        <w:gridCol w:w="788"/>
        <w:gridCol w:w="211"/>
        <w:gridCol w:w="51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I — Supplemental Cash Flow Information</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supplemental cash flow information is provided with respect to certain cash payments, as well as certain non-cash investing and financing activities.</w:t>
      </w:r>
    </w:p>
    <w:tbl>
      <w:tblPr>
        <w:tblW w:w="10205" w:type="dxa"/>
        <w:jc w:val="left"/>
        <w:tblInd w:w="0" w:type="dxa"/>
        <w:tblLayout w:type="fixed"/>
        <w:tblCellMar>
          <w:top w:w="28" w:type="dxa"/>
          <w:left w:w="28" w:type="dxa"/>
          <w:bottom w:w="28" w:type="dxa"/>
          <w:right w:w="28" w:type="dxa"/>
        </w:tblCellMar>
      </w:tblPr>
      <w:tblGrid>
        <w:gridCol w:w="2809"/>
        <w:gridCol w:w="2377"/>
        <w:gridCol w:w="2399"/>
        <w:gridCol w:w="109"/>
        <w:gridCol w:w="109"/>
        <w:gridCol w:w="109"/>
        <w:gridCol w:w="264"/>
        <w:gridCol w:w="510"/>
        <w:gridCol w:w="136"/>
        <w:gridCol w:w="136"/>
        <w:gridCol w:w="136"/>
        <w:gridCol w:w="136"/>
        <w:gridCol w:w="264"/>
        <w:gridCol w:w="510"/>
        <w:gridCol w:w="201"/>
      </w:tblGrid>
      <w:tr>
        <w:trPr/>
        <w:tc>
          <w:tcPr>
            <w:tcW w:w="280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Fulfillment received as consideration in the WD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real estate as 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JANA paid through reissuance of common stock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 between the historical cost of treasury stock and fair value upon reissuance for investment in JANA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J — Discontinued Operations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Dun &amp; Bradstreet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2025, Dun &amp; Bradstreet announced the D&amp;B Sale. As a result of the pending transaction, it was determined that Dun &amp; Bradstreet should be presented as a discontinued operation in our Condensed Consolidated Financial Statements as of and for the three months ended March 31, 2025. We continue to exert significant influence over D&amp;B; therefore,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 to account for this investment under the equity method of accounting. As a result of the reclassification of our investment in Dun &amp; Bradstreet as held for sale and a discontinued operation, we marked our investment in D&amp;B to the fair market value implied by the stock price as of March 31, 2025 and recorded an impairment of $68.1 million in the three months ended March 31, 2025, which is included in Net losses from discontinued operations, net of tax on our Condensed Consolidated Statement of Operations.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operations of D&amp;B to the Condensed Consolidated Statement of Operations is presented below:</w:t>
      </w:r>
    </w:p>
    <w:tbl>
      <w:tblPr>
        <w:tblW w:w="7467" w:type="dxa"/>
        <w:jc w:val="left"/>
        <w:tblInd w:w="0" w:type="dxa"/>
        <w:tblLayout w:type="fixed"/>
        <w:tblCellMar>
          <w:top w:w="28" w:type="dxa"/>
          <w:left w:w="28" w:type="dxa"/>
          <w:bottom w:w="28" w:type="dxa"/>
          <w:right w:w="28" w:type="dxa"/>
        </w:tblCellMar>
      </w:tblPr>
      <w:tblGrid>
        <w:gridCol w:w="1659"/>
        <w:gridCol w:w="1462"/>
        <w:gridCol w:w="1469"/>
        <w:gridCol w:w="236"/>
        <w:gridCol w:w="657"/>
        <w:gridCol w:w="122"/>
        <w:gridCol w:w="122"/>
        <w:gridCol w:w="122"/>
        <w:gridCol w:w="122"/>
        <w:gridCol w:w="236"/>
        <w:gridCol w:w="657"/>
        <w:gridCol w:w="122"/>
        <w:gridCol w:w="109"/>
        <w:gridCol w:w="109"/>
        <w:gridCol w:w="109"/>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unconsolidated affiliates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before income taxes</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Assets of discontinued operations held for sale on our Condensed Consolidated Balance Sheets represents our investment in Dun &amp; Bradstreet accounted for under </w:t>
      </w:r>
      <w:r>
        <w:rPr>
          <w:rFonts w:ascii="Times New Roman;sans-serif" w:hAnsi="Times New Roman;sans-serif"/>
          <w:b w:val="false"/>
          <w:color w:val="000000"/>
          <w:sz w:val="20"/>
          <w:shd w:fill="FFFFFF" w:val="clear"/>
        </w:rPr>
        <w:t>the equity method of accounting and is summarized below:</w:t>
      </w:r>
    </w:p>
    <w:tbl>
      <w:tblPr>
        <w:tblW w:w="4878" w:type="dxa"/>
        <w:jc w:val="left"/>
        <w:tblInd w:w="0" w:type="dxa"/>
        <w:tblLayout w:type="fixed"/>
        <w:tblCellMar>
          <w:top w:w="28" w:type="dxa"/>
          <w:left w:w="28" w:type="dxa"/>
          <w:bottom w:w="28" w:type="dxa"/>
          <w:right w:w="28" w:type="dxa"/>
        </w:tblCellMar>
      </w:tblPr>
      <w:tblGrid>
        <w:gridCol w:w="554"/>
        <w:gridCol w:w="487"/>
        <w:gridCol w:w="489"/>
        <w:gridCol w:w="109"/>
        <w:gridCol w:w="109"/>
        <w:gridCol w:w="284"/>
        <w:gridCol w:w="829"/>
        <w:gridCol w:w="146"/>
        <w:gridCol w:w="109"/>
        <w:gridCol w:w="109"/>
        <w:gridCol w:w="109"/>
        <w:gridCol w:w="332"/>
        <w:gridCol w:w="970"/>
        <w:gridCol w:w="242"/>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D&amp;B Sale to close in the third quarter of 2025, subject to Dun &amp; Bradstreet shareholder approval, regulatory clearances and other customary closing conditions. Accordingly, we have classified our investment in D&amp;B within current assets of discontinued operations held for sale in our Condensed Consolidated Balance Sheet as of March 31, 2025.</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statement of operations information for D&amp;B for the relevant dates and time periods included in Net losses from discontinued operations, net of tax in our Statements of Operations is presented below: </w:t>
      </w:r>
    </w:p>
    <w:tbl>
      <w:tblPr>
        <w:tblW w:w="7000" w:type="dxa"/>
        <w:jc w:val="center"/>
        <w:tblInd w:w="0" w:type="dxa"/>
        <w:tblLayout w:type="fixed"/>
        <w:tblCellMar>
          <w:top w:w="28" w:type="dxa"/>
          <w:left w:w="28" w:type="dxa"/>
          <w:bottom w:w="28" w:type="dxa"/>
          <w:right w:w="28" w:type="dxa"/>
        </w:tblCellMar>
      </w:tblPr>
      <w:tblGrid>
        <w:gridCol w:w="1508"/>
        <w:gridCol w:w="1327"/>
        <w:gridCol w:w="1334"/>
        <w:gridCol w:w="226"/>
        <w:gridCol w:w="659"/>
        <w:gridCol w:w="116"/>
        <w:gridCol w:w="116"/>
        <w:gridCol w:w="116"/>
        <w:gridCol w:w="116"/>
        <w:gridCol w:w="226"/>
        <w:gridCol w:w="659"/>
        <w:gridCol w:w="116"/>
        <w:gridCol w:w="109"/>
        <w:gridCol w:w="109"/>
        <w:gridCol w:w="109"/>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Dun &amp; Bradstreet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360"/>
        <w:jc w:val="both"/>
        <w:rPr/>
      </w:pP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 xml:space="preserve">March 31, 2025 and 2024 we received quarterly dividends from D&amp;B in the amount of </w:t>
      </w:r>
      <w:r>
        <w:rPr>
          <w:rFonts w:ascii="Times New Roman;sans-serif" w:hAnsi="Times New Roman;sans-serif"/>
          <w:b w:val="false"/>
          <w:color w:val="000000"/>
          <w:sz w:val="20"/>
        </w:rPr>
        <w:t xml:space="preserve">$3.5 million and $4.0 million, respectively, which are included in Distributions from investments in unconsolidated affiliates on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the occurrence of any event, change or other circumstances that could give rise to the termination or inability to complete the D&amp;B Sale; and other risks detailed in the "Statement Regarding Forward-Looking Information," "Risk Factors" and other sections of our Annual Report on Form 10-K for the year ended December 31, 2024 (our "Annual Report") and other filings with the Securities Exchange Commission ("SEC").</w:t>
      </w:r>
    </w:p>
    <w:p>
      <w:pPr>
        <w:pStyle w:val="TextBody"/>
        <w:bidi w:val="0"/>
        <w:spacing w:lineRule="auto" w:line="256"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herein, the terms "we," "us," "our," "Cannae," or the "Company" refer collectively to Cannae Holdings, Inc., and its subsidiaries.</w:t>
      </w:r>
    </w:p>
    <w:p>
      <w:pPr>
        <w:pStyle w:val="TextBody"/>
        <w:bidi w:val="0"/>
        <w:spacing w:lineRule="auto" w:line="256" w:before="120" w:after="120"/>
        <w:ind w:left="0" w:right="0" w:firstLine="360"/>
        <w:jc w:val="both"/>
        <w:rPr/>
      </w:pPr>
      <w:r>
        <w:rPr>
          <w:rFonts w:ascii="Times New Roman;sans-serif" w:hAnsi="Times New Roman;sans-serif"/>
          <w:b w:val="false"/>
          <w:color w:val="000000"/>
          <w:sz w:val="20"/>
        </w:rPr>
        <w:t>The following discussion should be read in conjunction with our Annual Report. For an additional description of our business, including descriptions of segments and recent business developments, see the discussion</w:t>
      </w:r>
      <w:r>
        <w:rPr>
          <w:color w:val="000000"/>
        </w:rPr>
        <w:t xml:space="preserve"> </w:t>
      </w:r>
      <w:r>
        <w:rPr>
          <w:rFonts w:ascii="Times New Roman;sans-serif" w:hAnsi="Times New Roman;sans-serif"/>
          <w:b w:val="false"/>
          <w:color w:val="000000"/>
          <w:sz w:val="20"/>
        </w:rPr>
        <w:t xml:space="preserve">in Note A - </w:t>
      </w:r>
      <w:r>
        <w:rPr>
          <w:rFonts w:ascii="Times New Roman;sans-serif" w:hAnsi="Times New Roman;sans-serif"/>
          <w:b w:val="false"/>
          <w:i/>
          <w:color w:val="000000"/>
          <w:sz w:val="20"/>
        </w:rPr>
        <w:t>Basis of Financial Statements</w:t>
      </w:r>
      <w:r>
        <w:rPr>
          <w:color w:val="000000"/>
        </w:rPr>
        <w:t xml:space="preserve"> </w:t>
      </w:r>
      <w:r>
        <w:rPr>
          <w:rFonts w:ascii="Times New Roman;sans-serif" w:hAnsi="Times New Roman;sans-serif"/>
          <w:b w:val="false"/>
          <w:color w:val="000000"/>
          <w:sz w:val="20"/>
        </w:rPr>
        <w:t xml:space="preserve">and Note E - </w:t>
      </w:r>
      <w:r>
        <w:rPr>
          <w:rFonts w:ascii="Times New Roman;sans-serif" w:hAnsi="Times New Roman;sans-serif"/>
          <w:b w:val="false"/>
          <w:i/>
          <w:color w:val="000000"/>
          <w:sz w:val="20"/>
        </w:rPr>
        <w:t>Segment Information</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Part I, Item 2.</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Seasonality and Macroeconomic Conditions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Restaurant Group</w:t>
      </w:r>
      <w:r>
        <w:rPr>
          <w:rFonts w:ascii="Times New Roman;sans-serif" w:hAnsi="Times New Roman;sans-serif"/>
          <w:b w:val="false"/>
          <w:color w:val="000000"/>
          <w:sz w:val="20"/>
        </w:rPr>
        <w:t xml:space="preserve">. Average weekly sales per restaurant are typically higher in the first half of the year, and we typically generate a disproportionate share of our earnings from operations in the first half of the year. Holidays, severe weather and other disruptive conditions may impact sales volumes seasonally in some operating regions.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various macroeconomic factors will continue to drive uncertainty and instability, which could have a significant impact on the Company during fiscal 2025. These factors include,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In light of increasing uncertainty in the markets we serve, we are unable to predict how long the current environment will last or the significance of the financial and operational impacts to us.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operating income in future periods will continue to be subject to these and other factors that are beyond our control and, as a result, are likely to fluctuate.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pStyle w:val="TextBody"/>
        <w:bidi w:val="0"/>
        <w:spacing w:lineRule="auto" w:line="288" w:before="120" w:after="100"/>
        <w:ind w:left="0" w:right="0" w:firstLine="360"/>
        <w:jc w:val="both"/>
        <w:rPr/>
      </w:pPr>
      <w:r>
        <w:rPr>
          <w:rFonts w:ascii="Times New Roman;sans-serif" w:hAnsi="Times New Roman;sans-serif"/>
          <w:b w:val="false"/>
          <w:i/>
          <w:color w:val="000000"/>
          <w:sz w:val="20"/>
        </w:rPr>
        <w:t>Investments in unconsolidated affiliates - impairment monitoring</w:t>
      </w:r>
      <w:r>
        <w:rPr>
          <w:rFonts w:ascii="Times New Roman;sans-serif" w:hAnsi="Times New Roman;sans-serif"/>
          <w:b w:val="false"/>
          <w:color w:val="000000"/>
          <w:sz w:val="20"/>
        </w:rPr>
        <w:t>. On an ongoing basis, management monitors the Company's investments in 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2025, Dun &amp; Bradstreet announced the D&amp;B Sale. As a result of the pending transaction, management determined that Dun &amp; Bradstreet should be presented as a discontinued operation in our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as of and for the three months ended March 31, 2025. As of March 31, 2025, the fair value of our ownership interest in Dun &amp; Bradstreet based on quoted market prices was $617.3 million and the book value of our recorded asset for D&amp;B was $685.4 million. As a result of the reclassification of our investment in Dun &amp; Bradstreet as held for sale and a discontinued operation and in accordance with the accounting requirements, we marked our investment in D&amp;B to the fair market value implied by the stock price as of March 31, 2025 and recorded an impairment of $68.1 million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fair value of our ownership interest in Alight based on quoted market prices was $240.0 million and the book value of our recorded asset for Alight was $369.5 million. While the fair value of our investment in Alight is below our book value as of March 31, 2025, there are other indicators that our investment is not other than temporarily impaired as of March 31, 2025. The fair value of our investment in Alight has been below the book value for approximately 11 months. Alight recently completed the sale of the Payroll &amp; Professional Services Business and used a portion of the proceeds to pay off a significant portion of its debt, improving its' capital strength. Alight has consistently reported strong gross profit and operating cash flows subsequent to our initial investment and implemented a dividend to shareholders in 2024. Due to these factors, we consider the decline in fair value to be temporary as of March 31, 2025. Though we do not currently believe our investment in Alight is other than temporarily impaired, because the fair value is below the book value of our investment as of March 31, 2025, further declines in fair value of the investment, deterioration in Alight's actual or forecasted results of operations or adverse changes in the U.S. macroeconomic environment could result in an impairment charge in future periods to record our asset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Accounting for Income Taxes. </w:t>
      </w:r>
      <w:r>
        <w:rPr>
          <w:rFonts w:ascii="Times New Roman;sans-serif" w:hAnsi="Times New Roman;sans-serif"/>
          <w:b w:val="false"/>
          <w:color w:val="000000"/>
          <w:sz w:val="20"/>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 net deferred tax asset of $55.0 million, which is primarily attributable to temporary differences for our investments in unconsolidated affiliates held through partnerships. In the three months ended March 31, 2025, we recorded an additional valuation allowance of $28.3 million on the Company's federal net operating loss ("NOL") carryforwards, state net operating loss carryforwards, and certain deferred taxes related to our investments. In the first quarter of 2025 it was determined that due to the current market and investee-specific conditions, the ability to utilize the entirety of our deferred tax asset related to investments was less likely than prior periods. One of the factors used in assessing the need for a valuation allowance on net deferred tax assets is whether a company is in a three-year cumulative book loss position and for the three years ended December 31, 2024, the Company was in a cumulative book loss position.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March 31, 2025, the Company has a federal valuation allowance of $74.2 million representing a full valuation allowance on its federal NOL carryforwards and certain other deferred taxes related to our ownership interests where it is not more likely than not that the tax benefit will be realized. Additionally, a state valuation allowance of $6.9 million has been recorded representing certain state NOLs where it is not more likely than not that the tax benefit of certain state NOLs will be realized before the NOLs in those certain states expire. At this time, we consider it more likely than not that we will have sufficient taxable income and available excess capital gain from prior year periods that will allow us to realize our remaining deferred tax assets. The Company will continue to monitor the recoverability of deferred tax assets on a quarterly basis and may need to record an additional valuation allowance on its net deferred tax asset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Consolidated Results of Operations</w:t>
      </w:r>
    </w:p>
    <w:p>
      <w:pPr>
        <w:pStyle w:val="TextBody"/>
        <w:bidi w:val="0"/>
        <w:spacing w:lineRule="auto" w:line="288" w:before="120" w:after="120"/>
        <w:ind w:left="0" w:right="0" w:firstLine="360"/>
        <w:jc w:val="left"/>
        <w:rPr/>
      </w:pPr>
      <w:r>
        <w:rPr>
          <w:rFonts w:ascii="Times New Roman;sans-serif" w:hAnsi="Times New Roman;sans-serif"/>
          <w:b w:val="false"/>
          <w:i/>
          <w:color w:val="000000"/>
          <w:sz w:val="20"/>
        </w:rPr>
        <w:t xml:space="preserve">Net Earnings. </w:t>
      </w:r>
      <w:r>
        <w:rPr>
          <w:rFonts w:ascii="Times New Roman;sans-serif" w:hAnsi="Times New Roman;sans-serif"/>
          <w:b w:val="false"/>
          <w:color w:val="000000"/>
          <w:sz w:val="20"/>
        </w:rPr>
        <w:t>The following table presents certain financial data for the periods indicated:</w:t>
      </w:r>
    </w:p>
    <w:tbl>
      <w:tblPr>
        <w:tblW w:w="8905" w:type="dxa"/>
        <w:jc w:val="left"/>
        <w:tblInd w:w="0" w:type="dxa"/>
        <w:tblLayout w:type="fixed"/>
        <w:tblCellMar>
          <w:top w:w="28" w:type="dxa"/>
          <w:left w:w="28" w:type="dxa"/>
          <w:bottom w:w="28" w:type="dxa"/>
          <w:right w:w="28" w:type="dxa"/>
        </w:tblCellMar>
      </w:tblPr>
      <w:tblGrid>
        <w:gridCol w:w="2197"/>
        <w:gridCol w:w="1930"/>
        <w:gridCol w:w="1948"/>
        <w:gridCol w:w="217"/>
        <w:gridCol w:w="699"/>
        <w:gridCol w:w="120"/>
        <w:gridCol w:w="120"/>
        <w:gridCol w:w="120"/>
        <w:gridCol w:w="120"/>
        <w:gridCol w:w="217"/>
        <w:gridCol w:w="616"/>
        <w:gridCol w:w="120"/>
        <w:gridCol w:w="109"/>
        <w:gridCol w:w="109"/>
        <w:gridCol w:w="109"/>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2830" w:type="dxa"/>
            <w:gridSpan w:val="13"/>
            <w:tcBorders/>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net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(losses) earnings of unconsolidated affiliates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equity in (losses) earnings of unconsolidated affiliates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earnings of unconsolidated affiliates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continuing operations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discontinued operations, net of tax</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Cannae Holdings, Inc. common shareholders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 the Three Months Ended March 31, 2025 and 2024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following is a discussion of the material fluctuations in our consolidated results of operations for the three months ended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 xml:space="preserve">as compared to the three months ended March 31, 2024. The material changes in revenues, expenses and pre-tax loss for the three months ended </w:t>
      </w:r>
      <w:r>
        <w:rPr>
          <w:rFonts w:ascii="Times New Roman;sans-serif" w:hAnsi="Times New Roman;sans-serif"/>
          <w:b w:val="false"/>
          <w:color w:val="000000"/>
          <w:sz w:val="20"/>
          <w:shd w:fill="FFFFFF" w:val="clear"/>
        </w:rPr>
        <w:t>March 31, 2025 and 2024 are</w:t>
      </w:r>
      <w:r>
        <w:rPr>
          <w:color w:val="000000"/>
        </w:rPr>
        <w:t xml:space="preserve"> </w:t>
      </w:r>
      <w:r>
        <w:rPr>
          <w:rFonts w:ascii="Times New Roman;sans-serif" w:hAnsi="Times New Roman;sans-serif"/>
          <w:b w:val="false"/>
          <w:color w:val="000000"/>
          <w:sz w:val="20"/>
        </w:rPr>
        <w:t>discussed in further detail at the segment level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sales include food and beverage sales are net of applicable state and local sales taxes and discounts, and are recognized at a point in time as services are performed and goods are provided.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primarily of personnel costs, cost of restaurant revenue, other operating expenses, and depreciation and amortization.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management fees, carried interest fees, professional fees, advertising costs, travel expenses and impairments of operating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consists of our depreciation related to investments in property and equipment as well as amortization of intangible assets.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Pre-Tax Earnings (Loss)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(loss) before income taxes and equity in losses of unconsolidated affiliates increased (decreased loss) $19.6 million, or 54.1%, in the three months ended March 31, 2025 compared to the corresponding period in 2024.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$20.2 million and $56.5 million in the three-month periods ended March 31, 2025 and 2024, respectively. Our effective tax rate was (121.7)% and (156.1)% in the three months ended March 31, 2025 and 2024,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March 31, 2025 compared to the corresponding period in 2024 is primarily attributable to the impact to the rate of equity in losses of unconsolidated affiliates relative to pre-tax losses and the recording of valuation allowances.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 (Losses) Earnings of Unconsolidated Affiliates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earnings of unconsolidated affiliates for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months ended March 31, 2025 and 2024 consisted of the following:</w:t>
      </w:r>
    </w:p>
    <w:tbl>
      <w:tblPr>
        <w:tblW w:w="3673" w:type="dxa"/>
        <w:jc w:val="left"/>
        <w:tblInd w:w="0" w:type="dxa"/>
        <w:tblLayout w:type="fixed"/>
        <w:tblCellMar>
          <w:top w:w="28" w:type="dxa"/>
          <w:left w:w="28" w:type="dxa"/>
          <w:bottom w:w="28" w:type="dxa"/>
          <w:right w:w="28" w:type="dxa"/>
        </w:tblCellMar>
      </w:tblPr>
      <w:tblGrid>
        <w:gridCol w:w="288"/>
        <w:gridCol w:w="252"/>
        <w:gridCol w:w="256"/>
        <w:gridCol w:w="258"/>
        <w:gridCol w:w="589"/>
        <w:gridCol w:w="133"/>
        <w:gridCol w:w="133"/>
        <w:gridCol w:w="133"/>
        <w:gridCol w:w="133"/>
        <w:gridCol w:w="258"/>
        <w:gridCol w:w="626"/>
        <w:gridCol w:w="133"/>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BKFC</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Watkins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Restaurant Group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Restaurant Group segment:</w:t>
      </w:r>
    </w:p>
    <w:tbl>
      <w:tblPr>
        <w:tblW w:w="9761" w:type="dxa"/>
        <w:jc w:val="left"/>
        <w:tblInd w:w="0" w:type="dxa"/>
        <w:tblLayout w:type="fixed"/>
        <w:tblCellMar>
          <w:top w:w="28" w:type="dxa"/>
          <w:left w:w="28" w:type="dxa"/>
          <w:bottom w:w="28" w:type="dxa"/>
          <w:right w:w="28" w:type="dxa"/>
        </w:tblCellMar>
      </w:tblPr>
      <w:tblGrid>
        <w:gridCol w:w="2502"/>
        <w:gridCol w:w="2203"/>
        <w:gridCol w:w="2224"/>
        <w:gridCol w:w="237"/>
        <w:gridCol w:w="574"/>
        <w:gridCol w:w="122"/>
        <w:gridCol w:w="122"/>
        <w:gridCol w:w="122"/>
        <w:gridCol w:w="122"/>
        <w:gridCol w:w="237"/>
        <w:gridCol w:w="693"/>
        <w:gridCol w:w="122"/>
        <w:gridCol w:w="109"/>
        <w:gridCol w:w="109"/>
        <w:gridCol w:w="109"/>
        <w:gridCol w:w="154"/>
      </w:tblGrid>
      <w:tr>
        <w:trPr/>
        <w:tc>
          <w:tcPr>
            <w:tcW w:w="250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revenue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gains, net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 earnings of unconsolidated affiliates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For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for the Restaurant Group segment decreased $7.4 million, or 6.9%, in the three months ended March 31, 2025, compared to the corresponding period in 2024. </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Comparable Store Sales. </w:t>
      </w:r>
      <w:r>
        <w:rPr>
          <w:rFonts w:ascii="Times New Roman;sans-serif" w:hAnsi="Times New Roman;sans-serif"/>
          <w:b w:val="false"/>
          <w:color w:val="000000"/>
          <w:sz w:val="20"/>
        </w:rPr>
        <w:t xml:space="preserve">One method we use in evaluating the performance of our restaurants is to compare sales results 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14.9% and 0.3%, respectively, in the three months ended March 31, 2025 compared to the corresponding period in 2024. The decrease is primarily attributable to a decrease in guest counts, partially offset by an increase in the average amount spent by guests each visit.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 decreased directionally consistent with Restaurant revenue in the period. Cost of restaurant revenue as a percentage of Restaurant revenue was 91.8% and 88.5% in the three months ended March 31, 2025 and 2024, respectively. The increase was primarily attributable to inflation of commodities, including items like beef and poultry, in the three months ended March 31, 2025.</w:t>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Alight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own approximately 7.6% of the outstanding common stock of Alight. We account for our ownership of Alight under the equity method of accounting; therefore, its results do not consolidate into ours.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statement of operations information for Alight for the relevant dates and time periods included in Equity in (losses) earnings of unconsolidated affiliates in our Condensed Consolidated Statements of Operations is presented below.</w:t>
      </w:r>
    </w:p>
    <w:tbl>
      <w:tblPr>
        <w:tblW w:w="7645" w:type="dxa"/>
        <w:jc w:val="left"/>
        <w:tblInd w:w="0" w:type="dxa"/>
        <w:tblLayout w:type="fixed"/>
        <w:tblCellMar>
          <w:top w:w="28" w:type="dxa"/>
          <w:left w:w="28" w:type="dxa"/>
          <w:bottom w:w="28" w:type="dxa"/>
          <w:right w:w="28" w:type="dxa"/>
        </w:tblCellMar>
      </w:tblPr>
      <w:tblGrid>
        <w:gridCol w:w="1742"/>
        <w:gridCol w:w="1533"/>
        <w:gridCol w:w="1539"/>
        <w:gridCol w:w="226"/>
        <w:gridCol w:w="659"/>
        <w:gridCol w:w="116"/>
        <w:gridCol w:w="116"/>
        <w:gridCol w:w="116"/>
        <w:gridCol w:w="116"/>
        <w:gridCol w:w="226"/>
        <w:gridCol w:w="659"/>
        <w:gridCol w:w="116"/>
        <w:gridCol w:w="109"/>
        <w:gridCol w:w="109"/>
        <w:gridCol w:w="109"/>
        <w:gridCol w:w="154"/>
      </w:tblGrid>
      <w:tr>
        <w:trPr/>
        <w:tc>
          <w:tcPr>
            <w:tcW w:w="17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from discontinued operations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noncontrolling interests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Alight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Alight (NYSE: "ALIT")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00"/>
        <w:jc w:val="both"/>
        <w:rPr>
          <w:rFonts w:ascii="Times New Roman;sans-serif" w:hAnsi="Times New Roman;sans-serif"/>
          <w:b/>
          <w:i/>
          <w:color w:val="000000"/>
          <w:sz w:val="20"/>
        </w:rPr>
      </w:pPr>
      <w:r>
        <w:rPr>
          <w:rFonts w:ascii="Times New Roman;sans-serif" w:hAnsi="Times New Roman;sans-serif"/>
          <w:b/>
          <w:i/>
          <w:color w:val="000000"/>
          <w:sz w:val="20"/>
        </w:rPr>
        <w:t>Black Knight Football</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own approximately 44.3% of the ownership interest of Black Knight Football. We account for our ownership of BKFC under the equity method of accounting; therefore, its results do not consolidate into ours. We report our equity in the earnings or loss of BKFC on a three-month lag, and accordingly, our net loss for the three months ended March 31, 2025 and 2024 includes our equity in Black Knight Football’s losses for the three months ended December 31, 2024 and 2023, respectively.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statement of operation information for Black Knight Football for the relevant dates and time periods included in Equity in (losses) earnings of unconsolidated affiliates in our Condensed Consolidated Statements of Operations is presented below.</w:t>
      </w:r>
    </w:p>
    <w:tbl>
      <w:tblPr>
        <w:tblW w:w="5997" w:type="dxa"/>
        <w:jc w:val="left"/>
        <w:tblInd w:w="0" w:type="dxa"/>
        <w:tblLayout w:type="fixed"/>
        <w:tblCellMar>
          <w:top w:w="28" w:type="dxa"/>
          <w:left w:w="28" w:type="dxa"/>
          <w:bottom w:w="28" w:type="dxa"/>
          <w:right w:w="28" w:type="dxa"/>
        </w:tblCellMar>
      </w:tblPr>
      <w:tblGrid>
        <w:gridCol w:w="1198"/>
        <w:gridCol w:w="861"/>
        <w:gridCol w:w="865"/>
        <w:gridCol w:w="275"/>
        <w:gridCol w:w="666"/>
        <w:gridCol w:w="142"/>
        <w:gridCol w:w="142"/>
        <w:gridCol w:w="142"/>
        <w:gridCol w:w="142"/>
        <w:gridCol w:w="275"/>
        <w:gridCol w:w="666"/>
        <w:gridCol w:w="142"/>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of unconsolidated affiliates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BKFC</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Black Knight Football's total revenue is primarily attributable to Premier League media rights revenue earned by AFCB and matchday and sponsorship revenue. Total revenues for Black Knight Football increased $18.6 million, or 35.3%, in the three months ended December 31, 2024, compared to the corresponding period in 2023. The increase in revenue was primarily attributable to an increase in matchday and sponsorship revenue. Operating loss decreased $13.5 million in the three months ended December 31, 2024 compared to the three months ended December 31, 2023. The decrease was primarily attributable to the increase in revenue, partially offset by increased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and Other segment consists of our share in the operations of certain controlled businesses and other equity ownership interests, activity of the corporate holding company and certain intercompany eliminations and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non-reportable Corporate and other segment:</w:t>
      </w:r>
    </w:p>
    <w:tbl>
      <w:tblPr>
        <w:tblW w:w="9764" w:type="dxa"/>
        <w:jc w:val="center"/>
        <w:tblInd w:w="0" w:type="dxa"/>
        <w:tblLayout w:type="fixed"/>
        <w:tblCellMar>
          <w:top w:w="28" w:type="dxa"/>
          <w:left w:w="28" w:type="dxa"/>
          <w:bottom w:w="28" w:type="dxa"/>
          <w:right w:w="28" w:type="dxa"/>
        </w:tblCellMar>
      </w:tblPr>
      <w:tblGrid>
        <w:gridCol w:w="2510"/>
        <w:gridCol w:w="2203"/>
        <w:gridCol w:w="2216"/>
        <w:gridCol w:w="232"/>
        <w:gridCol w:w="645"/>
        <w:gridCol w:w="120"/>
        <w:gridCol w:w="120"/>
        <w:gridCol w:w="120"/>
        <w:gridCol w:w="120"/>
        <w:gridCol w:w="232"/>
        <w:gridCol w:w="645"/>
        <w:gridCol w:w="120"/>
        <w:gridCol w:w="109"/>
        <w:gridCol w:w="109"/>
        <w:gridCol w:w="109"/>
        <w:gridCol w:w="154"/>
      </w:tblGrid>
      <w:tr>
        <w:trPr/>
        <w:tc>
          <w:tcPr>
            <w:tcW w:w="251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investment and other income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gains (losses),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 earnings of unconsolidated affiliates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decreased $7.1 million in the three months ended March 31, 2025, compared to the corresponding period in 2024. The change in personnel costs was primarily driven by a decrease in success bonuses paid related to our sales of shares of Dayforce in 2024, partially offset by increased stock-based compensation expense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decreased $12.9 million in the three months ended March 31, 2025 compared to the prior year period. The decrease in the three-month period was primarily attributable to decreased fees paid to Trasimene.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gains, net in our Corporate and Other segment consists of the following:</w:t>
      </w:r>
    </w:p>
    <w:tbl>
      <w:tblPr>
        <w:tblW w:w="5626" w:type="dxa"/>
        <w:jc w:val="left"/>
        <w:tblInd w:w="0" w:type="dxa"/>
        <w:tblLayout w:type="fixed"/>
        <w:tblCellMar>
          <w:top w:w="28" w:type="dxa"/>
          <w:left w:w="28" w:type="dxa"/>
          <w:bottom w:w="28" w:type="dxa"/>
          <w:right w:w="28" w:type="dxa"/>
        </w:tblCellMar>
      </w:tblPr>
      <w:tblGrid>
        <w:gridCol w:w="972"/>
        <w:gridCol w:w="855"/>
        <w:gridCol w:w="857"/>
        <w:gridCol w:w="279"/>
        <w:gridCol w:w="537"/>
        <w:gridCol w:w="144"/>
        <w:gridCol w:w="144"/>
        <w:gridCol w:w="144"/>
        <w:gridCol w:w="144"/>
        <w:gridCol w:w="279"/>
        <w:gridCol w:w="537"/>
        <w:gridCol w:w="144"/>
        <w:gridCol w:w="109"/>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Dayforce fair value adjustments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 fair value adjustments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fair value adjustments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WD Transaction</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gains, net</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pending D&amp;B Sale, the financial results of D&amp;B have been reclassified to discontinued operations. See Note J to our Condensed Consolidated Financial Statements included in Item 1 of Part I of this Quarterly Report for further details on the amounts included in discontinued operations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Cash Requirements.</w:t>
      </w:r>
      <w:r>
        <w:rPr>
          <w:color w:val="000000"/>
        </w:rPr>
        <w:t xml:space="preserve"> </w:t>
      </w:r>
      <w:r>
        <w:rPr>
          <w:rFonts w:ascii="Times New Roman;sans-serif" w:hAnsi="Times New Roman;sans-serif"/>
          <w:b w:val="false"/>
          <w:color w:val="000000"/>
          <w:sz w:val="20"/>
        </w:rPr>
        <w:t xml:space="preserve">Our short and long term cash requirements include management fees, personnel costs, other operating expenses, taxes, payments of interest and principal on our debt, capital expenditures, dividends on our common stock, and other potential business acquisitions or investments, including the JANA Investment and our commitments to invest $25.0 million in BKFC and $30.0 million in funds of JANA. On May 8, 2025, our Board declared cash dividends of $0.12 per share, payable on June 30, 2025, to Cannae common shareholders of record as of June 16, 2025. There are no restrictions on our retained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regarding our ability to pay dividends to stockholders. The declaration of any future dividends is at the discretion of our Board. Additional uses of cash flow over the short and long term are expected to include stock repurchases and debt repayments.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cash and cash equivalents of $126.2 million, of which $109.9 million was cash held by the corporate holding company, and $49.0 million of immediate capacity under our existing holding company credit facilities with the ability to add an additional $350.0 million of borrowing capacity by amending our 2020 Margin Facility.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$80.5 million of proceeds from sales of D&amp;B shares in May 2025 and expect to receive additional cash proceeds of $549.4 million upon closing of the D&amp;B Sale. The D&amp;B Sale is expected to close in the third quarter of 2025. Upon our sale of our remaining shares of D&amp;B in the D&amp;B Sale, we expect to be required to pay off the balance outstanding under our 2020 Margin Facility which was $101.0 million as of March 31, 2025.</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assess our capital allocation strategy, including decisions relating to monetizing investments,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evaluating our assets and ownership interests as potential vehicles for creating liquidity. Our intent is to use that liquidity for general corporate purposes, including future acquisitions, potentially reducing debt, repurchasing shares of our stock, paying dividends on our stock, other strategic initiatives and/or conserving cash.</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for the Three Months Ended March 31, 2025</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Operating Cash Flow</w:t>
      </w:r>
      <w:r>
        <w:rPr>
          <w:rFonts w:ascii="Times New Roman;sans-serif" w:hAnsi="Times New Roman;sans-serif"/>
          <w:b w:val="false"/>
          <w:color w:val="000000"/>
          <w:sz w:val="20"/>
        </w:rPr>
        <w:t>. Our cash flows provided by (used in) operations for the three months ended March 31, 2025 and 2024 totaled $9.1 million and $(36.0) million, respectively. The increase in cash provided by operations of $45.1 million is primarily attributable to tax refunds received and lower operating expenses in the 2025 period compared to the 2024 period.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Investing Cash Flows. </w:t>
      </w:r>
      <w:r>
        <w:rPr>
          <w:rFonts w:ascii="Times New Roman;sans-serif" w:hAnsi="Times New Roman;sans-serif"/>
          <w:b w:val="false"/>
          <w:color w:val="000000"/>
          <w:sz w:val="20"/>
        </w:rPr>
        <w:t>Our cash flows (used in) provided by investing activities for the three months ended March 31, 2025 and 2024 were $(7.0) million and $194.5 million, respectively. The decrease in cash provided by investing activities of $201.5 million in the 2025 period from the 2024 period is primarily attributable to less proceeds from sales of investments and a decrease in new investments made in the 2025 period compared to the 2024 period.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Financing Cash Flows. </w:t>
      </w:r>
      <w:r>
        <w:rPr>
          <w:rFonts w:ascii="Times New Roman;sans-serif" w:hAnsi="Times New Roman;sans-serif"/>
          <w:b w:val="false"/>
          <w:color w:val="000000"/>
          <w:sz w:val="20"/>
        </w:rPr>
        <w:t>Our cash flows used in financing activities for the three months ended March 31, 2025 and 2024 were $7.4 million and $26.4 million, respectively. The decrease in cash used in financing activities of $19.0 million is primarily attributable to the partial repayment of the FNF Revolver in the three months ended March 31, 2024 partially offset by the dividends paid in the three months ended March 31, 2025.</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Financing Arrangements. </w:t>
      </w:r>
      <w:r>
        <w:rPr>
          <w:rFonts w:ascii="Times New Roman;sans-serif" w:hAnsi="Times New Roman;sans-serif"/>
          <w:b w:val="false"/>
          <w:color w:val="000000"/>
          <w:sz w:val="20"/>
        </w:rPr>
        <w:t xml:space="preserve">For a description of our financing arrangements, see Note G -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included in Item 1 of Part I of this Quarterly Report, which is incorporated by reference into this Item 2 of Part I.</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Seasonality.</w:t>
      </w:r>
      <w:r>
        <w:rPr>
          <w:color w:val="000000"/>
        </w:rPr>
        <w:t> </w:t>
      </w:r>
      <w:r>
        <w:rPr>
          <w:rFonts w:ascii="Times New Roman;sans-serif" w:hAnsi="Times New Roman;sans-serif"/>
          <w:b w:val="false"/>
          <w:color w:val="000000"/>
          <w:sz w:val="20"/>
        </w:rPr>
        <w:t>There have been no material changes to the seasonality experienced in our businesses from those described for the period as of and for the year ended December 31, 2024 included in our Annual Report.</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Contractual Obligations.</w:t>
      </w:r>
      <w:r>
        <w:rPr>
          <w:color w:val="000000"/>
        </w:rPr>
        <w:t xml:space="preserve"> </w:t>
      </w:r>
      <w:r>
        <w:rPr>
          <w:rFonts w:ascii="Times New Roman;sans-serif" w:hAnsi="Times New Roman;sans-serif"/>
          <w:b w:val="false"/>
          <w:color w:val="000000"/>
          <w:sz w:val="20"/>
        </w:rPr>
        <w:t>Our long-term contractual obligations generally include our credit agreements and other debt facilities, lease payments and financing obligations on certain of our premises and equipment, purchase obligations of the Restaurant Group and payments to our Manager.</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Operating lease payments include the expected future rent payments of the Company and its operating subsidiaries, primarily for the Restaurant Group. The operating leases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2025 to determine the amount of these obligations.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 include its agreements to lease its corporate office and certain restaurant equipment, which are accounted for as failed sale and leaseback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required future payments relating to these contractual obligations were as follows:</w:t>
      </w:r>
    </w:p>
    <w:tbl>
      <w:tblPr>
        <w:tblW w:w="10205" w:type="dxa"/>
        <w:jc w:val="left"/>
        <w:tblInd w:w="0" w:type="dxa"/>
        <w:tblLayout w:type="fixed"/>
        <w:tblCellMar>
          <w:top w:w="28" w:type="dxa"/>
          <w:left w:w="28" w:type="dxa"/>
          <w:bottom w:w="28" w:type="dxa"/>
          <w:right w:w="28" w:type="dxa"/>
        </w:tblCellMar>
      </w:tblPr>
      <w:tblGrid>
        <w:gridCol w:w="897"/>
        <w:gridCol w:w="582"/>
        <w:gridCol w:w="586"/>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8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14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purchase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payable to Manager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2025, we entered into the MSA Termination Agreement. See Note A to our Condensed Consolidated Financial Statements for discussion of changes in the timing of the fees payable to the Manager which occurred subsequent to March 31, 2025.</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Capital Stock Transactions</w:t>
      </w:r>
      <w:r>
        <w:rPr>
          <w:rFonts w:ascii="Times New Roman;sans-serif" w:hAnsi="Times New Roman;sans-serif"/>
          <w:b w:val="false"/>
          <w:color w:val="000000"/>
          <w:sz w:val="20"/>
        </w:rPr>
        <w:t>. 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of Cannae common stock pursuant to the 2022 Repurchase Program during the three months ended March 31, 2025. Since the original commencement of the 2022 Repurchase Program through market close on March 31, 2025, we have repurchased a total of 7,704,537 shares of Cannae common stock for approximately $151.0 million in the aggregate, or an average of $19.59 per share. As of the date of this Quarterly Report, there are 2,295,463 shares available for repurchase under the 2022 Repurchase Program.</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purchases under the 2023 Repurchase Program. As of the date of this Quarterly Report, there are 10.0 million shares available for repurchase under the 2023 Repurchase Program.</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2025, our Board authorized a new stock repurchase program (the "2025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2025 Repurchase Program does not supersede or impact the repurchase capacity under the prior authorizations. We have not made any purchases under the 2025 Repurchase Program. As of the date of this Quarterly Report, there are 10.0 million shares available for repurchase under the 2025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have been no material changes in the market risks described in Part II, Item 7A "Quantitative and Qualitative Disclosures about Market Risk"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discussion of legal proceedings in Note H -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Item 1 of 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disclosed in "Item 1A. Risk Factors" included in our Annual Report on Form 10-K for the year ended December 31, 2024 are hereby incorporated by reference. In addition, we identified the following additional risk.</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are currently the subject of a proxy contest, which could distract our management, disrupt our operations, result in incremental costs and adversely affect our results of operations, financial condition and stock price.</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and management value constructive input from our shareholder and are committed to acting in the best interests of all of our shareholders. However, we may be subject to actions or proposals from shareholders or others that may not align with the Company’s business strategies or the interests of our other shareholders.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recently received notice of a proxy solicitation effort by a shareholder seeking to nominate directors to our Board and influence the outcome of our upcoming annual meeting. This proxy contest could result in a change in the composition of our Board or executive officers and potentially alter our corporate governance or strategic direction.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proxy contest can be disruptive and costly, even if unsuccessful. It may divert the attention of our Board and management from their regular duties and the execution of our business strategy. In addition, responding to a proxy contest could require significant time and expense, including legal and advisory fees, which could negatively impact our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dissident shareholder is successful in its efforts, it may result in uncertainty regarding our future plans and policies and in potential material obligations. Any resulting changes to our Board, executive officers or strategic direction could also be viewed negatively by the market, employees, customers, or other stakeholders, which may lead to increased stock price volatility, a loss of key personnel, or disruptions in our business relationships.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public disputes with activist shareholders may damage our reputation, strain relationships with investors, and increase the risk of future shareholder activism.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85"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9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78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There were no unregistered sales of equity securities sold during the period covered by this Quarterly Report that were not previously included in a Current Report on Form 8-K</w:t>
      </w:r>
      <w:r>
        <w:rPr>
          <w:rFonts w:ascii="Times New Roman;sans-serif" w:hAnsi="Times New Roman;sans-serif"/>
          <w:b w:val="false"/>
          <w:color w:val="00808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3"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76"/>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(a) Exhibits: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2"/>
        <w:gridCol w:w="205"/>
        <w:gridCol w:w="206"/>
        <w:gridCol w:w="109"/>
        <w:gridCol w:w="109"/>
        <w:gridCol w:w="109"/>
        <w:gridCol w:w="2779"/>
        <w:gridCol w:w="2665"/>
        <w:gridCol w:w="3771"/>
      </w:tblGrid>
      <w:tr>
        <w:trPr/>
        <w:tc>
          <w:tcPr>
            <w:tcW w:w="2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Employment Agreement between Cannae Holdings, Inc. and Peter T. Sadowski, effective as of March 17, 2025 (incorporated by reference to Exhibit 10.1 to the Company's Current Report on Form 8-K, filed March 17, 2025).</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Amended and Restated Employment Agreement between Cannae Holdings, Inc. and William P. Foley II, effective as of March 17, 2025 (incorporated by reference to Exhibit 10.2 to the Company's Current Report on Form 8-K, filed March 17, 2025).</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103amendedandrestate.htm">
              <w:r>
                <w:rPr>
                  <w:rStyle w:val="InternetLink"/>
                  <w:rFonts w:ascii="Times New Roman;sans-serif" w:hAnsi="Times New Roman;sans-serif"/>
                  <w:b w:val="false"/>
                  <w:color w:val="000080"/>
                  <w:sz w:val="20"/>
                  <w:u w:val="single"/>
                </w:rPr>
                <w:t>Second Amendment to Amended and Restated Revolver Note, dated as of March 20, 2025,</w:t>
              </w:r>
            </w:hyperlink>
            <w:hyperlink w:anchor="cnneex103amendedandrestate.htm">
              <w:r>
                <w:rPr>
                  <w:rStyle w:val="InternetLink"/>
                  <w:rFonts w:ascii="Times New Roman;sans-serif" w:hAnsi="Times New Roman;sans-serif"/>
                  <w:b w:val="false"/>
                  <w:color w:val="000080"/>
                  <w:sz w:val="20"/>
                  <w:u w:val="single"/>
                </w:rPr>
                <w:t xml:space="preserve"> </w:t>
              </w:r>
            </w:hyperlink>
            <w:hyperlink w:anchor="cnneex103amendedandrestate.htm">
              <w:r>
                <w:rPr>
                  <w:rStyle w:val="InternetLink"/>
                  <w:rFonts w:ascii="Times New Roman;sans-serif" w:hAnsi="Times New Roman;sans-serif"/>
                  <w:b w:val="false"/>
                  <w:color w:val="000080"/>
                  <w:sz w:val="20"/>
                  <w:u w:val="single"/>
                </w:rPr>
                <w:t>by</w:t>
              </w:r>
            </w:hyperlink>
            <w:hyperlink w:anchor="cnneex103amendedandrestate.htm">
              <w:r>
                <w:rPr>
                  <w:rStyle w:val="InternetLink"/>
                  <w:rFonts w:ascii="Times New Roman;sans-serif" w:hAnsi="Times New Roman;sans-serif"/>
                  <w:b w:val="false"/>
                  <w:color w:val="000080"/>
                  <w:sz w:val="20"/>
                  <w:u w:val="single"/>
                </w:rPr>
                <w:t xml:space="preserve"> </w:t>
              </w:r>
            </w:hyperlink>
            <w:hyperlink w:anchor="cnneex103amendedandrestate.htm">
              <w:r>
                <w:rPr>
                  <w:rStyle w:val="InternetLink"/>
                  <w:rFonts w:ascii="Times New Roman;sans-serif" w:hAnsi="Times New Roman;sans-serif"/>
                  <w:b w:val="false"/>
                  <w:color w:val="000080"/>
                  <w:sz w:val="20"/>
                  <w:u w:val="single"/>
                </w:rPr>
                <w:t>and between Cannae Holdings, Inc. and Fidelity National Financial, Inc.</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Voting and Support Agreement, dated March 25, 2025, by and among Dun &amp; Bradstreet Holdings, Inc., Denali Intermediate Holdings, Inc. and Cannae Holdings, Inc. (incorporated by reference to Exhibit 10.1 to the Company's Current Report on Form 8-K, filed March 23, 2025).</w:t>
              </w:r>
            </w:hyperlink>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12025-q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22025-q1.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12025-q1.htm">
              <w:r>
                <w:rPr>
                  <w:rStyle w:val="InternetLink"/>
                  <w:rFonts w:ascii="Times New Roman;sans-serif" w:hAnsi="Times New Roman;sans-serif"/>
                  <w:b w:val="false"/>
                  <w:color w:val="0000FF"/>
                  <w:sz w:val="20"/>
                  <w:u w:val="single"/>
                </w:rPr>
                <w:t>Certification by Principal Executive Officer of Periodic Financial Reports pursuant to Section 906 of the Sarbanes-Oxley Act of 2002, 18 U.S.C. Section 1350.</w:t>
              </w:r>
            </w:hyperlink>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22025-q1.htm">
              <w:r>
                <w:rPr>
                  <w:rStyle w:val="InternetLink"/>
                  <w:rFonts w:ascii="Times New Roman;sans-serif" w:hAnsi="Times New Roman;sans-serif"/>
                  <w:b w:val="false"/>
                  <w:color w:val="0000FF"/>
                  <w:sz w:val="20"/>
                  <w:u w:val="single"/>
                </w:rPr>
                <w:t>Certification by Chief Financial Officer of Periodic Financial Reports pursuant to Section 906 of the Sarbanes-Oxley Act of 2002, 18 U.S.C. Section 1350.</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not filed.</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The instance document does not appear in the interactive data file because its XBRL tags are embedded within the inline XBRL document.</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74877713d6b43d39c51417c52f6e0f8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12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118"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394"/>
        <w:gridCol w:w="394"/>
        <w:gridCol w:w="394"/>
        <w:gridCol w:w="1253"/>
        <w:gridCol w:w="1253"/>
        <w:gridCol w:w="12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CANNAE HOLDINGS, INC.</w:t>
              <w:br/>
              <w:t>(registrant)</w:t>
              <w:b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Exhibit 10.3</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REVOLVER NOTE</w:t>
      </w:r>
    </w:p>
    <w:p>
      <w:pPr>
        <w:pStyle w:val="TextBody"/>
        <w:bidi w:val="0"/>
        <w:spacing w:before="0" w:after="0"/>
        <w:jc w:val="left"/>
        <w:rPr/>
      </w:pPr>
      <w:r>
        <w:rPr/>
      </w:r>
    </w:p>
    <w:tbl>
      <w:tblPr>
        <w:tblW w:w="4289" w:type="dxa"/>
        <w:jc w:val="left"/>
        <w:tblInd w:w="0" w:type="dxa"/>
        <w:tblLayout w:type="fixed"/>
        <w:tblCellMar>
          <w:top w:w="28" w:type="dxa"/>
          <w:left w:w="28" w:type="dxa"/>
          <w:bottom w:w="28" w:type="dxa"/>
          <w:right w:w="28" w:type="dxa"/>
        </w:tblCellMar>
      </w:tblPr>
      <w:tblGrid>
        <w:gridCol w:w="722"/>
        <w:gridCol w:w="635"/>
        <w:gridCol w:w="637"/>
        <w:gridCol w:w="671"/>
        <w:gridCol w:w="671"/>
        <w:gridCol w:w="953"/>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$47,480,261.50</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Dated March 20, 2025</w:t>
            </w:r>
          </w:p>
        </w:tc>
      </w:tr>
    </w:tbl>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Amended and Restated Revolver Note (this “</w:t>
      </w:r>
      <w:r>
        <w:rPr>
          <w:rFonts w:ascii="Times New Roman;sans-serif" w:hAnsi="Times New Roman;sans-serif"/>
          <w:b/>
          <w:i/>
          <w:color w:val="000000"/>
          <w:sz w:val="24"/>
        </w:rPr>
        <w:t>Note</w:t>
      </w:r>
      <w:r>
        <w:rPr>
          <w:color w:val="000000"/>
        </w:rPr>
        <w:t>”</w:t>
      </w:r>
      <w:r>
        <w:rPr>
          <w:rFonts w:ascii="Times New Roman;sans-serif" w:hAnsi="Times New Roman;sans-serif"/>
          <w:b w:val="false"/>
          <w:color w:val="000000"/>
          <w:sz w:val="24"/>
        </w:rPr>
        <w:t>) amends and restates that certain Revolver Note dated November 17, 2017 by and between Fidelity National Financial, Inc., a Delaware corporation (the “</w:t>
      </w:r>
      <w:r>
        <w:rPr>
          <w:rFonts w:ascii="Times New Roman;sans-serif" w:hAnsi="Times New Roman;sans-serif"/>
          <w:b/>
          <w:i/>
          <w:color w:val="000000"/>
          <w:sz w:val="24"/>
        </w:rPr>
        <w:t>Lender</w:t>
      </w:r>
      <w:r>
        <w:rPr>
          <w:color w:val="000000"/>
        </w:rPr>
        <w:t>”</w:t>
      </w:r>
      <w:r>
        <w:rPr>
          <w:rFonts w:ascii="Times New Roman;sans-serif" w:hAnsi="Times New Roman;sans-serif"/>
          <w:b w:val="false"/>
          <w:color w:val="000000"/>
          <w:sz w:val="24"/>
        </w:rPr>
        <w:t>) and Cannae Holdings, Inc., a Nevada corporation (the “</w:t>
      </w:r>
      <w:r>
        <w:rPr>
          <w:rFonts w:ascii="Times New Roman;sans-serif" w:hAnsi="Times New Roman;sans-serif"/>
          <w:b/>
          <w:i/>
          <w:color w:val="000000"/>
          <w:sz w:val="24"/>
        </w:rPr>
        <w:t>Borrower</w:t>
      </w:r>
      <w:r>
        <w:rPr>
          <w:color w:val="000000"/>
        </w:rPr>
        <w:t>”</w:t>
      </w:r>
      <w:r>
        <w:rPr>
          <w:rFonts w:ascii="Times New Roman;sans-serif" w:hAnsi="Times New Roman;sans-serif"/>
          <w:b w:val="false"/>
          <w:color w:val="000000"/>
          <w:sz w:val="24"/>
        </w:rPr>
        <w:t>) as amended by the First Amendment to Amended and Restated Revolver Note dated January 29, 2024 by and between Lender and Borrower. FOR VALUE RECEIVED, Lender, agrees to make loans (each such loan, a “</w:t>
      </w:r>
      <w:r>
        <w:rPr>
          <w:rFonts w:ascii="Times New Roman;sans-serif" w:hAnsi="Times New Roman;sans-serif"/>
          <w:b/>
          <w:i/>
          <w:color w:val="000000"/>
          <w:sz w:val="24"/>
        </w:rPr>
        <w:t>Revolving Loan</w:t>
      </w:r>
      <w:r>
        <w:rPr>
          <w:color w:val="000000"/>
        </w:rPr>
        <w:t>”</w:t>
      </w:r>
      <w:r>
        <w:rPr>
          <w:rFonts w:ascii="Times New Roman;sans-serif" w:hAnsi="Times New Roman;sans-serif"/>
          <w:b w:val="false"/>
          <w:color w:val="000000"/>
          <w:sz w:val="24"/>
        </w:rPr>
        <w:t>) to Borrower, from time to time in an aggregate amount not to exceed the principal sum of $47,480,261.50 (the “</w:t>
      </w:r>
      <w:r>
        <w:rPr>
          <w:rFonts w:ascii="Times New Roman;sans-serif" w:hAnsi="Times New Roman;sans-serif"/>
          <w:b/>
          <w:i/>
          <w:color w:val="000000"/>
          <w:sz w:val="24"/>
        </w:rPr>
        <w:t>Commitment</w:t>
      </w:r>
      <w:r>
        <w:rPr>
          <w:color w:val="000000"/>
        </w:rPr>
        <w:t>”</w:t>
      </w:r>
      <w:r>
        <w:rPr>
          <w:rFonts w:ascii="Times New Roman;sans-serif" w:hAnsi="Times New Roman;sans-serif"/>
          <w:b w:val="false"/>
          <w:color w:val="000000"/>
          <w:sz w:val="24"/>
        </w:rPr>
        <w:t xml:space="preserve">), on the terms set forth below. </w:t>
      </w:r>
    </w:p>
    <w:p>
      <w:pPr>
        <w:pStyle w:val="TextBody"/>
        <w:bidi w:val="0"/>
        <w:spacing w:lineRule="auto" w:line="240" w:before="0" w:after="240"/>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Borrower</w:t>
      </w:r>
      <w:r>
        <w:rPr>
          <w:color w:val="000000"/>
        </w:rPr>
        <w:t xml:space="preserve">” </w:t>
      </w:r>
      <w:r>
        <w:rPr>
          <w:rFonts w:ascii="Times New Roman;sans-serif" w:hAnsi="Times New Roman;sans-serif"/>
          <w:b w:val="false"/>
          <w:color w:val="000000"/>
          <w:sz w:val="24"/>
        </w:rPr>
        <w:t>has the meaning assigned to such term in the preamble to this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Business Day</w:t>
      </w:r>
      <w:r>
        <w:rPr>
          <w:color w:val="000000"/>
        </w:rPr>
        <w:t xml:space="preserve">” </w:t>
      </w:r>
      <w:r>
        <w:rPr>
          <w:rFonts w:ascii="Times New Roman;sans-serif" w:hAnsi="Times New Roman;sans-serif"/>
          <w:b w:val="false"/>
          <w:color w:val="000000"/>
          <w:sz w:val="24"/>
        </w:rPr>
        <w:t>means any day other than a Saturday, Sunday or other day on which commercial banks are authorized to close under the laws of, or are in fact closed in, the state where the Lender is located and, if such day relates to any Revolving Loan, shall also exclude any day that is not a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Commitment</w:t>
      </w:r>
      <w:r>
        <w:rPr>
          <w:color w:val="000000"/>
        </w:rPr>
        <w:t xml:space="preserve">” </w:t>
      </w:r>
      <w:r>
        <w:rPr>
          <w:rFonts w:ascii="Times New Roman;sans-serif" w:hAnsi="Times New Roman;sans-serif"/>
          <w:b w:val="false"/>
          <w:color w:val="000000"/>
          <w:sz w:val="24"/>
        </w:rPr>
        <w:t>has the meaning assigned to such term in the preamble to this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Debtor Relief Laws</w:t>
      </w:r>
      <w:r>
        <w:rPr>
          <w:color w:val="000000"/>
        </w:rPr>
        <w:t xml:space="preserve">” </w:t>
      </w:r>
      <w:r>
        <w:rPr>
          <w:rFonts w:ascii="Times New Roman;sans-serif" w:hAnsi="Times New Roman;sans-serif"/>
          <w:b w:val="false"/>
          <w:color w:val="000000"/>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of America, any state thereof or other applicable jurisdictions from time to time in effect and affecting the rights of creditors generally.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Default Rate</w:t>
      </w:r>
      <w:r>
        <w:rPr>
          <w:color w:val="000000"/>
        </w:rPr>
        <w:t xml:space="preserve">” </w:t>
      </w:r>
      <w:r>
        <w:rPr>
          <w:rFonts w:ascii="Times New Roman;sans-serif" w:hAnsi="Times New Roman;sans-serif"/>
          <w:b w:val="false"/>
          <w:color w:val="000000"/>
          <w:sz w:val="24"/>
        </w:rPr>
        <w:t>means an interest rate equal to the interest rate otherwise applicable to a Revolving Loan plus 2% per annum, in each case to the fullest extent permitted by applicable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Dollar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i/>
          <w:color w:val="000000"/>
          <w:sz w:val="24"/>
        </w:rPr>
        <w:t>$</w:t>
      </w:r>
      <w:r>
        <w:rPr>
          <w:color w:val="000000"/>
        </w:rPr>
        <w:t xml:space="preserve">” </w:t>
      </w:r>
      <w:r>
        <w:rPr>
          <w:rFonts w:ascii="Times New Roman;sans-serif" w:hAnsi="Times New Roman;sans-serif"/>
          <w:b w:val="false"/>
          <w:color w:val="000000"/>
          <w:sz w:val="24"/>
        </w:rPr>
        <w:t>mean lawful money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Event of Default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Governmental Authority</w:t>
      </w:r>
      <w:r>
        <w:rPr>
          <w:color w:val="000000"/>
        </w:rPr>
        <w:t xml:space="preserve">” </w:t>
      </w:r>
      <w:r>
        <w:rPr>
          <w:rFonts w:ascii="Times New Roman;sans-serif" w:hAnsi="Times New Roman;sans-serif"/>
          <w:b w:val="false"/>
          <w:color w:val="000000"/>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25780"/>
                <wp:effectExtent l="0" t="0" r="0" b="0"/>
                <wp:wrapNone/>
                <wp:docPr id="33" name="Frame3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Interest Period</w:t>
      </w:r>
      <w:r>
        <w:rPr>
          <w:color w:val="000000"/>
        </w:rPr>
        <w:t xml:space="preserve">” </w:t>
      </w:r>
      <w:r>
        <w:rPr>
          <w:rFonts w:ascii="Times New Roman;sans-serif" w:hAnsi="Times New Roman;sans-serif"/>
          <w:b w:val="false"/>
          <w:color w:val="000000"/>
          <w:sz w:val="24"/>
        </w:rPr>
        <w:t xml:space="preserve">means, as to each Revolving Loan, the period commencing on the date such Revolving Loan is disbursed or continued and ending on the date one month thereafter (subject to </w:t>
      </w:r>
      <w:r>
        <w:rPr>
          <w:rFonts w:ascii="Times New Roman;sans-serif" w:hAnsi="Times New Roman;sans-serif"/>
          <w:b w:val="false"/>
          <w:color w:val="000000"/>
          <w:sz w:val="24"/>
          <w:u w:val="single"/>
        </w:rPr>
        <w:t>Section 6(a)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Interest Period that would otherwise end on a day that is not a Business Day shall be extended to the next succeeding Business Day unless such Business Day falls in another calendar month, in which case such Interest Period shall end on the next preceding Business Day;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Laws</w:t>
      </w:r>
      <w:r>
        <w:rPr>
          <w:color w:val="000000"/>
        </w:rPr>
        <w:t xml:space="preserve">” </w:t>
      </w:r>
      <w:r>
        <w:rPr>
          <w:rFonts w:ascii="Times New Roman;sans-serif" w:hAnsi="Times New Roman;sans-serif"/>
          <w:b w:val="false"/>
          <w:color w:val="000000"/>
          <w:sz w:val="24"/>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Lender</w:t>
      </w:r>
      <w:r>
        <w:rPr>
          <w:color w:val="000000"/>
        </w:rPr>
        <w:t xml:space="preserve">” </w:t>
      </w:r>
      <w:r>
        <w:rPr>
          <w:rFonts w:ascii="Times New Roman;sans-serif" w:hAnsi="Times New Roman;sans-serif"/>
          <w:b w:val="false"/>
          <w:color w:val="000000"/>
          <w:sz w:val="24"/>
        </w:rPr>
        <w:t>has the meaning assigned to such term in the preamble to this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Maturity Date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Obligations</w:t>
      </w:r>
      <w:r>
        <w:rPr>
          <w:color w:val="000000"/>
        </w:rPr>
        <w:t xml:space="preserve">” </w:t>
      </w:r>
      <w:r>
        <w:rPr>
          <w:rFonts w:ascii="Times New Roman;sans-serif" w:hAnsi="Times New Roman;sans-serif"/>
          <w:b w:val="false"/>
          <w:color w:val="000000"/>
          <w:sz w:val="24"/>
        </w:rPr>
        <w:t>means all advances to, and debts, liabilities and monetary obligations of, the Borrower to the Lender arising under this Note, whether direct or indirect (including those acquired by assumption), absolute or contingent, due or to become due, now existing or hereafter arising, including interest and fees that accrue after the commencement by or against the Borrower of any proceeding under any Debtor Relief Laws naming the Borrower as the debtor in such proceeding, regardless of whether such interest and fees are allowed claims in such proceeding.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Outstanding Amount</w:t>
      </w:r>
      <w:r>
        <w:rPr>
          <w:color w:val="000000"/>
        </w:rPr>
        <w:t xml:space="preserve">” </w:t>
      </w:r>
      <w:r>
        <w:rPr>
          <w:rFonts w:ascii="Times New Roman;sans-serif" w:hAnsi="Times New Roman;sans-serif"/>
          <w:b w:val="false"/>
          <w:color w:val="000000"/>
          <w:sz w:val="24"/>
        </w:rPr>
        <w:t>means, on any date, the aggregate outstanding principal amount of the Revolving Loans after giving effect to any borrowings and prepayments or repayments of the Revolving Loans, occurring on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Revolving Loan</w:t>
      </w:r>
      <w:r>
        <w:rPr>
          <w:color w:val="000000"/>
        </w:rPr>
        <w:t xml:space="preserve">” </w:t>
      </w:r>
      <w:r>
        <w:rPr>
          <w:rFonts w:ascii="Times New Roman;sans-serif" w:hAnsi="Times New Roman;sans-serif"/>
          <w:b w:val="false"/>
          <w:color w:val="000000"/>
          <w:sz w:val="24"/>
        </w:rPr>
        <w:t>has the meaning assigned to such term in the preamble to this Note.</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u w:val="single"/>
        </w:rPr>
        <w:t>Borrowings</w:t>
      </w:r>
      <w:r>
        <w:rPr>
          <w:rFonts w:ascii="Times New Roman;sans-serif" w:hAnsi="Times New Roman;sans-serif"/>
          <w:b w:val="false"/>
          <w:color w:val="000000"/>
          <w:sz w:val="24"/>
        </w:rPr>
        <w:t xml:space="preserve">. Each borrowing, shall be made upon the Borrower’s irrevocable notice to the Lender, which may be given by telephone. Each such notice (whether telephonic or written) must (i) be received by the Lender not later than 10:00 a.m. (New York time) on the requested date of any such borrowing and (ii) specify the date and principal amount of such borrowing. Each telephonic notice by the Borrower pursuant to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must be confirmed promptly by delivery to the Lender of a written notice, signed by an officer of the Borrower. The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5965"/>
                <wp:effectExtent l="0" t="0" r="0" b="0"/>
                <wp:wrapNone/>
                <wp:docPr id="34" name="Frame3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Outstanding Amount may not exceed the Commitment at any time. Each borrowing shall be in a principal amount of $1,000,000 or a whole multiple of $1,000,000 in excess thereof.</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u w:val="single"/>
        </w:rPr>
        <w:t>Repayment</w:t>
      </w:r>
      <w:r>
        <w:rPr>
          <w:rFonts w:ascii="Times New Roman;sans-serif" w:hAnsi="Times New Roman;sans-serif"/>
          <w:b w:val="false"/>
          <w:color w:val="000000"/>
          <w:sz w:val="24"/>
        </w:rPr>
        <w:t>. The Borrower shall repay to the Lender the aggregate outstanding principal amount of each Revolving Loan on November 17, 2030 (the “</w:t>
      </w:r>
      <w:r>
        <w:rPr>
          <w:rFonts w:ascii="Times New Roman;sans-serif" w:hAnsi="Times New Roman;sans-serif"/>
          <w:b/>
          <w:i/>
          <w:color w:val="000000"/>
          <w:sz w:val="24"/>
        </w:rPr>
        <w:t>Maturity 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such Maturity Date shall be automatically extended for additional one (1) year term on each subsequent anniversary date, unless the Borrower or the Lender in its sole discretion provides notice, at least thirty (30) days prior to such Maturity Date, that the maturity of such Revolving Loans shall not be extended. The Borrower shall have the right to prepay, at any time and from time to time, all or any portion of the outstanding principal amount hereunder, without premium or penalty other than customary breakage costs. Amounts repaid under this Note shall not be available to be re-borrowed.</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Use of Proceeds</w:t>
      </w:r>
      <w:r>
        <w:rPr>
          <w:rFonts w:ascii="Times New Roman;sans-serif" w:hAnsi="Times New Roman;sans-serif"/>
          <w:b w:val="false"/>
          <w:color w:val="000000"/>
          <w:sz w:val="24"/>
        </w:rPr>
        <w:t>. The Borrower shall use the proceeds of the Revolving Loans to repurchase shares of its common stock from Lender.</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Place of Payment</w:t>
      </w:r>
      <w:r>
        <w:rPr>
          <w:rFonts w:ascii="Times New Roman;sans-serif" w:hAnsi="Times New Roman;sans-serif"/>
          <w:b w:val="false"/>
          <w:color w:val="000000"/>
          <w:sz w:val="24"/>
        </w:rPr>
        <w:t>. All amounts payable hereunder shall be payable to the Lender by wire transfer of immediately available funds into an account or accounts designated by the Lender in writing from time to time. All payments shall be made in lawful money of United States and shall include all fees and costs, including any currency exchange costs, applicable to such payments.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u w:val="single"/>
        </w:rPr>
        <w:t>Interest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During the Term and for so long as William P. Foley, II is the Chairman of Board of Borrower and subject to the provisions of </w:t>
      </w:r>
      <w:r>
        <w:rPr>
          <w:rFonts w:ascii="Times New Roman;sans-serif" w:hAnsi="Times New Roman;sans-serif"/>
          <w:b w:val="false"/>
          <w:color w:val="000000"/>
          <w:sz w:val="24"/>
          <w:u w:val="single"/>
        </w:rPr>
        <w:t>subsection (b)</w:t>
      </w:r>
      <w:r>
        <w:rPr>
          <w:color w:val="000000"/>
        </w:rPr>
        <w:t xml:space="preserve"> </w:t>
      </w:r>
      <w:r>
        <w:rPr>
          <w:rFonts w:ascii="Times New Roman;sans-serif" w:hAnsi="Times New Roman;sans-serif"/>
          <w:b w:val="false"/>
          <w:color w:val="000000"/>
          <w:sz w:val="24"/>
        </w:rPr>
        <w:t xml:space="preserve">below, the Revolving Loans shall bear interest at five percent (5%) per annum. During the Term and beginning when William P. Foley, II is not the Chairman of the Board of Borrower and subject to the provisions of </w:t>
      </w:r>
      <w:r>
        <w:rPr>
          <w:rFonts w:ascii="Times New Roman;sans-serif" w:hAnsi="Times New Roman;sans-serif"/>
          <w:b w:val="false"/>
          <w:color w:val="000000"/>
          <w:sz w:val="24"/>
          <w:u w:val="single"/>
        </w:rPr>
        <w:t>subsection (b)</w:t>
      </w:r>
      <w:r>
        <w:rPr>
          <w:color w:val="000000"/>
        </w:rPr>
        <w:t xml:space="preserve"> </w:t>
      </w:r>
      <w:r>
        <w:rPr>
          <w:rFonts w:ascii="Times New Roman;sans-serif" w:hAnsi="Times New Roman;sans-serif"/>
          <w:b w:val="false"/>
          <w:color w:val="000000"/>
          <w:sz w:val="24"/>
        </w:rPr>
        <w:t>below, the Revolving Loans shall bear interest at seven percent (7%) per annum. No more than one Interest Period may be applicable to the Revolving Loans at any one time. If after giving effect to a proposed borrowing of Revolving Loans, more than one Interest Period would be in effect, such proposed borrowing shall have the same Interest Period as the existing Revolving Loans. At the end of any Interest Period, to the extent any Revolving Loans remain outstanding, such Revolving Loans will be continued in a new Interest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 If any amount of principal of any Revolving Loan is not paid when due (without regard to any applicable grace periods), whether at stated maturity, by acceleration or otherwise, such amount shall thereafter bear interest at the interest rate per annum at all times equal to, at the Default Rate, to the fullest extent permitted by applicable Laws.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(ii)If any amount (other than principal of any Revolving Loan) payable by the Borrower under this Note is not paid when due (without regard to any applicable grace periods), whether at stated maturity, by acceleration or otherwise, then upon the request of the Lender, such amount shall thereafter bear interest at the interest rate per annum at all times equal to the Default Rate, to the fullest extent permitted by applicable Laws.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5965"/>
                <wp:effectExtent l="0" t="0" r="0" b="0"/>
                <wp:wrapNone/>
                <wp:docPr id="35" name="Frame3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(iii)Upon the request of the Lender, while any Event of Default exists (other than as set forth in </w:t>
      </w:r>
      <w:r>
        <w:rPr>
          <w:rFonts w:ascii="Times New Roman;sans-serif" w:hAnsi="Times New Roman;sans-serif"/>
          <w:b w:val="false"/>
          <w:color w:val="000000"/>
          <w:sz w:val="24"/>
          <w:u w:val="single"/>
        </w:rPr>
        <w:t>clauses (b)(i)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(b)(ii)</w:t>
      </w:r>
      <w:r>
        <w:rPr>
          <w:color w:val="000000"/>
        </w:rPr>
        <w:t xml:space="preserve"> </w:t>
      </w:r>
      <w:r>
        <w:rPr>
          <w:rFonts w:ascii="Times New Roman;sans-serif" w:hAnsi="Times New Roman;sans-serif"/>
          <w:b w:val="false"/>
          <w:color w:val="000000"/>
          <w:sz w:val="24"/>
        </w:rPr>
        <w:t>above), the Borrower shall pay interest on the principal amount of all outstanding Obligations hereunder at the interest rate per annum at all times equal to the Default Rate, to the fullest extent permitted by applicable Laws.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(iv)(Accrued and unpaid interest on past due amounts (including interest on past due interest) shall be due and payable upon demand.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Interest on each Revolving Loan shall be due and payable in arrears on the last day of each Interest Period. Interest hereunder shall be due and payable in accordance with the terms hereof before and after judgment, and before and after the commencement of any proceeding under any Debtor Relief Law.</w:t>
      </w:r>
    </w:p>
    <w:p>
      <w:pPr>
        <w:pStyle w:val="TextBody"/>
        <w:bidi w:val="0"/>
        <w:spacing w:lineRule="auto" w:line="276"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u w:val="single"/>
        </w:rPr>
        <w:t>Creditor Rights</w:t>
      </w:r>
      <w:r>
        <w:rPr>
          <w:rFonts w:ascii="Times New Roman;sans-serif" w:hAnsi="Times New Roman;sans-serif"/>
          <w:b w:val="false"/>
          <w:color w:val="000000"/>
          <w:sz w:val="24"/>
        </w:rPr>
        <w:t xml:space="preserve">. In the event that (i)(a) the Borrower shall fail to make within thirty (30) days after the same becomes due, any scheduled payment of interest or principal hereunder and/or (b) the Borrower shall fail to observe or perform any other provision of this Note (other than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 xml:space="preserve">) and such failure shall continue unremedied for a period of thirty (30) days, (ii) the Borrower shall be dissolved or adjudicated insolvent, (iii) the Borrower shall cease engaging in business operations, (iv) any legal proceeding by any judgment creditor is commenced against the Borrower to attach or levy upon any material property of the Borrower, which is not dismissed within forty-five (45) days, (v) the Borrower shall become the subject of any bankruptcy (including, without limitation, any reorganization under Chapter 11 of Title 11 of the United States Code and /or its foreign equivalent), insolvency, receivership, liquidation (including, without limitation, any liquidation under Chapter 7 of Title 11 of the United States Code and/or its foreign equivalent), or dissolution under applicable law or statute, (vi) the Borrower shall make a general assignment for the benefit of its creditors, (vii) unless otherwise approved by the Lender, the Borrower shall breach the requirements of </w:t>
      </w:r>
      <w:r>
        <w:rPr>
          <w:rFonts w:ascii="Times New Roman;sans-serif" w:hAnsi="Times New Roman;sans-serif"/>
          <w:b w:val="false"/>
          <w:color w:val="000000"/>
          <w:sz w:val="24"/>
          <w:u w:val="single"/>
        </w:rPr>
        <w:t>Section 4; and/or (viii) William P. Foley, II is no longer the Chairman of the Board of Borrower</w:t>
      </w:r>
      <w:r>
        <w:rPr>
          <w:color w:val="000000"/>
        </w:rPr>
        <w:t xml:space="preserve"> </w:t>
      </w:r>
      <w:r>
        <w:rPr>
          <w:rFonts w:ascii="Times New Roman;sans-serif" w:hAnsi="Times New Roman;sans-serif"/>
          <w:b w:val="false"/>
          <w:color w:val="000000"/>
          <w:sz w:val="24"/>
        </w:rPr>
        <w:t>(each event described in clauses (i) through (viii), an “</w:t>
      </w:r>
      <w:r>
        <w:rPr>
          <w:rFonts w:ascii="Times New Roman;sans-serif" w:hAnsi="Times New Roman;sans-serif"/>
          <w:b/>
          <w:i/>
          <w:color w:val="000000"/>
          <w:sz w:val="24"/>
        </w:rPr>
        <w:t>Event of Default</w:t>
      </w:r>
      <w:r>
        <w:rPr>
          <w:color w:val="000000"/>
        </w:rPr>
        <w:t>”</w:t>
      </w:r>
      <w:r>
        <w:rPr>
          <w:rFonts w:ascii="Times New Roman;sans-serif" w:hAnsi="Times New Roman;sans-serif"/>
          <w:b w:val="false"/>
          <w:color w:val="000000"/>
          <w:sz w:val="24"/>
        </w:rPr>
        <w:t>), then, in each case of clauses (i) through (viii) above, the Lender, at its option, shall have the right to declare the entirety of the Obligations outstanding hereunder to be immediately due and payable and terminate the Commitments, in each case, without notice or demand. In such event, the Borrower shall be required to make immediate payment of the entire outstanding principal balance of this Note, together with all accrued and unpaid interest thereon.</w:t>
      </w:r>
    </w:p>
    <w:p>
      <w:pPr>
        <w:pStyle w:val="TextBody"/>
        <w:bidi w:val="0"/>
        <w:spacing w:lineRule="auto" w:line="276"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u w:val="single"/>
        </w:rPr>
        <w:t>Miscellaneous</w:t>
      </w:r>
      <w:r>
        <w:rPr>
          <w:rFonts w:ascii="Times New Roman;sans-serif" w:hAnsi="Times New Roman;sans-serif"/>
          <w:b w:val="false"/>
          <w:color w:val="000000"/>
          <w:sz w:val="24"/>
          <w:u w:val="single"/>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Submission to Jurisdiction; Waivers; Amendments</w:t>
      </w:r>
      <w:r>
        <w:rPr>
          <w:rFonts w:ascii="Times New Roman;sans-serif" w:hAnsi="Times New Roman;sans-serif"/>
          <w:b w:val="false"/>
          <w:color w:val="000000"/>
          <w:sz w:val="24"/>
        </w:rPr>
        <w:t xml:space="preserve">. THE LENDER AND THE BORROWER HEREBY IRREVOCABLY SUBMIT TO THE JURISDICTION OF ANY STATE OR FEDERAL COURT SITTING IN THE STATE OF NEVADA, AND THEY HEREBY IRREVOCABLY AGREE THAT ANY ACTION MAY BE HEARD AND DETERMINED IN SUCH NEVADA STATE OR FEDERAL COURT. THE LENDER AND THE BORROWER HEREBY WAIVE TRIAL BY JURY IN ANY ACTION OR PROCEEDING OF ANY KIND OR NATURE IN ANY COURT OR TRIBUNAL IN WHICH AN ACTION MAY BE COMMENCED BY OR AGAINST THE BORROWER ARISING OUT OF THIS NOTE OR BY REASON OF ANY OTHER CAUSE OR DISPUTE WHATSOEVER BETWEEN THE BORROWER AND THE LENDER OF ANY KIND OR NATURE. No delay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5965"/>
                <wp:effectExtent l="0" t="0" r="0" b="0"/>
                <wp:wrapNone/>
                <wp:docPr id="36" name="Frame3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failure on the part of the Lender in the exercise of any right or remedy shall operate as a waiver thereof, and no single or partial exercise by the Lender of any right or remedy shall preclude other or further exercise thereof or the exercise of any other right or remedy. The rights, remedies, powers and privileges provided herein are cumulative and not exclusive of any rights, remedies, powers and privileges provided by law. Time is of the essence in respect of the performance of all payment obligations under this Note. The Borrower hereby waives presentment and demand for payment, notice of dishonour, protest and notice of protest of this Note. No modification or waiver of any provision of this Note or consent to departure therefrom shall be effective unless in writing and signed by the Borrower and the Lender.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NOTE SHALL BE GOVERNED BY, AND CONSTRUED IN ACCORDANCE WITH, THE LAWS OF THE STATE OF NEVADA AND NO CONFLICTS OF LAW PRINCIPLES WILL APPLY TO THIS NOTE.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In the event that any provision of this Note would be held in any jurisdiction to be invalid, prohibited or unenforceable for any reason, such provision, as to such jurisdiction, shall be ineffective, without invalidating the remaining provisions of this Note or affecting the validity or enforceability of such provision in any jurisdiction.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Counterparts; Binding Effect; Successors and Assigns</w:t>
      </w:r>
      <w:r>
        <w:rPr>
          <w:rFonts w:ascii="Times New Roman;sans-serif" w:hAnsi="Times New Roman;sans-serif"/>
          <w:b w:val="false"/>
          <w:color w:val="000000"/>
          <w:sz w:val="24"/>
        </w:rPr>
        <w:t>. This Note may be executed in counterparts (and by different parties hereto on different counterparts), each of which shall constitute an original but all of which when taken together shall constitute a single contract. This Note shall not be assignable by the Borrower without the prior written consent of the Lender. Subject to the foregoing, this Note and every part hereof shall be binding upon the undersigned and their respective successors and assigns, and shall inure to the benefit of and be enforceable by the Lender and any of its successors and assigns.</w:t>
      </w:r>
    </w:p>
    <w:p>
      <w:pPr>
        <w:pStyle w:val="TextBody"/>
        <w:bidi w:val="0"/>
        <w:spacing w:lineRule="auto" w:line="276"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5965"/>
                <wp:effectExtent l="0" t="0" r="0" b="0"/>
                <wp:wrapNone/>
                <wp:docPr id="37" name="Frame3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undersigned have executed this Note as of the date first written above.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BORROWER:</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CANNAE HOLDINGS, INC.</w:t>
      </w:r>
    </w:p>
    <w:p>
      <w:pPr>
        <w:pStyle w:val="TextBody"/>
        <w:bidi w:val="0"/>
        <w:spacing w:before="0" w:after="240"/>
        <w:jc w:val="left"/>
        <w:rPr/>
      </w:pPr>
      <w:r>
        <w:rPr/>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Bryan D. Coy    </w:t>
        <w:br/>
      </w:r>
      <w:r>
        <w:rPr>
          <w:rFonts w:ascii="Times New Roman;sans-serif" w:hAnsi="Times New Roman;sans-serif"/>
          <w:b w:val="false"/>
          <w:color w:val="000000"/>
          <w:sz w:val="24"/>
        </w:rPr>
        <w:t xml:space="preserve">Name: Bryan D. Coy </w:t>
        <w:br/>
        <w:t xml:space="preserve">Title: Chief Financial Officer </w:t>
      </w:r>
    </w:p>
    <w:p>
      <w:pPr>
        <w:pStyle w:val="TextBody"/>
        <w:bidi w:val="0"/>
        <w:spacing w:before="0" w:after="240"/>
        <w:ind w:left="0" w:right="0" w:hanging="720"/>
        <w:jc w:val="left"/>
        <w:rPr/>
      </w:pPr>
      <w:r>
        <w:rPr/>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THE LENDER:</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FIDELITY NATIONAL FINANCIAL, INC.</w:t>
      </w:r>
    </w:p>
    <w:p>
      <w:pPr>
        <w:pStyle w:val="TextBody"/>
        <w:bidi w:val="0"/>
        <w:spacing w:before="0" w:after="240"/>
        <w:ind w:left="0" w:right="0" w:hanging="720"/>
        <w:jc w:val="left"/>
        <w:rPr/>
      </w:pPr>
      <w:r>
        <w:rPr/>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Anthony J. Park    </w:t>
        <w:br/>
      </w:r>
      <w:r>
        <w:rPr>
          <w:rFonts w:ascii="Times New Roman;sans-serif" w:hAnsi="Times New Roman;sans-serif"/>
          <w:b w:val="false"/>
          <w:color w:val="000000"/>
          <w:sz w:val="24"/>
        </w:rPr>
        <w:t>Name: Anthony J. Park</w:t>
        <w:br/>
        <w:t xml:space="preserve">Title: Executive Vice President, Chief Financial Officer </w:t>
      </w:r>
    </w:p>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5965"/>
                <wp:effectExtent l="0" t="0" r="0" b="0"/>
                <wp:wrapNone/>
                <wp:docPr id="38" name="Frame3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Revolver Note]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Revolver Note]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Ryan R. Caswell, certify that: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12, 2025 </w:t>
      </w:r>
    </w:p>
    <w:tbl>
      <w:tblPr>
        <w:tblW w:w="541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63"/>
        <w:gridCol w:w="1363"/>
        <w:gridCol w:w="193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Ryan R. Caswell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Ryan R. Caswell </w:t>
              <w:br/>
              <w:t>Chief Executive Officer and Principal Executive Officer</w:t>
            </w:r>
          </w:p>
        </w:tc>
      </w:tr>
    </w:tbl>
    <w:p>
      <w:pPr>
        <w:pStyle w:val="TextBody"/>
        <w:bidi w:val="0"/>
        <w:spacing w:before="0" w:after="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Bryan D. Coy, certify that: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12, 2025 </w:t>
      </w:r>
    </w:p>
    <w:tbl>
      <w:tblPr>
        <w:tblW w:w="529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23"/>
        <w:gridCol w:w="1323"/>
        <w:gridCol w:w="189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br/>
              <w:t>Chief Financial Officer and Principal Financial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Principal Executive Officer of Cannae Holdings, Inc., a Nevada corporation (the “Company”), and hereby further certifies as follows. </w:t>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12, 2025 </w:t>
      </w:r>
    </w:p>
    <w:tbl>
      <w:tblPr>
        <w:tblW w:w="5412" w:type="dxa"/>
        <w:jc w:val="left"/>
        <w:tblInd w:w="0" w:type="dxa"/>
        <w:tblLayout w:type="fixed"/>
        <w:tblCellMar>
          <w:top w:w="28" w:type="dxa"/>
          <w:left w:w="28" w:type="dxa"/>
          <w:bottom w:w="28" w:type="dxa"/>
          <w:right w:w="28" w:type="dxa"/>
        </w:tblCellMar>
      </w:tblPr>
      <w:tblGrid>
        <w:gridCol w:w="151"/>
        <w:gridCol w:w="134"/>
        <w:gridCol w:w="135"/>
        <w:gridCol w:w="1538"/>
        <w:gridCol w:w="1538"/>
        <w:gridCol w:w="1544"/>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Ryan R. Caswell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R. Caswell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18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Chief Financial Officer of Cannae Holdings, Inc., a Nevada corporation (the “Company”), and hereby further certifies as follows. </w:t>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12, 2025 </w:t>
      </w:r>
    </w:p>
    <w:tbl>
      <w:tblPr>
        <w:tblW w:w="5352" w:type="dxa"/>
        <w:jc w:val="left"/>
        <w:tblInd w:w="0" w:type="dxa"/>
        <w:tblLayout w:type="fixed"/>
        <w:tblCellMar>
          <w:top w:w="28" w:type="dxa"/>
          <w:left w:w="28" w:type="dxa"/>
          <w:bottom w:w="28" w:type="dxa"/>
          <w:right w:w="28" w:type="dxa"/>
        </w:tblCellMar>
      </w:tblPr>
      <w:tblGrid>
        <w:gridCol w:w="173"/>
        <w:gridCol w:w="153"/>
        <w:gridCol w:w="154"/>
        <w:gridCol w:w="1497"/>
        <w:gridCol w:w="1497"/>
        <w:gridCol w:w="1506"/>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4720/000170472025000020/exhibit101sadowskiemployme.htm" TargetMode="External"/><Relationship Id="rId3" Type="http://schemas.openxmlformats.org/officeDocument/2006/relationships/hyperlink" Target="https://www.sec.gov/Archives/edgar/data/1704720/000170472025000020/exhibit102foleyemploymenta.htm" TargetMode="External"/><Relationship Id="rId4" Type="http://schemas.openxmlformats.org/officeDocument/2006/relationships/hyperlink" Target="https://www.sec.gov/Archives/edgar/data/1704720/000170472025000027/exhibit101votingandsuppor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19488</Words>
  <Characters>106828</Characters>
  <CharactersWithSpaces>125355</CharactersWithSpaces>
  <Paragraphs>2257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