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454660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ind w:left="3820" w:right="400" w:hanging="3427"/>
        <w:spacing w:after="0" w:line="407" w:lineRule="auto"/>
        <w:tabs>
          <w:tab w:leader="none" w:pos="17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320" w:right="380" w:hanging="3927"/>
        <w:spacing w:after="0" w:line="368" w:lineRule="auto"/>
        <w:tabs>
          <w:tab w:leader="none" w:pos="1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00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4000" w:type="dxa"/>
            <w:vAlign w:val="bottom"/>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58"/>
        </w:trPr>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89134</w:t>
            </w:r>
          </w:p>
        </w:tc>
      </w:tr>
      <w:tr>
        <w:trPr>
          <w:trHeight w:val="224"/>
        </w:trPr>
        <w:tc>
          <w:tcPr>
            <w:tcW w:w="400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23"/>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Arial" w:cs="Arial" w:eastAsia="Arial" w:hAnsi="Arial"/>
                <w:sz w:val="18"/>
                <w:szCs w:val="18"/>
                <w:b w:val="1"/>
                <w:bCs w:val="1"/>
                <w:color w:val="auto"/>
                <w:w w:val="97"/>
              </w:rPr>
              <w:t>(702) 323-7330</w:t>
            </w:r>
          </w:p>
        </w:tc>
      </w:tr>
    </w:tbl>
    <w:p>
      <w:pPr>
        <w:spacing w:after="0" w:line="4"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Arial" w:cs="Arial" w:eastAsia="Arial" w:hAnsi="Arial"/>
                <w:sz w:val="16"/>
                <w:szCs w:val="16"/>
                <w:color w:val="auto"/>
                <w:w w:val="91"/>
              </w:rPr>
              <w:t>Title of Each Class</w:t>
            </w:r>
          </w:p>
        </w:tc>
        <w:tc>
          <w:tcPr>
            <w:tcW w:w="222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Trading Symbol</w:t>
            </w:r>
          </w:p>
        </w:tc>
        <w:tc>
          <w:tcPr>
            <w:tcW w:w="3700" w:type="dxa"/>
            <w:vAlign w:val="bottom"/>
            <w:gridSpan w:val="2"/>
          </w:tcPr>
          <w:p>
            <w:pPr>
              <w:jc w:val="center"/>
              <w:ind w:left="59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0" w:lineRule="exact"/>
        <w:rPr>
          <w:sz w:val="24"/>
          <w:szCs w:val="24"/>
          <w:color w:val="auto"/>
        </w:rPr>
      </w:pPr>
    </w:p>
    <w:p>
      <w:pPr>
        <w:spacing w:after="0" w:line="24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Smaller reporting</w:t>
            </w:r>
          </w:p>
        </w:tc>
        <w:tc>
          <w:tcPr>
            <w:tcW w:w="29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5700" w:type="dxa"/>
            <w:vAlign w:val="bottom"/>
            <w:vMerge w:val="continue"/>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30, 2021 there were 91,655,025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040" w:type="dxa"/>
            <w:vAlign w:val="bottom"/>
            <w:gridSpan w:val="19"/>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98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A. Condensed Consolidated Balance Sheets as of March 31, 2021 and December 31, </w:t>
              </w:r>
            </w:hyperlink>
            <w:r>
              <w:rPr>
                <w:rFonts w:ascii="Arial" w:cs="Arial" w:eastAsia="Arial" w:hAnsi="Arial"/>
                <w:sz w:val="18"/>
                <w:szCs w:val="18"/>
                <w:color w:val="0000FF"/>
              </w:rPr>
              <w:t>2020</w:t>
            </w:r>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B. Condensed Consolidated Statements of Operations for the three-month periods ended March 31, 2021 and </w:t>
              </w:r>
            </w:hyperlink>
            <w:r>
              <w:rPr>
                <w:rFonts w:ascii="Arial" w:cs="Arial" w:eastAsia="Arial" w:hAnsi="Arial"/>
                <w:sz w:val="18"/>
                <w:szCs w:val="18"/>
                <w:color w:val="0000FF"/>
                <w:w w:val="89"/>
              </w:rPr>
              <w:t>2020</w:t>
            </w:r>
          </w:p>
        </w:tc>
        <w:tc>
          <w:tcPr>
            <w:tcW w:w="128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7"/>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 Condensed Consolidated Statements of Comprehensive (Loss) Earnings for the three-month periods ended March 31, 2021 and</w:t>
              </w:r>
            </w:hyperlink>
          </w:p>
        </w:tc>
        <w:tc>
          <w:tcPr>
            <w:tcW w:w="114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top w:val="single" w:sz="8" w:color="0000FF"/>
            </w:tcBorders>
            <w:gridSpan w:val="2"/>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5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60" w:type="dxa"/>
            <w:vAlign w:val="bottom"/>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D. Condensed Consolidated Statements of Equity for the three-month periods ended March 31, 2021 and </w:t>
              </w:r>
            </w:hyperlink>
            <w:r>
              <w:rPr>
                <w:rFonts w:ascii="Arial" w:cs="Arial" w:eastAsia="Arial" w:hAnsi="Arial"/>
                <w:sz w:val="18"/>
                <w:szCs w:val="18"/>
                <w:color w:val="0000FF"/>
                <w:w w:val="89"/>
              </w:rPr>
              <w:t>2020</w:t>
            </w:r>
          </w:p>
        </w:tc>
        <w:tc>
          <w:tcPr>
            <w:tcW w:w="1580" w:type="dxa"/>
            <w:vAlign w:val="bottom"/>
            <w:gridSpan w:val="3"/>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15"/>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 xml:space="preserve">E. Condensed Consolidated Statements of Cash Flows for the three-month periods ended March 31, 2021 and </w:t>
              </w:r>
            </w:hyperlink>
            <w:r>
              <w:rPr>
                <w:rFonts w:ascii="Arial" w:cs="Arial" w:eastAsia="Arial" w:hAnsi="Arial"/>
                <w:sz w:val="18"/>
                <w:szCs w:val="18"/>
                <w:color w:val="0000FF"/>
                <w:w w:val="88"/>
              </w:rPr>
              <w:t>2020</w:t>
            </w:r>
          </w:p>
        </w:tc>
        <w:tc>
          <w:tcPr>
            <w:tcW w:w="128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 Notes to Condensed Consolidated Financial Statements</w:t>
              </w:r>
            </w:hyperlink>
          </w:p>
        </w:tc>
        <w:tc>
          <w:tcPr>
            <w:tcW w:w="128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20" w:type="dxa"/>
            <w:vAlign w:val="bottom"/>
            <w:gridSpan w:val="14"/>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Item 2. Management’s Discussion and Analysis of Financial Condition and Results of Operations</w:t>
              </w:r>
            </w:hyperlink>
          </w:p>
        </w:tc>
        <w:tc>
          <w:tcPr>
            <w:tcW w:w="2820" w:type="dxa"/>
            <w:vAlign w:val="bottom"/>
            <w:gridSpan w:val="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860" w:type="dxa"/>
            <w:vAlign w:val="bottom"/>
            <w:gridSpan w:val="11"/>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18"/>
                <w:szCs w:val="18"/>
                <w:color w:val="auto"/>
              </w:rPr>
            </w:pPr>
          </w:p>
        </w:tc>
        <w:tc>
          <w:tcPr>
            <w:tcW w:w="2820" w:type="dxa"/>
            <w:vAlign w:val="bottom"/>
            <w:gridSpan w:val="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520" w:type="dxa"/>
            <w:vAlign w:val="bottom"/>
            <w:gridSpan w:val="4"/>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Part II: OTHER INFORMATION</w:t>
              </w:r>
            </w:hyperlink>
          </w:p>
        </w:tc>
        <w:tc>
          <w:tcPr>
            <w:tcW w:w="7600" w:type="dxa"/>
            <w:vAlign w:val="bottom"/>
            <w:gridSpan w:val="1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Item 1.</w:t>
              </w:r>
            </w:hyperlink>
          </w:p>
        </w:tc>
        <w:tc>
          <w:tcPr>
            <w:tcW w:w="1360" w:type="dxa"/>
            <w:vAlign w:val="bottom"/>
            <w:gridSpan w:val="3"/>
          </w:tcPr>
          <w:p>
            <w:pPr>
              <w:ind w:left="20"/>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Legal Proceedings</w:t>
              </w:r>
            </w:hyperlink>
          </w:p>
        </w:tc>
        <w:tc>
          <w:tcPr>
            <w:tcW w:w="7940" w:type="dxa"/>
            <w:vAlign w:val="bottom"/>
            <w:gridSpan w:val="13"/>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Item 2.</w:t>
              </w:r>
            </w:hyperlink>
          </w:p>
        </w:tc>
        <w:tc>
          <w:tcPr>
            <w:tcW w:w="4380" w:type="dxa"/>
            <w:vAlign w:val="bottom"/>
            <w:gridSpan w:val="10"/>
          </w:tcPr>
          <w:p>
            <w:pPr>
              <w:ind w:lef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492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Item 6.</w:t>
              </w:r>
            </w:hyperlink>
          </w:p>
        </w:tc>
        <w:tc>
          <w:tcPr>
            <w:tcW w:w="4380" w:type="dxa"/>
            <w:vAlign w:val="bottom"/>
            <w:gridSpan w:val="10"/>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492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82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Fixed maturity securities available for sale, at fair value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Assets held for sale - see Note J</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844.2</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Equity securities, at fair value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1,453.0</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ind w:left="470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current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Notes payable, current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held for sale - see Note J</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8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 term</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G</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820" w:type="dxa"/>
            <w:vAlign w:val="bottom"/>
          </w:tcPr>
          <w:p>
            <w:pPr>
              <w:ind w:left="140"/>
              <w:spacing w:after="0" w:line="166" w:lineRule="exact"/>
              <w:rPr>
                <w:sz w:val="20"/>
                <w:szCs w:val="20"/>
                <w:color w:val="auto"/>
              </w:rPr>
            </w:pPr>
            <w:r>
              <w:rPr>
                <w:rFonts w:ascii="Arial" w:cs="Arial" w:eastAsia="Arial" w:hAnsi="Arial"/>
                <w:sz w:val="16"/>
                <w:szCs w:val="16"/>
                <w:color w:val="auto"/>
                <w:w w:val="91"/>
              </w:rPr>
              <w:t>Cannae common stock, 0.0001 par value; authorized 115,000,000 shares as of March 31, 2021 and December 31, 2020; outstanding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line="162" w:lineRule="exact"/>
              <w:rPr>
                <w:sz w:val="20"/>
                <w:szCs w:val="20"/>
                <w:color w:val="auto"/>
              </w:rPr>
            </w:pPr>
            <w:r>
              <w:rPr>
                <w:rFonts w:ascii="Arial" w:cs="Arial" w:eastAsia="Arial" w:hAnsi="Arial"/>
                <w:sz w:val="16"/>
                <w:szCs w:val="16"/>
                <w:color w:val="auto"/>
                <w:w w:val="95"/>
              </w:rPr>
              <w:t>of 91,655,025 and 91,651,257 shares as of March 31, 2021 and December 31, 2020, respectively, and issued of 92,395,733 and</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92,391,965 shares as of March 31, 2021 and December 31, 2020, respectively</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Preferred stock, 0.0001 par value; authorized 10,000,000 shares; issued and outstanding, none as of March 31, 2021 and</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w:t>
            </w: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1,929.8</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1,875.8</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Less: Treasury stock, 740,708 shares as of March 31, 2021 and December 31, 2020, respectively, at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6"/>
        </w:trPr>
        <w:tc>
          <w:tcPr>
            <w:tcW w:w="8820" w:type="dxa"/>
            <w:vAlign w:val="bottom"/>
          </w:tcPr>
          <w:p>
            <w:pPr>
              <w:ind w:left="360"/>
              <w:spacing w:after="0"/>
              <w:rPr>
                <w:sz w:val="20"/>
                <w:szCs w:val="20"/>
                <w:color w:val="auto"/>
              </w:rPr>
            </w:pPr>
            <w:r>
              <w:rPr>
                <w:rFonts w:ascii="Arial" w:cs="Arial" w:eastAsia="Arial" w:hAnsi="Arial"/>
                <w:sz w:val="16"/>
                <w:szCs w:val="16"/>
                <w:color w:val="auto"/>
              </w:rPr>
              <w:t>Total Cannae shareholders' equity</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3,779.6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87"/>
        </w:trPr>
        <w:tc>
          <w:tcPr>
            <w:tcW w:w="8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76"/>
        </w:trPr>
        <w:tc>
          <w:tcPr>
            <w:tcW w:w="8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7"/>
        </w:trPr>
        <w:tc>
          <w:tcPr>
            <w:tcW w:w="882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173.0</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3"/>
        </w:trPr>
        <w:tc>
          <w:tcPr>
            <w:tcW w:w="8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3"/>
        </w:trPr>
        <w:tc>
          <w:tcPr>
            <w:tcW w:w="882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88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07"/>
        </w:trPr>
        <w:tc>
          <w:tcPr>
            <w:tcW w:w="88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19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 income</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913.5</w:t>
            </w:r>
          </w:p>
        </w:tc>
        <w:tc>
          <w:tcPr>
            <w:tcW w:w="0" w:type="dxa"/>
            <w:vAlign w:val="bottom"/>
          </w:tcPr>
          <w:p>
            <w:pPr>
              <w:spacing w:after="0"/>
              <w:rPr>
                <w:sz w:val="1"/>
                <w:szCs w:val="1"/>
                <w:color w:val="auto"/>
              </w:rPr>
            </w:pPr>
          </w:p>
        </w:tc>
      </w:tr>
      <w:tr>
        <w:trPr>
          <w:trHeight w:val="207"/>
        </w:trPr>
        <w:tc>
          <w:tcPr>
            <w:tcW w:w="8820" w:type="dxa"/>
            <w:vAlign w:val="bottom"/>
          </w:tcPr>
          <w:p>
            <w:pPr>
              <w:ind w:left="20"/>
              <w:spacing w:after="0"/>
              <w:rPr>
                <w:sz w:val="20"/>
                <w:szCs w:val="20"/>
                <w:color w:val="auto"/>
              </w:rPr>
            </w:pPr>
            <w:r>
              <w:rPr>
                <w:rFonts w:ascii="Arial" w:cs="Arial" w:eastAsia="Arial" w:hAnsi="Arial"/>
                <w:sz w:val="16"/>
                <w:szCs w:val="16"/>
                <w:color w:val="auto"/>
              </w:rPr>
              <w:t>(Loss) earnings before income taxes and equity in earnings (losses) of unconsolidated affiliates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860.2</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07"/>
        </w:trPr>
        <w:tc>
          <w:tcPr>
            <w:tcW w:w="8820" w:type="dxa"/>
            <w:vAlign w:val="bottom"/>
          </w:tcPr>
          <w:p>
            <w:pPr>
              <w:ind w:left="20"/>
              <w:spacing w:after="0"/>
              <w:rPr>
                <w:sz w:val="20"/>
                <w:szCs w:val="20"/>
                <w:color w:val="auto"/>
              </w:rPr>
            </w:pPr>
            <w:r>
              <w:rPr>
                <w:rFonts w:ascii="Arial" w:cs="Arial" w:eastAsia="Arial" w:hAnsi="Arial"/>
                <w:sz w:val="16"/>
                <w:szCs w:val="16"/>
                <w:color w:val="auto"/>
              </w:rPr>
              <w:t>(Loss) earnings before equity in earnings (losses) of unconsolidated affiliates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690.8</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6"/>
        </w:trPr>
        <w:tc>
          <w:tcPr>
            <w:tcW w:w="882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3"/>
        </w:trPr>
        <w:tc>
          <w:tcPr>
            <w:tcW w:w="8820" w:type="dxa"/>
            <w:vAlign w:val="bottom"/>
          </w:tcPr>
          <w:p>
            <w:pPr>
              <w:ind w:left="20"/>
              <w:spacing w:after="0" w:line="183" w:lineRule="exact"/>
              <w:rPr>
                <w:sz w:val="20"/>
                <w:szCs w:val="20"/>
                <w:color w:val="auto"/>
              </w:rPr>
            </w:pPr>
            <w:r>
              <w:rPr>
                <w:rFonts w:ascii="Arial" w:cs="Arial" w:eastAsia="Arial" w:hAnsi="Arial"/>
                <w:sz w:val="16"/>
                <w:szCs w:val="16"/>
                <w:color w:val="auto"/>
              </w:rPr>
              <w:t>Net (loss) earnings attributable to Cannae Holdings, Inc. common shareholders</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647.7</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2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3680"/>
              <w:spacing w:after="0"/>
              <w:rPr>
                <w:sz w:val="20"/>
                <w:szCs w:val="20"/>
                <w:color w:val="auto"/>
              </w:rPr>
            </w:pPr>
            <w:r>
              <w:rPr>
                <w:rFonts w:ascii="Arial" w:cs="Arial" w:eastAsia="Arial" w:hAnsi="Arial"/>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8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0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(LOSS) EARNINGS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54"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100" w:type="dxa"/>
            <w:vAlign w:val="bottom"/>
            <w:shd w:val="clear" w:color="auto" w:fill="CCEEFF"/>
          </w:tcPr>
          <w:p>
            <w:pPr>
              <w:spacing w:after="0"/>
              <w:rPr>
                <w:sz w:val="18"/>
                <w:szCs w:val="18"/>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Other comprehensive (loss) earnings, net of tax:</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Unrealized gain on investments and other financial instruments, net (excluding investments in unconsolidated affiliates) (1)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Unrealized losses of investments in unconsolidated affiliates (2)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Reclassification adjustments for unrealized gains and losses of unconsolidated affiliates, net of tax, included in net earnings (3)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r>
      <w:tr>
        <w:trPr>
          <w:trHeight w:val="20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earnings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17"/>
                <w:szCs w:val="17"/>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earnings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w:t>
            </w:r>
          </w:p>
        </w:tc>
        <w:tc>
          <w:tcPr>
            <w:tcW w:w="100" w:type="dxa"/>
            <w:vAlign w:val="bottom"/>
            <w:shd w:val="clear" w:color="auto" w:fill="CCEEFF"/>
          </w:tcPr>
          <w:p>
            <w:pPr>
              <w:spacing w:after="0"/>
              <w:rPr>
                <w:sz w:val="18"/>
                <w:szCs w:val="18"/>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loss attributable to noncontrolling interests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earnings attributable to Cannae Holdings, Inc. common shareholders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of income tax expense of $0.1 million and $1.4 million for the three months ended March 31, 2021 and 2020,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of income tax benefit of $1.2 million and $1.0 million for the three months ended March 31, 2021 and 2020,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of income tax expense of $0.1 million and $11.8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Other comprehensive earnings — unrealized gain on investments and other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Reclassification adjustments for unrealized gains and losses on investments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8"/>
              </w:rPr>
              <w:t>and other financial instruments, net of tax, (excluding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89"/>
              </w:rPr>
              <w:t>Restaurant Group reorganization and deconsolidation of Legendary Baking</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VIBSQ</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Sale of noncontrolling interest in consolidated subsidiary</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Contribution of CSA services from FNF</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March 31,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52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1,929.8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25"/>
        </w:trPr>
        <w:tc>
          <w:tcPr>
            <w:tcW w:w="402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w w:val="88"/>
              </w:rPr>
              <w:t>Other comprehensive earnings — unrealized gain on investments and other</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0"/>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 included in net loss</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March 31,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3,550.3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78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4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5"/>
        </w:trPr>
        <w:tc>
          <w:tcPr>
            <w:tcW w:w="8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Net (loss) earnings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(233.8)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638.1</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earnings to net cash used in operating activities: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92"/>
        </w:trPr>
        <w:tc>
          <w:tcPr>
            <w:tcW w:w="84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r>
      <w:tr>
        <w:trPr>
          <w:trHeight w:val="186"/>
        </w:trPr>
        <w:tc>
          <w:tcPr>
            <w:tcW w:w="846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92"/>
        </w:trPr>
        <w:tc>
          <w:tcPr>
            <w:tcW w:w="84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Recognized gains and losses and asset impairments, net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(902.0)</w:t>
            </w:r>
          </w:p>
        </w:tc>
      </w:tr>
      <w:tr>
        <w:trPr>
          <w:trHeight w:val="186"/>
        </w:trPr>
        <w:tc>
          <w:tcPr>
            <w:tcW w:w="846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92"/>
        </w:trPr>
        <w:tc>
          <w:tcPr>
            <w:tcW w:w="84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decrease in trade receivables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6"/>
        </w:trPr>
        <w:tc>
          <w:tcPr>
            <w:tcW w:w="8460" w:type="dxa"/>
            <w:vAlign w:val="bottom"/>
          </w:tcPr>
          <w:p>
            <w:pPr>
              <w:ind w:left="520"/>
              <w:spacing w:after="0"/>
              <w:rPr>
                <w:sz w:val="20"/>
                <w:szCs w:val="20"/>
                <w:color w:val="auto"/>
              </w:rPr>
            </w:pPr>
            <w:r>
              <w:rPr>
                <w:rFonts w:ascii="Arial" w:cs="Arial" w:eastAsia="Arial" w:hAnsi="Arial"/>
                <w:sz w:val="14"/>
                <w:szCs w:val="14"/>
                <w:color w:val="auto"/>
              </w:rPr>
              <w:t>Net decrease (increase) in other assets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92"/>
        </w:trPr>
        <w:tc>
          <w:tcPr>
            <w:tcW w:w="8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decrease in lease liabilities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86"/>
        </w:trPr>
        <w:tc>
          <w:tcPr>
            <w:tcW w:w="8460" w:type="dxa"/>
            <w:vAlign w:val="bottom"/>
          </w:tcPr>
          <w:p>
            <w:pPr>
              <w:ind w:left="520"/>
              <w:spacing w:after="0"/>
              <w:rPr>
                <w:sz w:val="20"/>
                <w:szCs w:val="20"/>
                <w:color w:val="auto"/>
              </w:rPr>
            </w:pPr>
            <w:r>
              <w:rPr>
                <w:rFonts w:ascii="Arial" w:cs="Arial" w:eastAsia="Arial" w:hAnsi="Arial"/>
                <w:sz w:val="14"/>
                <w:szCs w:val="14"/>
                <w:color w:val="auto"/>
              </w:rPr>
              <w:t>Net (decrease) increase in accounts payable, accrued liabilities, deferred revenue and other liabilities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8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income taxes</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r>
      <w:tr>
        <w:trPr>
          <w:trHeight w:val="17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r>
      <w:tr>
        <w:trPr>
          <w:trHeight w:val="186"/>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Proceeds from sale of investment securities and investments in unconsolidated affiliates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Ceridian shares</w:t>
            </w: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Collections of notes receivable</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Additions to notes receivable</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Investments in Paysafe, net of subscription fees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(494.4)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warrants of Austerlitz II</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(226.2)</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deconsolidated through the Blue Ribbon Reorganization</w:t>
            </w: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sales and maturities of short-term investment securities</w:t>
            </w: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8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(282.8)</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r>
      <w:tr>
        <w:trPr>
          <w:trHeight w:val="186"/>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8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Treasury stock repurchases</w:t>
            </w:r>
          </w:p>
        </w:tc>
        <w:tc>
          <w:tcPr>
            <w:tcW w:w="86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86"/>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86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r>
      <w:tr>
        <w:trPr>
          <w:trHeight w:val="179"/>
        </w:trPr>
        <w:tc>
          <w:tcPr>
            <w:tcW w:w="846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(280.9)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(89.4)</w:t>
            </w:r>
          </w:p>
        </w:tc>
      </w:tr>
      <w:tr>
        <w:trPr>
          <w:trHeight w:val="192"/>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of LB and VIBSQ classified as held for sale - see Note J</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w:t>
            </w:r>
          </w:p>
        </w:tc>
      </w:tr>
      <w:tr>
        <w:trPr>
          <w:trHeight w:val="21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March 31, 2021 include our minority ownership interests in Dun &amp; Bradstreet Holdings, Inc. ("Dun &amp; Bradstreet" or "D&amp;B"), Ceridian HCM Holding, Inc. ("Ceridian"), Paysafe Limited ("Paysafe"), Optimal Blue Holdco, LLC ("Optimal Blue"), AmeriLife Group, LLC ("AmeriLife") and QOMPLX, Inc. ("QOMPLX"); majority equity ownership stakes in O'Charley's Holdings, LLC ("O'Charley's") and 99 Restaurants Holdings, LLC ("99 Restaurants"); and various other controlled portfolio companies and minority equity and debt investments.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H for further discussion of the businesses comprising our reportable segments.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Trasimene Capital Management, LLC (“Trasimene” or our “Manager”).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2020.</w:t>
      </w:r>
    </w:p>
    <w:p>
      <w:pPr>
        <w:spacing w:after="0" w:line="5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All intercompany profits, transactions and balances have been eliminated. Our investments in non-majority-owned partnerships and affiliates are accounted for using the equity method. Earnings attributable to noncontrolling interests are recorded on the Condensed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(Note C). Actual results may differ from estimates.</w:t>
      </w:r>
    </w:p>
    <w:p>
      <w:pPr>
        <w:spacing w:after="0" w:line="79"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152" w:lineRule="exact"/>
        <w:rPr>
          <w:sz w:val="20"/>
          <w:szCs w:val="20"/>
          <w:color w:val="auto"/>
        </w:rPr>
      </w:pPr>
    </w:p>
    <w:p>
      <w:pPr>
        <w:jc w:val="right"/>
        <w:ind w:right="9620"/>
        <w:spacing w:after="0"/>
        <w:rPr>
          <w:sz w:val="20"/>
          <w:szCs w:val="20"/>
          <w:color w:val="auto"/>
        </w:rPr>
      </w:pPr>
      <w:r>
        <w:rPr>
          <w:rFonts w:ascii="Arial" w:cs="Arial" w:eastAsia="Arial" w:hAnsi="Arial"/>
          <w:sz w:val="18"/>
          <w:szCs w:val="18"/>
          <w:i w:val="1"/>
          <w:iCs w:val="1"/>
          <w:color w:val="auto"/>
        </w:rPr>
        <w:t>Dun &amp; Bradstreet</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8, 2021, D&amp;B completed its acquisition of Bisnode Business Information Group AB (the "Bisnode Acquisition"). In connection with the Bisnode Acquisition, D&amp;B issued an additional 6.2 million shares of its common stock, which resulted in a decrease in our ownership interest in D&amp;B from approximately 18.1% to approximately 17.7%.</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Alight</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On January 25, 2021, Foley Trasimene Acquisition Corp. ("FTAC") entered into a business combination agreement with Alight Solutions ("Alight"), a leading cloud-based provider of integrated digital human capital and business solutions (the "FTAC Alight Business Combination"). Under the terms of the FTAC Alight Business Combination, FTAC will combine with Alight and Alight will become a publicly traded entity under the name “Alight, Inc.” and symbol ALIT. The FTAC Alight Business Combination will be funded with the cash held in trust at FTAC, forward purchase commitments, private investment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public equity (“PIPE”) commitments and equity of Alight. Completion of the FTAC Alight Business Combination is subject to approval by FTAC stockholders, the effectiveness of a registration statement to be filed with the SEC in connection with the transaction, and other customary closing conditions of SPAC business combinations, including the receipt of certain regulatory approvals. The FTAC Alight Business Combination is expected to close in the second quarter of 2021.</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On January 25, 2021, Cannae entered into an agreement to purchase 25,000,000 shares of Alight for $250.0 million as part of a subscription to the PIPE (the "Alight Subscription Agreement"). Upon consummation of the FTAC Alight Business Combination, our aggregate investment in Alight is expected to be $404.5 million, inclusive of Cannae's $150.0 million investment commitment under a forward purchase agreement with FTAC (the "FTAC FPA"), the Alight Subscription Agreement and our previous $4.5 million investment in the sponsor of FTAC, and we expect to receive 44,639,500 shares of common stock of Alight which represents approximately 8.3% of the pro forma outstanding common equity of Alight and 8,026,666 warrants to purchase one share of Alight common stock at $11.50 per share. Alight has agreed to pay us a placement fee of $6.3 million as consideration for our subscription.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Paysafe</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30, 2021, Foley Trasimene Acquisition Corp. II ("FTAC II") completed its previously announced merger with Paysafe Limited ("Paysafe"), a leading integrated payments platform (the "FTAC II Paysafe Merger"), in accordance with the agreement and plan of merger dated December 7, 2020. The newly combined company operates as Paysafe and is traded on the New York Stock Exchange ("NYSE") under the symbol PSFE. The FTAC II Paysafe Merger was funded with the cash held in trust at FTAC II, forward purchase commitments, PIPE commitments and equity of Paysafe.</w:t>
      </w:r>
    </w:p>
    <w:p>
      <w:pPr>
        <w:spacing w:after="0" w:line="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conjunction with the FTAC II Paysafe Merger, Cannae funded its previously announced investments in Paysafe of (a) $350 million as part of our subscription to the PIPE and (b) $150 million as part of our forward purchase agreement with FTAC II entered into on July 31, 2020. For Cannae’s total investment in Paysafe of $504.7 million, Cannae received 54,294,395 common shares and 8,134,067 warrants of Paysafe (the "Paysafe Warrants"). As of March 31, 2021, Cannae, directly and indirectly through our 15% interest in the sponsor of FTAC II, holds approximately 54 million shares or 7.5% of the outstanding common equity of Paysafe. In connection with the investment in the PIPE, Paysafe paid Cannae a fee of $5.6 million as described in the agreement and plan of merger dated December 7, 2020 which was deducted from the basis of our investment.</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our investment in common equity of Paysafe as an equity method investment and the Paysafe Warrants as a derivative instrument. See Note C and D for further discussion of our accounting for our investment in common equity of Paysafe. The Paysafe Warrants are included in Other long-term investments and non-current assets on our Condensed Consolidated Balance Sheet as of March 31, 2021.</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On February 25, 2021, we entered into a forward purchase agreement (the "Austerlitz I FPA") with Austerlitz Acquisition Corp. I (“Austerlitz I”), a special purpose acquisition company ("SPAC") whose business purpose is to effect a merger, capital stock exchange, asset acquisition, stock purchase, reorganization or similar business combination with one or more businesses or entities (the "Austerlitz I Initial Business Combination"). Austerlitz is co-sponsored by entities affiliated with William P. Foley II. Under the Austerlitz I FPA, we will purchase an aggregate of 5,000,000 shares of Austerlitz I’s Class A common stock, plus an aggregate of 1,250,000 redeemable warrants to purchase one share of Austerlitz I's Class A common stock at $11.50 per share for an aggregate purchase price of $50.0 million in a private placement to occur concurrently with the closing of the Austerlitz I Initial Business Combination. Additionally, Cannae invested $1.6 million in the sponsor of Austerlitz I for a 10% indirect economic interest in the founder shares and warrants held by the sponsor. The Austerlitz I FPA is contingent upon the closing of the Austerlitz I Initial Business Combination.</w:t>
      </w:r>
    </w:p>
    <w:p>
      <w:pPr>
        <w:spacing w:after="0" w:line="6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On February 25, 2021, we entered into a forward purchase agreement (the "Austerlitz II FPA") with Austerlitz Acquisition Corp. II (“Austerlitz II”), a SPAC whose business purpose is to effect a merger, capital stock exchange, asset acquisition, stock purchase, reorganization or similar business combination with one or more businesses or entities (the "Austerlitz II Initial Business Combination"). Austerlitz II is co-sponsored by entities affiliated with the chairman of our Board of Directors ("Board"), William P. Foley II. Under the Austerlitz II FPA, we will purchase an aggregate of 12,500,000 shares of Austerlitz II’s Class A common stock, plus an aggregate of 3,125,000 redeemable warrants to purchase one share of Austerlitz II's Class A common stock at $11.50 per share for an aggregate purchase price of $125.0 million in a private placement to occur concurrently with the closing of the Austerlitz II Initial Business Combination. Additionally, Cannae directly invested $29.6 million for a 20% indirect economic interest in the founder shares held by the sponsor and a direct interest in 19,733,333 private placement warrants of Austerlitz II (the "Austerlitz II Warrants") at the initial public offering. The Austerlitz II FPA is contingent upon the closing of the Austerlitz II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C and E for further discussion of our accounting for the Forward Purchase Agreements (as defined in Note C) and the Austerlitz II Warrants.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QOMPLX</w:t>
      </w:r>
    </w:p>
    <w:p>
      <w:pPr>
        <w:spacing w:after="0" w:line="104"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March 1, 2021, Tailwind Acquisition Corp. ("Tailwind") entered into a business combination agreement to merge with QOMPLX (the "Tailwind QOMPLX Merger"). Completion of the Tailwind QOMPLX Merger is expected to occur in mid-2021, subject to approval by Tailwind’s stockholders and the satisfaction or waiver of other customary closing conditions identified in the business combination agreement entered into by QOMPLX and Tailwind Acquisition Corp.</w:t>
      </w:r>
    </w:p>
    <w:p>
      <w:pPr>
        <w:spacing w:after="0" w:line="8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conjunction with the Tailwind QOMPLX Merger, Cannae entered into an agreement to purchase 4.6 million shares of common stock of the combined company for $37.5 million as part of a subscription to the PIPE (the "Tailwind Subscription Agreement" and together with the Alight Subscription Agreement, the "Subscription Agreements"). Additionally, Cannae funded a convertible note for $12.5 million, of which the principal and accrued interest thereon will convert into common shares of the combined company upon consummation of the Tailwind QOMPLX Merger. Upon consummation of the Tailwind QOMPLX Merger, our aggregate investment in QOMPLX is expected to be $80.0 million, inclusive of Cannae's historical investment in preferred equity of QOMPLX, and we expect to receive approximately 23.7 million shares of common stock of QOMPLX which is expected to represent an approximate 16% ownership interest in QOMPLX.</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C for further discussion of our accounting for the Tailwind Subscription Agreement.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we received preliminary, non-binding letters of intent to sell materially all of the assets and liabilities of Legendary Baking Holdings I,</w:t>
      </w:r>
    </w:p>
    <w:p>
      <w:pPr>
        <w:spacing w:after="0" w:line="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LLC ("Legendary Baking") and VIBSQ Holdco, LLC ("VIBSQ") and their subsidiaries (the "LOIs")</w:t>
      </w:r>
      <w:r>
        <w:rPr>
          <w:rFonts w:ascii="Arial" w:cs="Arial" w:eastAsia="Arial" w:hAnsi="Arial"/>
          <w:sz w:val="20"/>
          <w:szCs w:val="20"/>
          <w:color w:val="auto"/>
        </w:rPr>
        <w:t>.</w:t>
      </w:r>
      <w:r>
        <w:rPr>
          <w:rFonts w:ascii="Arial" w:cs="Arial" w:eastAsia="Arial" w:hAnsi="Arial"/>
          <w:sz w:val="17"/>
          <w:szCs w:val="17"/>
          <w:color w:val="auto"/>
        </w:rPr>
        <w:t xml:space="preserve"> We currently own 100% of Legendary Baking and VIBSQ. The transactions contemplated by the LOIs are subject to the completion of due diligence by the buyers, receipt of regulatory approvals and other customary conditions. We expect to consummate the sale of Legendary Baking and VIBSQ in fiscal year 2021.</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J for further discussion.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 2021, we announced that our Board authorized a three-year stock repurchase program, effective February 26, 2021,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31, 2021, we closed on a $32.0 million investment in Sightline Payments LLC ("Sightline"), a fintech company that enables cashless, mobile and omni-channel payment solutions for the gaming, lottery, sports betting, entertainment and hospitality businesses. The investment represents 5.1% of the current outstanding membership interests in Sightline and is accounted for as an equity method investment. See Note C for further discussion of the Company's accounting for investments in unconsolidated affiliates.</w:t>
      </w:r>
    </w:p>
    <w:p>
      <w:pPr>
        <w:spacing w:after="0" w:line="7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During the three months ended March 31, 2021, we received distributions of $280.6 million from our joint venture (the "Senator JV") with affiliates of Senator Investment Group, LP. We have no further material ownership interest in the Senator JV.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three months ended March 31, 2021 and 2020, we incurred $7.6 million and $4.2 million, respectively, of management fee expenses payable to our Manager, and in the three months ended March 31, 2021, we incurred $17.1 million of carried interest expense related to monetizations of the Company's investments which are recorded in Other operating expenses on our Condensed Consolidated Statement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months ended March 31, 2021 and 2020, there were no antidilutive shares of restricted stock outstanding which were excluded from the calculation of diluted earnings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effective tax rate was 17.7% and 19.7% in the three months ended March 31, 2021 and 2020, respectively. The decrease in the effective tax rate in the three-month period ended March 31, 2021 compared to the same period in 2020 was primarily attributable to the increased impact of equity in earnings of unconsolidated affiliates on pretax losses in the three months ended March 31, 2021 compared to the impact of equity in losses of unconsolidated affiliates on pretax earnings in the same period in 2020.</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Deferred tax liability of $244.8 million as of March 31, 2021 and of $325.3 million as of December 31, 2020. The $80.5 million change in deferred taxes in the three months ended March 31, 2021 is primarily attributable to the tax impact of the fair value markdowns in Ceridian and the Forward Purchase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Restaurant Group is required to hold cash collateralizing its outstanding letters of credit. Included in Cash and cash equivalents on our Condensed Consolidated Balance Sheets as of March 31, 2021 and December 31, 2020 is $12.5 million of such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13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86"/>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r>
      <w:tr>
        <w:trPr>
          <w:trHeight w:val="184"/>
        </w:trPr>
        <w:tc>
          <w:tcPr>
            <w:tcW w:w="616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Revenue Stream</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Total Revenue</w:t>
            </w:r>
          </w:p>
        </w:tc>
        <w:tc>
          <w:tcPr>
            <w:tcW w:w="860" w:type="dxa"/>
            <w:vAlign w:val="bottom"/>
            <w:tcBorders>
              <w:bottom w:val="single" w:sz="8" w:color="auto"/>
            </w:tcBorders>
          </w:tcPr>
          <w:p>
            <w:pPr>
              <w:spacing w:after="0"/>
              <w:rPr>
                <w:sz w:val="15"/>
                <w:szCs w:val="15"/>
                <w:color w:val="auto"/>
              </w:rPr>
            </w:pPr>
          </w:p>
        </w:tc>
      </w:tr>
      <w:tr>
        <w:trPr>
          <w:trHeight w:val="208"/>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8"/>
                <w:szCs w:val="18"/>
                <w:color w:val="auto"/>
              </w:rPr>
            </w:pPr>
          </w:p>
        </w:tc>
      </w:tr>
      <w:tr>
        <w:trPr>
          <w:trHeight w:val="219"/>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Restaurant sales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158.1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r>
      <w:tr>
        <w:trPr>
          <w:trHeight w:val="213"/>
        </w:trPr>
        <w:tc>
          <w:tcPr>
            <w:tcW w:w="6260" w:type="dxa"/>
            <w:vAlign w:val="bottom"/>
            <w:gridSpan w:val="2"/>
          </w:tcPr>
          <w:p>
            <w:pPr>
              <w:ind w:left="140"/>
              <w:spacing w:after="0"/>
              <w:rPr>
                <w:sz w:val="20"/>
                <w:szCs w:val="20"/>
                <w:color w:val="auto"/>
              </w:rPr>
            </w:pPr>
            <w:r>
              <w:rPr>
                <w:rFonts w:ascii="Arial" w:cs="Arial" w:eastAsia="Arial" w:hAnsi="Arial"/>
                <w:sz w:val="16"/>
                <w:szCs w:val="16"/>
                <w:color w:val="auto"/>
              </w:rPr>
              <w:t>Bakery sales</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8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and other</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6"/>
        </w:trPr>
        <w:tc>
          <w:tcPr>
            <w:tcW w:w="626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167.3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169.9</w:t>
            </w:r>
          </w:p>
        </w:tc>
      </w:tr>
      <w:tr>
        <w:trPr>
          <w:trHeight w:val="21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6260" w:type="dxa"/>
            <w:vAlign w:val="bottom"/>
            <w:gridSpan w:val="2"/>
          </w:tcPr>
          <w:p>
            <w:pPr>
              <w:ind w:left="140"/>
              <w:spacing w:after="0"/>
              <w:rPr>
                <w:sz w:val="20"/>
                <w:szCs w:val="20"/>
                <w:color w:val="auto"/>
              </w:rPr>
            </w:pPr>
            <w:r>
              <w:rPr>
                <w:rFonts w:ascii="Arial" w:cs="Arial" w:eastAsia="Arial" w:hAnsi="Arial"/>
                <w:sz w:val="16"/>
                <w:szCs w:val="16"/>
                <w:color w:val="auto"/>
              </w:rPr>
              <w:t>Real estate and resort</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8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6"/>
        </w:trPr>
        <w:tc>
          <w:tcPr>
            <w:tcW w:w="6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8"/>
        </w:trPr>
        <w:tc>
          <w:tcPr>
            <w:tcW w:w="6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operating revenues</w:t>
            </w: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171.9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01"/>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187"/>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Deferred revenue (contract liabilities)</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r>
    </w:tbl>
    <w:p>
      <w:pPr>
        <w:spacing w:after="0" w:line="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Condensed Consolidated Balance Sheets. Revenue of $4.1 million was recognized in the three months ended March 31, 2021 that was included in Deferred revenue at the beginning of the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March 31, 2021 and December 31, 2020,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83"/>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r>
      <w:tr>
        <w:trPr>
          <w:trHeight w:val="229"/>
        </w:trPr>
        <w:tc>
          <w:tcPr>
            <w:tcW w:w="6680" w:type="dxa"/>
            <w:vAlign w:val="bottom"/>
          </w:tcPr>
          <w:p>
            <w:pPr>
              <w:ind w:left="240"/>
              <w:spacing w:after="0"/>
              <w:rPr>
                <w:sz w:val="20"/>
                <w:szCs w:val="20"/>
                <w:color w:val="auto"/>
              </w:rPr>
            </w:pPr>
            <w:r>
              <w:rPr>
                <w:rFonts w:ascii="Arial" w:cs="Arial" w:eastAsia="Arial" w:hAnsi="Arial"/>
                <w:sz w:val="18"/>
                <w:szCs w:val="18"/>
                <w:color w:val="auto"/>
              </w:rPr>
              <w:t>Forward Purchase Agreements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Agreements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680" w:type="dxa"/>
            <w:vAlign w:val="bottom"/>
          </w:tcPr>
          <w:p>
            <w:pPr>
              <w:ind w:left="240"/>
              <w:spacing w:after="0"/>
              <w:rPr>
                <w:sz w:val="20"/>
                <w:szCs w:val="20"/>
                <w:color w:val="auto"/>
              </w:rPr>
            </w:pPr>
            <w:r>
              <w:rPr>
                <w:rFonts w:ascii="Arial" w:cs="Arial" w:eastAsia="Arial" w:hAnsi="Arial"/>
                <w:sz w:val="18"/>
                <w:szCs w:val="18"/>
                <w:color w:val="auto"/>
              </w:rPr>
              <w:t>Austerlitz II Warrants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1,232.3</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680" w:type="dxa"/>
            <w:vAlign w:val="bottom"/>
          </w:tcPr>
          <w:p>
            <w:pPr>
              <w:ind w:left="240"/>
              <w:spacing w:after="0"/>
              <w:rPr>
                <w:sz w:val="20"/>
                <w:szCs w:val="20"/>
                <w:color w:val="auto"/>
              </w:rPr>
            </w:pPr>
            <w:r>
              <w:rPr>
                <w:rFonts w:ascii="Arial" w:cs="Arial" w:eastAsia="Arial" w:hAnsi="Arial"/>
                <w:sz w:val="18"/>
                <w:szCs w:val="18"/>
                <w:color w:val="auto"/>
              </w:rPr>
              <w:t>Paysafe Warrants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48"/>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6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7"/>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83"/>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Purchase Agreements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Paysafe Subscription Agreement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6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Level 3 fair value measurement for our fixed maturity securities available for sale are provided by a single third-party pricing service. Depending on security specific characteristics, either an income or a contingent claims approach was utilized in determining fair value of our Level 3 fixed-maturity securities available for sale. Discount rates are the primary unobservable inputs utilized for the securities valued using an income approach. The discount rates used are based on company-specific risk premiums, public company comparable securities, and leveraged loan indices. The discount rates used in our determination of the fair value of our Level 3 fixed-maturity securities available for sale varies by security type and ranged from 7.0% to 17.5% as of March 31, 2021 and a weighted average based on relative fair value of the underlying securities of 12.1%. Based on the total fair value of our Level 3 fixed-maturity securities available for sale as of March 31, 2021, changes in the discount rate utilized will not result in a fair value significantly different than the amount recorded.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5, 2020, we entered into a forward purchase agreement (the "Trebia FPA" and together with the FTAC FPA, Austerlitz I FPA, and the Austerlitz II FPA, the "Forward Purchase Agreements") with Trebia Acquisition Corp. (“Trebia”), a SPAC incorporated as a Cayman Islands exempted company for the purpose of effecting a merger, share exchange, asset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 share purchase, reorganization or similar business combination with one or more businesses or entities (the "Trebia Initial Business Combination"). Trebia is co-sponsored by entities affiliated with the chairman and a member of our Board, William P. Foley II and Frank R. Martire, respectively. Under the Trebia FPA, we will purchase an aggregate of 7,500,000 Class A ordinary shares of Trebia, plus an aggregate of 2,500,000 redeemable warrants to purchase one Class A ordinary share of Trebia at $11.50 per share for an aggregate purchase price of $75.0 million in a private placement to occur concurrently with the closing of the Trebia Initial Business Combination. The forward purchase is contingent upon the closing of the Trebia Initial Business Combination.</w:t>
      </w:r>
    </w:p>
    <w:p>
      <w:pPr>
        <w:spacing w:after="0" w:line="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The Forward Purchase Agreements and the Subscription Agreements are accounted for at fair value pursuant to ASC Topic 321 </w:t>
      </w:r>
      <w:r>
        <w:rPr>
          <w:rFonts w:ascii="Arial" w:cs="Arial" w:eastAsia="Arial" w:hAnsi="Arial"/>
          <w:sz w:val="17"/>
          <w:szCs w:val="17"/>
          <w:i w:val="1"/>
          <w:iCs w:val="1"/>
          <w:color w:val="auto"/>
        </w:rPr>
        <w:t>Investment -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We utilized a Monte Carlo Simulation in determining the fair value of these agreements, which is considered to be a Level 3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The Monte Carlo Simulation model simulates the current security price to a simulated date for the consummation of the underlying initial business combination based on probabilities of consummation. The values of the agreements are then calculated as the difference between the future simulated price and the fixed purchase prices for the underlying securities to be purchased pursuant to the Forward Purchase Agreements and the Subscription Agreements. The primary unobservable input utilized in determining the fair value of the Forward Purchase Agreements and Subscription Agreements is the probability of consummation of the business combinations of each underlying transaction. The probabilities assigned to the consummation of the Austerlitz I Initial Business Combination, Austerlitz II Initial Business Combination, and the Trebia Initial Business Combination was 90% and the probability assigned to the consummation of the FTAC Alight Business Combination and the Tailwind QOMPLX Merger was 95%. Determination of such probabilities is based on a hybrid approach of both observed success rates of business combinations for SPACs and the sponsors of FTAC, Trebia, Austerlitz I, and Austerlitz II's track record for consummating similar transactions. The announced FTAC Alight Merger and Tailwind QOMPLX Merger were also considered in our determination of the probabilities. Based on the total fair value of the Forward Purchase Agreements and Subscription Agreements as of March 31, 2021, changes in the probabilities utilized will not result in a change in fair value that is significant or material to the Company's financial position or results of operations.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Austerlitz II Warrants are accounted for at fair value pursuant to ASC Topic 321. We utilized a modified Black-Scholes option pricing formula in determining the fair value of the Austerlitz II Warrants, which is considered to be a Level 3 fair value measurement. The value is calculated based on the common stock price of Austerlitz II at the date of announcement as that is the underlying security. The primary unobservable inputs utilized in determining the fair value of the warrants is the 90% probability of success assigned to the consummation of the Austerlitz II Initial Business Combination (further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months ended March 31, 2021 and 2020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gridSpan w:val="8"/>
            <w:vMerge w:val="restart"/>
          </w:tcPr>
          <w:p>
            <w:pPr>
              <w:ind w:left="720"/>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8"/>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Corporate debt</w:t>
            </w:r>
          </w:p>
        </w:tc>
        <w:tc>
          <w:tcPr>
            <w:tcW w:w="12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Forward Purchase</w:t>
            </w: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Subscription</w:t>
            </w: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Austerlitz II</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Corporate debt</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Agreements</w:t>
            </w: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Warrants</w:t>
            </w: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75"/>
        </w:trPr>
        <w:tc>
          <w:tcPr>
            <w:tcW w:w="3080" w:type="dxa"/>
            <w:vAlign w:val="bottom"/>
          </w:tcPr>
          <w:p>
            <w:pPr>
              <w:ind w:left="140"/>
              <w:spacing w:after="0" w:line="176" w:lineRule="exact"/>
              <w:rPr>
                <w:sz w:val="20"/>
                <w:szCs w:val="20"/>
                <w:color w:val="auto"/>
              </w:rPr>
            </w:pPr>
            <w:r>
              <w:rPr>
                <w:rFonts w:ascii="Arial" w:cs="Arial" w:eastAsia="Arial" w:hAnsi="Arial"/>
                <w:sz w:val="18"/>
                <w:szCs w:val="18"/>
                <w:color w:val="auto"/>
                <w:w w:val="97"/>
              </w:rPr>
              <w:t>Net valuation (loss) and gain included</w:t>
            </w:r>
          </w:p>
        </w:tc>
        <w:tc>
          <w:tcPr>
            <w:tcW w:w="120" w:type="dxa"/>
            <w:vAlign w:val="bottom"/>
          </w:tcPr>
          <w:p>
            <w:pPr>
              <w:spacing w:after="0"/>
              <w:rPr>
                <w:sz w:val="15"/>
                <w:szCs w:val="15"/>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in earnings (1)</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to equity method</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investment in Paysafe and Paysafe</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Purchase of Austerlitz II Warrants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valuation gain included in other</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(2)</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Condensed Consolidated Statements of Operations</w:t>
      </w:r>
    </w:p>
    <w:p>
      <w:pPr>
        <w:spacing w:after="0" w:line="9" w:lineRule="exact"/>
        <w:rPr>
          <w:rFonts w:ascii="Arial" w:cs="Arial" w:eastAsia="Arial" w:hAnsi="Arial"/>
          <w:sz w:val="18"/>
          <w:szCs w:val="18"/>
          <w:color w:val="auto"/>
        </w:rPr>
      </w:pPr>
    </w:p>
    <w:p>
      <w:pPr>
        <w:ind w:right="160" w:firstLine="8"/>
        <w:spacing w:after="0" w:line="26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Unrealized gain on investments and other financial instruments, net (excluding investments in unconsolidated affiliates) on the Condensed Consolidated Statements of Comprehensive (Loss) Earnings</w:t>
      </w:r>
    </w:p>
    <w:p>
      <w:pPr>
        <w:spacing w:after="0" w:line="1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There were no transfers between Level 2 and Level 3 in the three months ended March 31, 2021 and 2020.</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(Loss) Earnings for the three months ended March 31, 2021 and 2020 relate to fixed maturity securities considered Level 3 fair value measures.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F.</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Gains on equity securities included in Recognized gains and losses, net on the Condensed Consolidated Statements of Operations consisted of the following for the three months ended March 31, 2021 and 2020 (in millions):</w:t>
      </w:r>
    </w:p>
    <w:tbl>
      <w:tblPr>
        <w:tblLayout w:type="fixed"/>
        <w:tblInd w:w="40" w:type="dxa"/>
        <w:tblCellMar>
          <w:top w:w="0" w:type="dxa"/>
          <w:left w:w="0" w:type="dxa"/>
          <w:bottom w:w="0" w:type="dxa"/>
          <w:right w:w="0" w:type="dxa"/>
        </w:tblCellMar>
      </w:tblPr>
      <w:tr>
        <w:trPr>
          <w:trHeight w:val="144"/>
        </w:trPr>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2"/>
                <w:szCs w:val="12"/>
                <w:color w:val="auto"/>
              </w:rPr>
            </w:pPr>
          </w:p>
        </w:tc>
        <w:tc>
          <w:tcPr>
            <w:tcW w:w="1560" w:type="dxa"/>
            <w:vAlign w:val="bottom"/>
          </w:tcPr>
          <w:p>
            <w:pPr>
              <w:jc w:val="right"/>
              <w:ind w:right="117"/>
              <w:spacing w:after="0" w:line="145" w:lineRule="exact"/>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2021</w:t>
            </w:r>
          </w:p>
        </w:tc>
        <w:tc>
          <w:tcPr>
            <w:tcW w:w="160" w:type="dxa"/>
            <w:vAlign w:val="bottom"/>
          </w:tcPr>
          <w:p>
            <w:pPr>
              <w:spacing w:after="0"/>
              <w:rPr>
                <w:sz w:val="16"/>
                <w:szCs w:val="16"/>
                <w:color w:val="auto"/>
              </w:rPr>
            </w:pPr>
          </w:p>
        </w:tc>
        <w:tc>
          <w:tcPr>
            <w:tcW w:w="156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70"/>
        </w:trPr>
        <w:tc>
          <w:tcPr>
            <w:tcW w:w="7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gains recognized during the period on equity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Less: net gains recognized during the period on equity securities sold or transferred during the period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4"/>
              </w:rPr>
              <w:t>Unrealized (loss) and gains recognized during the reporting period on equity securities still held at the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reporting date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04"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Investments in unconsolidated affiliates recorded using the equity method of accounting as of March 31, 2021 and December 31, 2020 consisted of the following (in millions):</w:t>
      </w:r>
    </w:p>
    <w:tbl>
      <w:tblPr>
        <w:tblLayout w:type="fixed"/>
        <w:tblInd w:w="0" w:type="dxa"/>
        <w:tblCellMar>
          <w:top w:w="0" w:type="dxa"/>
          <w:left w:w="0" w:type="dxa"/>
          <w:bottom w:w="0" w:type="dxa"/>
          <w:right w:w="0" w:type="dxa"/>
        </w:tblCellMar>
      </w:tblPr>
      <w:tr>
        <w:trPr>
          <w:trHeight w:val="144"/>
        </w:trPr>
        <w:tc>
          <w:tcPr>
            <w:tcW w:w="4320" w:type="dxa"/>
            <w:vAlign w:val="bottom"/>
          </w:tcPr>
          <w:p>
            <w:pPr>
              <w:spacing w:after="0"/>
              <w:rPr>
                <w:sz w:val="12"/>
                <w:szCs w:val="12"/>
                <w:color w:val="auto"/>
              </w:rPr>
            </w:pPr>
          </w:p>
        </w:tc>
        <w:tc>
          <w:tcPr>
            <w:tcW w:w="4320" w:type="dxa"/>
            <w:vAlign w:val="bottom"/>
          </w:tcPr>
          <w:p>
            <w:pPr>
              <w:jc w:val="right"/>
              <w:ind w:right="335"/>
              <w:spacing w:after="0" w:line="145" w:lineRule="exact"/>
              <w:rPr>
                <w:sz w:val="20"/>
                <w:szCs w:val="20"/>
                <w:color w:val="auto"/>
              </w:rPr>
            </w:pPr>
            <w:r>
              <w:rPr>
                <w:rFonts w:ascii="Arial" w:cs="Arial" w:eastAsia="Arial" w:hAnsi="Arial"/>
                <w:sz w:val="14"/>
                <w:szCs w:val="14"/>
                <w:b w:val="1"/>
                <w:bCs w:val="1"/>
                <w:color w:val="auto"/>
              </w:rPr>
              <w:t>Ownership at</w:t>
            </w:r>
          </w:p>
        </w:tc>
        <w:tc>
          <w:tcPr>
            <w:tcW w:w="220" w:type="dxa"/>
            <w:vAlign w:val="bottom"/>
          </w:tcPr>
          <w:p>
            <w:pPr>
              <w:spacing w:after="0"/>
              <w:rPr>
                <w:sz w:val="12"/>
                <w:szCs w:val="12"/>
                <w:color w:val="auto"/>
              </w:rPr>
            </w:pPr>
          </w:p>
        </w:tc>
        <w:tc>
          <w:tcPr>
            <w:tcW w:w="112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080" w:type="dxa"/>
            <w:vAlign w:val="bottom"/>
          </w:tcPr>
          <w:p>
            <w:pPr>
              <w:jc w:val="right"/>
              <w:ind w:right="115"/>
              <w:spacing w:after="0" w:line="145"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43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jc w:val="right"/>
              <w:ind w:right="275"/>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4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17.7 %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Paysafe (1)</w:t>
            </w:r>
          </w:p>
        </w:tc>
        <w:tc>
          <w:tcPr>
            <w:tcW w:w="4320" w:type="dxa"/>
            <w:vAlign w:val="bottom"/>
          </w:tcPr>
          <w:p>
            <w:pPr>
              <w:jc w:val="right"/>
              <w:ind w:right="35"/>
              <w:spacing w:after="0"/>
              <w:rPr>
                <w:sz w:val="20"/>
                <w:szCs w:val="20"/>
                <w:color w:val="auto"/>
              </w:rPr>
            </w:pPr>
            <w:r>
              <w:rPr>
                <w:rFonts w:ascii="Arial" w:cs="Arial" w:eastAsia="Arial" w:hAnsi="Arial"/>
                <w:sz w:val="18"/>
                <w:szCs w:val="18"/>
                <w:color w:val="auto"/>
              </w:rPr>
              <w:t>6.9 %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4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20.0 %</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AmeriLife</w:t>
            </w:r>
          </w:p>
        </w:tc>
        <w:tc>
          <w:tcPr>
            <w:tcW w:w="4320" w:type="dxa"/>
            <w:vAlign w:val="bottom"/>
          </w:tcPr>
          <w:p>
            <w:pPr>
              <w:jc w:val="right"/>
              <w:ind w:right="35"/>
              <w:spacing w:after="0"/>
              <w:rPr>
                <w:sz w:val="20"/>
                <w:szCs w:val="20"/>
                <w:color w:val="auto"/>
              </w:rPr>
            </w:pPr>
            <w:r>
              <w:rPr>
                <w:rFonts w:ascii="Arial" w:cs="Arial" w:eastAsia="Arial" w:hAnsi="Arial"/>
                <w:sz w:val="18"/>
                <w:szCs w:val="18"/>
                <w:color w:val="auto"/>
              </w:rPr>
              <w:t>19.8 %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various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r>
      <w:tr>
        <w:trPr>
          <w:trHeight w:val="20"/>
        </w:trPr>
        <w:tc>
          <w:tcPr>
            <w:tcW w:w="4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80" w:firstLine="8"/>
        <w:spacing w:after="0" w:line="260"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Company's direct interest in Paysafe. The Company's 0.6% indirect interest in Paysafe held through the sponsor of FTAC II is presented in Other.</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 in (losses) earnings of unconsolidated affiliates for the three months ended March 31, 2021 and 2020 consisted of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75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31, 2021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31, 2020</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3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Senator JV</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18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for the three months ended March 31, 2020 represents the Company's equity in earnings of Ceridian in the three months ended March 31, 2020 prior to the change in accounting for the investment beginning March 31, 2020.</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quoted market prices, the aggregate value of our ownership of Dun &amp; Bradstreet common stock was $1.8 billion as of March 31, 2021.</w:t>
      </w:r>
    </w:p>
    <w:p>
      <w:pPr>
        <w:spacing w:after="0" w:line="1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2021, we hold less than 20% of the outstanding common equity of Dun &amp; Bradstreet but continue to account for our investment under the equity method because we continue to exert significant influence through our 17.7% ownership, because certain of our senior management and directors serve on D&amp;B's board of directors, and because we are party to an agreement with other of its equity sponsors, which collectively own greater than 50% of the outstanding voting equity of Dun &amp; Bradstreet, pursuant to which we have agreed to collectively vote together on all matters related to the election of directors to the Dun &amp; Bradstreet board of directors for a period of three years.</w:t>
      </w:r>
    </w:p>
    <w:p>
      <w:pPr>
        <w:spacing w:after="0" w:line="6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Effective January 1, 2021, D&amp;B made a change in accounting principle related to removal of lag accounting for its international operations which they believe to be preferable. The change in accounting policy was applied retrospectively by D&amp;B. The impact of this change in accounting principle did not have a material impact to our results of operations or financial condition and was applied to our current period accounting for our investment in D&amp;B.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Investments in unconsolidated affiliates and Equity in earnings (losses) of unconsolidated affiliates in our Consolidated Balance Sheets and Statements of Operations, respectively, is presented below. Financial information for the three months ended March 31, 2020 represents that of Star Parent, L.P. ("Star Parent"), the former parent of D&amp;B through which the Company was invested prior to D&amp;B's initial public offering in July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38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7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183"/>
        </w:trPr>
        <w:tc>
          <w:tcPr>
            <w:tcW w:w="7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8,475.9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7,672.7</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9,924.9</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828.1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3,583.9</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44"/>
        </w:trPr>
        <w:tc>
          <w:tcPr>
            <w:tcW w:w="7560" w:type="dxa"/>
            <w:vAlign w:val="bottom"/>
          </w:tcPr>
          <w:p>
            <w:pPr>
              <w:spacing w:after="0"/>
              <w:rPr>
                <w:sz w:val="21"/>
                <w:szCs w:val="21"/>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7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31, 2021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31, 2020</w:t>
            </w:r>
          </w:p>
        </w:tc>
      </w:tr>
      <w:tr>
        <w:trPr>
          <w:trHeight w:val="183"/>
        </w:trPr>
        <w:tc>
          <w:tcPr>
            <w:tcW w:w="7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 attributable to Dun &amp; Bradstreet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15, 2020, we closed on our $289.0 million investment in Optimal Blue. Summarized financial information for Optimal Blue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ind w:right="473"/>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r>
      <w:tr>
        <w:trPr>
          <w:trHeight w:val="183"/>
        </w:trPr>
        <w:tc>
          <w:tcPr>
            <w:tcW w:w="6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6"/>
          </w:tcPr>
          <w:p>
            <w:pPr>
              <w:jc w:val="right"/>
              <w:ind w:right="1460"/>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 w:type="dxa"/>
            <w:vAlign w:val="bottom"/>
            <w:shd w:val="clear" w:color="auto" w:fill="CCEEFF"/>
          </w:tcPr>
          <w:p>
            <w:pPr>
              <w:spacing w:after="0"/>
              <w:rPr>
                <w:sz w:val="20"/>
                <w:szCs w:val="20"/>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1,831.3</w:t>
            </w:r>
          </w:p>
        </w:tc>
        <w:tc>
          <w:tcPr>
            <w:tcW w:w="4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c>
          <w:tcPr>
            <w:tcW w:w="40" w:type="dxa"/>
            <w:vAlign w:val="bottom"/>
            <w:tcBorders>
              <w:bottom w:val="single" w:sz="8" w:color="auto"/>
            </w:tcBorders>
          </w:tcPr>
          <w:p>
            <w:pPr>
              <w:spacing w:after="0"/>
              <w:rPr>
                <w:sz w:val="19"/>
                <w:szCs w:val="19"/>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7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40" w:type="dxa"/>
            <w:vAlign w:val="bottom"/>
            <w:shd w:val="clear" w:color="auto" w:fill="CCEEFF"/>
          </w:tcPr>
          <w:p>
            <w:pPr>
              <w:spacing w:after="0"/>
              <w:rPr>
                <w:sz w:val="19"/>
                <w:szCs w:val="19"/>
                <w:color w:val="auto"/>
              </w:rPr>
            </w:pP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40" w:type="dxa"/>
            <w:vAlign w:val="bottom"/>
            <w:tcBorders>
              <w:bottom w:val="single" w:sz="8" w:color="auto"/>
            </w:tcBorders>
          </w:tcPr>
          <w:p>
            <w:pPr>
              <w:spacing w:after="0"/>
              <w:rPr>
                <w:sz w:val="19"/>
                <w:szCs w:val="19"/>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4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Redeemable member's interest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578.0</w:t>
            </w:r>
          </w:p>
        </w:tc>
        <w:tc>
          <w:tcPr>
            <w:tcW w:w="40" w:type="dxa"/>
            <w:vAlign w:val="bottom"/>
          </w:tcPr>
          <w:p>
            <w:pPr>
              <w:spacing w:after="0"/>
              <w:rPr>
                <w:sz w:val="19"/>
                <w:szCs w:val="19"/>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40" w:type="dxa"/>
            <w:vAlign w:val="bottom"/>
            <w:shd w:val="clear" w:color="auto" w:fill="CCEEFF"/>
          </w:tcPr>
          <w:p>
            <w:pPr>
              <w:spacing w:after="0"/>
              <w:rPr>
                <w:sz w:val="19"/>
                <w:szCs w:val="19"/>
                <w:color w:val="auto"/>
              </w:rPr>
            </w:pP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Retained deficit</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w:t>
            </w: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redeemable member's interest and equity</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c>
          <w:tcPr>
            <w:tcW w:w="40" w:type="dxa"/>
            <w:vAlign w:val="bottom"/>
            <w:tcBorders>
              <w:bottom w:val="single" w:sz="8" w:color="auto"/>
            </w:tcBorders>
          </w:tcPr>
          <w:p>
            <w:pPr>
              <w:spacing w:after="0"/>
              <w:rPr>
                <w:sz w:val="19"/>
                <w:szCs w:val="19"/>
                <w:color w:val="auto"/>
              </w:rPr>
            </w:pPr>
          </w:p>
        </w:tc>
      </w:tr>
      <w:tr>
        <w:trPr>
          <w:trHeight w:val="21"/>
        </w:trPr>
        <w:tc>
          <w:tcPr>
            <w:tcW w:w="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2021</w:t>
            </w:r>
          </w:p>
        </w:tc>
      </w:tr>
      <w:tr>
        <w:trPr>
          <w:trHeight w:val="182"/>
        </w:trPr>
        <w:tc>
          <w:tcPr>
            <w:tcW w:w="6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5"/>
                <w:szCs w:val="15"/>
                <w:color w:val="auto"/>
              </w:rPr>
            </w:pPr>
          </w:p>
        </w:tc>
      </w:tr>
      <w:tr>
        <w:trPr>
          <w:trHeight w:val="231"/>
        </w:trPr>
        <w:tc>
          <w:tcPr>
            <w:tcW w:w="60" w:type="dxa"/>
            <w:vAlign w:val="bottom"/>
          </w:tcPr>
          <w:p>
            <w:pPr>
              <w:spacing w:after="0"/>
              <w:rPr>
                <w:sz w:val="20"/>
                <w:szCs w:val="20"/>
                <w:color w:val="auto"/>
              </w:rPr>
            </w:pPr>
          </w:p>
        </w:tc>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Paysafe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30, 2021, we closed on our $500.0 million investment in Paysafe. We account for our investment in Paysafe as an equity method investment.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quoted market prices, the aggregate value of our direct and indirect ownership of Paysafe common stock was $729.6 million as of March 31, 2021.</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we hold less than 20% of the outstanding common equity of Paysafe but we account for our investment under the equity method because we continue to exert significant influence through our 7.5% ownership, because certain of our senior management and directors serve on Paysafe's board of directors, and because we are party to an agreement with other of its equity investors pursuant to which we have the ability to appoint or be consulted on the election of the majority of the total directors of Paysafe.</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31, 2021, there is a $567.8 million difference between the amount of our recorded direct investment in Paysafe and the amount of the Company's ratable portion of the underlying equity in net assets of Paysafe. We are currently evaluating the accounting treatment of such difference.</w:t>
      </w:r>
    </w:p>
    <w:p>
      <w:pPr>
        <w:spacing w:after="0" w:line="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the timing of the closing of the transaction, there is no equity in earnings or loss of Paysafe included in the Company's results of operations for the three months ended March 31, 2021. Preliminary summarized balance sheet information for Paysafe for the relevant dates and time periods included in Investments in unconsolidated affiliates in our Condensed Consolidated Balance Sheets is presented below.</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center"/>
              <w:ind w:right="214"/>
              <w:spacing w:after="0"/>
              <w:rPr>
                <w:sz w:val="20"/>
                <w:szCs w:val="20"/>
                <w:color w:val="auto"/>
              </w:rPr>
            </w:pPr>
            <w:r>
              <w:rPr>
                <w:rFonts w:ascii="Arial" w:cs="Arial" w:eastAsia="Arial" w:hAnsi="Arial"/>
                <w:sz w:val="14"/>
                <w:szCs w:val="14"/>
                <w:b w:val="1"/>
                <w:bCs w:val="1"/>
                <w:color w:val="auto"/>
                <w:w w:val="95"/>
              </w:rPr>
              <w:t>March 31,</w:t>
            </w:r>
          </w:p>
        </w:tc>
      </w:tr>
      <w:tr>
        <w:trPr>
          <w:trHeight w:val="188"/>
        </w:trPr>
        <w:tc>
          <w:tcPr>
            <w:tcW w:w="9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9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4,929.0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6,977.5</w:t>
            </w: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9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1,757.0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4,234.8</w:t>
            </w:r>
          </w:p>
        </w:tc>
      </w:tr>
      <w:tr>
        <w:trPr>
          <w:trHeight w:val="223"/>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2,742.7</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18, 2020, we closed on our $125.0 million investment in the AmeriLife Joint Venture. 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 We account for our investment in AmeriLife as an equity method investment and report our equity in earnings or loss of AmeriLife on a three-month lag. Accordingly, there is no equity in earnings or loss of AmeriLife included in the Company's results of operations for the three months ended March 31, 2020 and our net earnings for the three months ended March 31, 2021 includes our equity in AmeriLife’s losses for the three months ended December 31,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4"/>
          </w:tcPr>
          <w:p>
            <w:pPr>
              <w:jc w:val="center"/>
              <w:ind w:left="954"/>
              <w:spacing w:after="0"/>
              <w:rPr>
                <w:sz w:val="20"/>
                <w:szCs w:val="20"/>
                <w:color w:val="auto"/>
              </w:rPr>
            </w:pPr>
            <w:r>
              <w:rPr>
                <w:rFonts w:ascii="Arial" w:cs="Arial" w:eastAsia="Arial" w:hAnsi="Arial"/>
                <w:sz w:val="14"/>
                <w:szCs w:val="14"/>
                <w:b w:val="1"/>
                <w:bCs w:val="1"/>
                <w:color w:val="auto"/>
                <w:w w:val="96"/>
              </w:rPr>
              <w:t>(In millions)</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607.4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 nonredeemable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member's equity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91"/>
              </w:rPr>
              <w:t>31, 2021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center"/>
              <w:ind w:right="393"/>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amounts and fair values of our available for sale fixed maturity securities at March 31, 2021 and December 31, 2020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8"/>
              </w:rPr>
              <w:t>Cost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Cost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$35.3 million of the fixed maturity securities in our investment portfolio had a maturity of less than one year and $0.5 million had a maturity of greater than one year, but less than five years. Expected maturities may differ from contractual maturities because certain borrowers have the right to call or prepay obligations with or without call or prepayment penalties.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2021 and 2020, we incurred no other-than-temporary impairment charges relating to corporate debt securities.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we held corporate debt securities with a fair value of $17.0 million for which an other-than-temporary impairment had been previously recognized. It is possible that future events may lead us to recognize potential future impairment losses related to our investment portfolio. Unanticipated future events may lead us to dispose of certain investment holdings and recognize the effects of any market movements in our results of operations.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our investment in preferred equity of QOMPLX at cost less impairment, if any, plus or minus changes resulting from observable price changes in orderly market transactions. As of March 31, 2021, we have $30.0 million recorded for our investment in the equity of QOMPLX, which is included in Other long term investments and noncurrent assets on our Condensed Consolidated Balance Sheet. We have not recorded any upward or downward adjustments to our investment in QOMPLX.</w:t>
      </w:r>
    </w:p>
    <w:p>
      <w:pPr>
        <w:spacing w:after="0" w:line="200" w:lineRule="exact"/>
        <w:rPr>
          <w:sz w:val="20"/>
          <w:szCs w:val="20"/>
          <w:color w:val="auto"/>
        </w:rPr>
      </w:pPr>
    </w:p>
    <w:p>
      <w:pPr>
        <w:spacing w:after="0" w:line="2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Variable Interest Entities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March 31, 2021 and December 31, 2020,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March 31, 2021 and December 31, 2020,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66040</wp:posOffset>
            </wp:positionV>
            <wp:extent cx="3154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March 31, 2021</w:t>
      </w:r>
    </w:p>
    <w:p>
      <w:pPr>
        <w:spacing w:after="0" w:line="25" w:lineRule="exact"/>
        <w:rPr>
          <w:sz w:val="20"/>
          <w:szCs w:val="20"/>
          <w:color w:val="auto"/>
        </w:rPr>
      </w:pPr>
    </w:p>
    <w:tbl>
      <w:tblPr>
        <w:tblLayout w:type="fixed"/>
        <w:tblInd w:w="6180" w:type="dxa"/>
        <w:tblCellMar>
          <w:top w:w="0" w:type="dxa"/>
          <w:left w:w="0" w:type="dxa"/>
          <w:bottom w:w="0" w:type="dxa"/>
          <w:right w:w="0" w:type="dxa"/>
        </w:tblCellMar>
      </w:tblPr>
      <w:tr>
        <w:trPr>
          <w:trHeight w:val="141"/>
        </w:trPr>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20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26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580" w:space="100"/>
            <w:col w:w="2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52"/>
        </w:trPr>
        <w:tc>
          <w:tcPr>
            <w:tcW w:w="6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3"/>
          </w:tcPr>
          <w:p>
            <w:pPr>
              <w:jc w:val="right"/>
              <w:ind w:right="110"/>
              <w:spacing w:after="0" w:line="15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Forward Purchase Agreements and Subscription Agreements</w:t>
            </w:r>
          </w:p>
        </w:tc>
        <w:tc>
          <w:tcPr>
            <w:tcW w:w="4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305.7</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305.7</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hold variable interests in certain unconsolidated affiliates, which are primarily comprised of our investments in the sponsors of FTAC, Trebia, Austerlitz I and Austerlitz II; and funds that hold minority ownership interests primarily in healthcare-related entities. Cannae does not have the power to direct the activities that most significantly impact the economic performance of these unconsolidated affiliates; therefore, we are not the primary beneficiary.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Condensed Consolidated Balance Sheets and accounted for under the equity method of accounting.</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D for further discussion of our accounting for investments in unconsolidated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Forward Purchase Agreements and Subscription Agreements, the Company made investments in the sponsors of FTAC, Trebia, Austerlitz I and Austerlitz II, which are considered VIEs for which we are not the primary beneficiary and are included in Investments in unconsolidated affiliates. The assets represented by the Forward Purchase Agreements and Subscription Agreements are accounted for as investments in equity securities pursuant to ASC 321 and are included in Equity securities on the Condensed Consolidated Balance Sheet as of March 31, 2021. See Notes C and D for further information on our accounting for equity securities.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consists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1"/>
        </w:trPr>
        <w:tc>
          <w:tcPr>
            <w:tcW w:w="8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(In millions)</w:t>
            </w:r>
          </w:p>
        </w:tc>
      </w:tr>
      <w:tr>
        <w:trPr>
          <w:trHeight w:val="232"/>
        </w:trPr>
        <w:tc>
          <w:tcPr>
            <w:tcW w:w="8600" w:type="dxa"/>
            <w:vAlign w:val="bottom"/>
          </w:tcPr>
          <w:p>
            <w:pPr>
              <w:ind w:left="20"/>
              <w:spacing w:after="0"/>
              <w:rPr>
                <w:sz w:val="20"/>
                <w:szCs w:val="20"/>
                <w:color w:val="auto"/>
              </w:rPr>
            </w:pPr>
            <w:r>
              <w:rPr>
                <w:rFonts w:ascii="Arial" w:cs="Arial" w:eastAsia="Arial" w:hAnsi="Arial"/>
                <w:sz w:val="18"/>
                <w:szCs w:val="18"/>
                <w:color w:val="auto"/>
              </w:rPr>
              <w:t>99 Term Loan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 Revolver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2020 Margin Facility</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Brasada Interstate Loans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2021, the carrying value of our outstanding notes payable approximates fair value. The respective carrying values of the loans under the 99 Restaurants Credit Facility and the B Note, Development Loan and Line of Credit Loan pursuant to the Interstate Credit Agreement, each as defined below, approximate fair value as they are variable rate instruments with monthly reset periods that reflect current market rates. The revolving credit facilities are considered Level 2 financial</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liabilities. The fixed-rate A Note, as defined below, pursuant to the Interstate Credit Agreement approximates fair value as of 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6,000,000 shares of common stock, par value $0.01 per share (the “Ceridian Common Stock”), of Ceridian, which the Company contributed to Borrower 1, and (ii) 19,000,000 shares of common stock, par value $0.0001 per share (the “DNB Common Stock”), of D&amp;B, which the Company contributed to Borrower 2. The Borrowers may also, at their discretion, post up to an additional 4,000,000 shares of Ceridian Common Stock and/or 11,000,000 shares of DNB Common Stock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Common Stock and DNB Common Stock). In the event the Borrowers fail to maintain such loan-to-value ratio, the Borrowers must post additional cash collateral under the Loan Agreement and/or elect to repay a portion of the revolving loans thereunder, or sell the Ceridian Common Stock and/or DNB Common Stock and use the proceeds from such sale to prepay a portion of the revolving loans thereunder.</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there was no outstanding balance and $100.0 million of capacity under the 2020 Margin Facility with an option to increase the capacity to $500.0 million upon amendment.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99 Restaurants Credit Facility</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December 21, 2018, 99 Restaurants LLC, a direct, wholly-owned subsidiary of 99 Restaurants entered into a credit agreement (the "99 Restaurants Credit Facility"), as amended from time to time,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“99 DLOC Loan”) of up to $10.0 million. Interest on the 99 Credit Facility is based on, at our option, an applicable margin of (x) two and one half percent (2.50%) per annum with respect to Base Rate Loans, as provided therein, and</w:t>
      </w:r>
    </w:p>
    <w:p>
      <w:pPr>
        <w:spacing w:after="0" w:line="4" w:lineRule="exact"/>
        <w:rPr>
          <w:sz w:val="20"/>
          <w:szCs w:val="20"/>
          <w:color w:val="auto"/>
        </w:rPr>
      </w:pPr>
    </w:p>
    <w:p>
      <w:pPr>
        <w:jc w:val="both"/>
        <w:ind w:firstLine="8"/>
        <w:spacing w:after="0" w:line="281"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three and one half percent (3.50%) per annum with respect to LIBOR Loans, as provided therein. The 99 Restaurants Credit Facility also allows for 99 Restaurants LLC to request up to $5.0 million of letters of credit commitments and $2.5 million in swingline debt from Fifth Third Bank as the administrative agent. The obligations of the 99 Restaurants LLC under the 99 Restaurants Credit Facility are guaranteed by 99 Restaurants. The 99 Restaurants Credit Facility is subject to affirmative, negative and financial covenants customary for financings of this type, including, among other things, limits on the Borrower’s creation of liens, sales of assets, incurrence of indebtedness, restricted payments and transactions with affiliates. The 99 Restaurants Credit Facility includes customary events of default for facilities of this type (with customary grace periods, as applicable). The 99 Restaurants Credit Facility provides that, upon the occurrence of an event of default, Fifth Third Bank, as administrative agent, may (i) declare the principal of, and any and all accrued and unpaid interest and all other amounts owed in respect of, the loans immediately due and payable, (ii) terminate loan commitments and</w:t>
      </w:r>
    </w:p>
    <w:p>
      <w:pPr>
        <w:spacing w:after="0" w:line="4" w:lineRule="exact"/>
        <w:rPr>
          <w:rFonts w:ascii="Arial" w:cs="Arial" w:eastAsia="Arial" w:hAnsi="Arial"/>
          <w:sz w:val="16"/>
          <w:szCs w:val="16"/>
          <w:color w:val="auto"/>
        </w:rPr>
      </w:pPr>
    </w:p>
    <w:p>
      <w:pPr>
        <w:jc w:val="both"/>
        <w:ind w:firstLine="8"/>
        <w:spacing w:after="0" w:line="25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exercise all other rights and remedies available to Fifth Third Bank or the lenders under the loan documents. On December 1, 2020, 99 Restaurants LLC entered into a waiver, consent and amendment to the 99 Restaurants Credit Facility pursuant to which a payment was made, and the borrowing capacity under the 99 Revolver was permanently reduced by, $7.5 million, the borrowing capacity under the 99 Revolver will be reduced by another $2.5 million in 2021,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applicable margin was increased by 1.00% with respect to both Base Rate Loans and LIBOR Loans, the lender's commitment to provide the 99 DLOC Loan was terminated, and certain of the financial covenants were added or waived until the second quarter of 2021, among other changes.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interest on the 99 Term Loan and 99 Revolver is payable monthly at a rate of 4.63% and 6.75%, respectively, and there is $2.0 million of aggregate borrowing capacity under the 99 Revolver.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January 29, 2016, FNF NV Brasada, LLC, an Oregon limited liability company and majority-owned subsidiary of Cannae ("NV Brasada"), entered into a credit agreement with an aggregate borrowing capacity of $17.0 million (the “Interstate Credit Agreement”) originally with Bank of the Cascades, as lender. The Interstate Credit Agreement provides for (i) a $12.5 million acquisition loan (the "Acquisition Loan"). On June 13, 2018, the Interstate Credit Agreement was modified to add an additional line of credit of $3.6 million ("C Note") and to assign the loan from the Bank of the Cascades to First Interstate Bank. Pursuant to the Acquisition Loan, NV Brasada executed a $6.3 million ("A Note"), which accrues interest at a rate of 4.51% per annum and matures on the tenth anniversary of the issuance thereof, and a $6.3 million ("B Note"), which accrues interest at the rate of LIBOR plus 225 basis points, adjusted monthly, and matures on the tenth anniversary of the issuance thereof. NV Brasada makes equal monthly payments of principal and interest under the Acquisition Loan. The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 B Note, C Note and Line of Credit Loan incurred interest at 2.36%.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17, 2017, Fidelity National Financial, Inc. ("FNF") issued to Cannae a revolver note in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five-year anniversary of the date of the FNF Revolver. The maturity date is automatically extended for additional five-year terms unless notice of non-renewal is otherwise provided by either FNF or Cannae, in their sole discretion.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2021, there was no outstanding balance under the FNF Revolver and there was $100.0 million remaining borrowing capacity.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tcPr>
          <w:p>
            <w:pPr>
              <w:ind w:left="340"/>
              <w:spacing w:after="0"/>
              <w:rPr>
                <w:sz w:val="20"/>
                <w:szCs w:val="20"/>
                <w:color w:val="auto"/>
              </w:rPr>
            </w:pPr>
            <w:r>
              <w:rPr>
                <w:rFonts w:ascii="Arial" w:cs="Arial" w:eastAsia="Arial" w:hAnsi="Arial"/>
                <w:sz w:val="18"/>
                <w:szCs w:val="18"/>
                <w:color w:val="auto"/>
              </w:rPr>
              <w:t>Gross principal maturities of notes payable at March 31, 2021 are as follows (in millions):</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35"/>
        </w:trPr>
        <w:tc>
          <w:tcPr>
            <w:tcW w:w="10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1010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8"/>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March 31, 2021 and December 31, 2020, our accruals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defendants will contest the remaining claims in the action vigorously.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March 31, 2021 to determine the amount of the obligations. Purchase obligations as of March 31, 2021 are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6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2022</w:t>
            </w:r>
          </w:p>
        </w:tc>
        <w:tc>
          <w:tcPr>
            <w:tcW w:w="6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2024</w:t>
            </w:r>
          </w:p>
        </w:tc>
        <w:tc>
          <w:tcPr>
            <w:tcW w:w="6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6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jc w:val="right"/>
              <w:ind w:right="4310"/>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March 30, 2021, we closed on our investment in Paysafe. We account for our investment in Paysafe as an equity method investment. Because we closed on our investment in Paysafe at the end of the first quarter of 2021, there is no equity in earnings or loss of Paysafe included in our results of operations for the three months ended March 31, 2021. We expect our chief operating decision maker will review the full financial results of Paysafe for purposes of assessing performance and allocating resources of the Company. Thus, we expect to include the full financial results of Paysafe in the table below in the second quarter of 2021 and present an elimination of such results in a manner similar to Dun &amp; Bradstreet as described below.</w:t>
      </w:r>
    </w:p>
    <w:p>
      <w:pPr>
        <w:spacing w:after="0" w:line="5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Beginning in the three months ended March 31, 2021, AmeriLife exceeded certain of the quantitative thresholds prescribed by ASC 280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we began considering AmeriLife a reportable segment. We made our initial investment in AmeriLife in March 18, 2020. We account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AmeriLife as an equity method investment and report our equity in earnings or loss of AmeriLife on a three-month lag. Accordingly, there is no equity in earnings or loss of AmeriLife included in our results of operations for the three months ended March 31, 2020.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Dun &amp; Bradstreet,</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Restaurant Group</w:t>
            </w:r>
          </w:p>
        </w:tc>
        <w:tc>
          <w:tcPr>
            <w:tcW w:w="1140" w:type="dxa"/>
            <w:vAlign w:val="bottom"/>
            <w:gridSpan w:val="3"/>
            <w:vMerge w:val="restart"/>
          </w:tcPr>
          <w:p>
            <w:pPr>
              <w:ind w:left="80"/>
              <w:spacing w:after="0"/>
              <w:rPr>
                <w:sz w:val="20"/>
                <w:szCs w:val="20"/>
                <w:color w:val="auto"/>
              </w:rPr>
            </w:pPr>
            <w:r>
              <w:rPr>
                <w:rFonts w:ascii="Arial" w:cs="Arial" w:eastAsia="Arial" w:hAnsi="Arial"/>
                <w:sz w:val="13"/>
                <w:szCs w:val="13"/>
                <w:color w:val="auto"/>
              </w:rPr>
              <w:t>Dun &amp; Bradstreet</w:t>
            </w: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color w:val="auto"/>
              </w:rPr>
              <w:t>Optimal Blue</w:t>
            </w:r>
          </w:p>
        </w:tc>
        <w:tc>
          <w:tcPr>
            <w:tcW w:w="180" w:type="dxa"/>
            <w:vAlign w:val="bottom"/>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auto"/>
              </w:rPr>
              <w:t>AmeriLife</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color w:val="auto"/>
                <w:w w:val="90"/>
              </w:rPr>
              <w:t>Optimal Blue and</w:t>
            </w:r>
          </w:p>
        </w:tc>
        <w:tc>
          <w:tcPr>
            <w:tcW w:w="220" w:type="dxa"/>
            <w:vAlign w:val="bottom"/>
          </w:tcPr>
          <w:p>
            <w:pPr>
              <w:spacing w:after="0"/>
              <w:rPr>
                <w:sz w:val="10"/>
                <w:szCs w:val="10"/>
                <w:color w:val="auto"/>
              </w:rPr>
            </w:pPr>
          </w:p>
        </w:tc>
        <w:tc>
          <w:tcPr>
            <w:tcW w:w="80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color w:val="auto"/>
                <w:w w:val="94"/>
              </w:rPr>
              <w:t>AmeriLife Elimination</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167.3</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84"/>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171.9</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4"/>
                <w:szCs w:val="14"/>
                <w:color w:val="auto"/>
              </w:rPr>
              <w:t>Interest, investment and other income, including</w:t>
            </w:r>
          </w:p>
        </w:tc>
        <w:tc>
          <w:tcPr>
            <w:tcW w:w="3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(311.8)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(311.6)</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recognized gains and losses, net</w:t>
            </w:r>
          </w:p>
        </w:tc>
        <w:tc>
          <w:tcPr>
            <w:tcW w:w="3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(139.7)</w:t>
            </w: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line="135" w:lineRule="exact"/>
              <w:rPr>
                <w:sz w:val="20"/>
                <w:szCs w:val="20"/>
                <w:color w:val="auto"/>
              </w:rPr>
            </w:pPr>
            <w:r>
              <w:rPr>
                <w:rFonts w:ascii="Arial" w:cs="Arial" w:eastAsia="Arial" w:hAnsi="Arial"/>
                <w:sz w:val="14"/>
                <w:szCs w:val="14"/>
                <w:color w:val="auto"/>
              </w:rPr>
              <w:t>(Loss) earnings before income taxes and equity in</w:t>
            </w:r>
          </w:p>
        </w:tc>
        <w:tc>
          <w:tcPr>
            <w:tcW w:w="3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(349.7)</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earnings (losses) of unconsolidated affiliates</w:t>
            </w:r>
          </w:p>
        </w:tc>
        <w:tc>
          <w:tcPr>
            <w:tcW w:w="3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Arial" w:cs="Arial" w:eastAsia="Arial" w:hAnsi="Arial"/>
                <w:sz w:val="13"/>
                <w:szCs w:val="13"/>
                <w:color w:val="auto"/>
              </w:rPr>
              <w:t>(Loss) earnings, before equity in (losses) earnings of</w:t>
            </w: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(287.7)</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3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Equity in earnings (losses) of unconsolidated</w:t>
            </w:r>
          </w:p>
        </w:tc>
        <w:tc>
          <w:tcPr>
            <w:tcW w:w="3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53.9</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affiliates</w:t>
            </w:r>
          </w:p>
        </w:tc>
        <w:tc>
          <w:tcPr>
            <w:tcW w:w="3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Net loss from continuing operations</w:t>
            </w: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(233.8)</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4,305.4</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Restaurant Group</w:t>
            </w:r>
          </w:p>
        </w:tc>
        <w:tc>
          <w:tcPr>
            <w:tcW w:w="12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Dun &amp; Bradstreet</w:t>
            </w:r>
          </w:p>
        </w:tc>
        <w:tc>
          <w:tcPr>
            <w:tcW w:w="12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Dun &amp; Bradstreet</w:t>
            </w:r>
          </w:p>
        </w:tc>
        <w:tc>
          <w:tcPr>
            <w:tcW w:w="180" w:type="dxa"/>
            <w:vAlign w:val="bottom"/>
          </w:tcPr>
          <w:p>
            <w:pPr>
              <w:spacing w:after="0"/>
              <w:rPr>
                <w:sz w:val="13"/>
                <w:szCs w:val="13"/>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4"/>
              </w:rPr>
              <w:t>Elimination</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169.9</w:t>
            </w:r>
          </w:p>
        </w:tc>
        <w:tc>
          <w:tcPr>
            <w:tcW w:w="0" w:type="dxa"/>
            <w:vAlign w:val="bottom"/>
          </w:tcPr>
          <w:p>
            <w:pPr>
              <w:spacing w:after="0"/>
              <w:rPr>
                <w:sz w:val="1"/>
                <w:szCs w:val="1"/>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4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4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173.0</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recognized gains and losses, net</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917.3</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1,090.3</w:t>
            </w:r>
          </w:p>
        </w:tc>
        <w:tc>
          <w:tcPr>
            <w:tcW w:w="0" w:type="dxa"/>
            <w:vAlign w:val="bottom"/>
          </w:tcPr>
          <w:p>
            <w:pPr>
              <w:spacing w:after="0"/>
              <w:rPr>
                <w:sz w:val="1"/>
                <w:szCs w:val="1"/>
                <w:color w:val="auto"/>
              </w:rPr>
            </w:pPr>
          </w:p>
        </w:tc>
      </w:tr>
      <w:tr>
        <w:trPr>
          <w:trHeight w:val="181"/>
        </w:trPr>
        <w:tc>
          <w:tcPr>
            <w:tcW w:w="52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9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35"/>
        </w:trPr>
        <w:tc>
          <w:tcPr>
            <w:tcW w:w="5200" w:type="dxa"/>
            <w:vAlign w:val="bottom"/>
          </w:tcPr>
          <w:p>
            <w:pPr>
              <w:ind w:left="20"/>
              <w:spacing w:after="0" w:line="135" w:lineRule="exact"/>
              <w:rPr>
                <w:sz w:val="20"/>
                <w:szCs w:val="20"/>
                <w:color w:val="auto"/>
              </w:rPr>
            </w:pPr>
            <w:r>
              <w:rPr>
                <w:rFonts w:ascii="Arial" w:cs="Arial" w:eastAsia="Arial" w:hAnsi="Arial"/>
                <w:sz w:val="14"/>
                <w:szCs w:val="14"/>
                <w:color w:val="auto"/>
                <w:w w:val="96"/>
              </w:rPr>
              <w:t>(Loss) earnings before income taxes and equity in earnings (losses) of unconsolidated</w:t>
            </w:r>
          </w:p>
        </w:tc>
        <w:tc>
          <w:tcPr>
            <w:tcW w:w="4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881.1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860.2</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4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4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169.4</w:t>
            </w:r>
          </w:p>
        </w:tc>
        <w:tc>
          <w:tcPr>
            <w:tcW w:w="0" w:type="dxa"/>
            <w:vAlign w:val="bottom"/>
          </w:tcPr>
          <w:p>
            <w:pPr>
              <w:spacing w:after="0"/>
              <w:rPr>
                <w:sz w:val="1"/>
                <w:szCs w:val="1"/>
                <w:color w:val="auto"/>
              </w:rPr>
            </w:pPr>
          </w:p>
        </w:tc>
      </w:tr>
      <w:tr>
        <w:trPr>
          <w:trHeight w:val="181"/>
        </w:trPr>
        <w:tc>
          <w:tcPr>
            <w:tcW w:w="520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690.8</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4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w:t>
            </w:r>
          </w:p>
        </w:tc>
        <w:tc>
          <w:tcPr>
            <w:tcW w:w="0" w:type="dxa"/>
            <w:vAlign w:val="bottom"/>
          </w:tcPr>
          <w:p>
            <w:pPr>
              <w:spacing w:after="0"/>
              <w:rPr>
                <w:sz w:val="1"/>
                <w:szCs w:val="1"/>
                <w:color w:val="auto"/>
              </w:rPr>
            </w:pPr>
          </w:p>
        </w:tc>
      </w:tr>
      <w:tr>
        <w:trPr>
          <w:trHeight w:val="184"/>
        </w:trPr>
        <w:tc>
          <w:tcPr>
            <w:tcW w:w="520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638.1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2,705.1</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4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(2,848.7)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bl>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O'Charley's, 99 Restaurants, Legendary Baking, and VIBSQ in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had 65.4%, 88.5%, 100% and 100% ownership interests, respectively. O'Charley's, 99 Restaurants, Legendary Baking, VIBSQ and their affiliates are the owners and operators of the O'Charley's restaurant concept, Ninety Nine Restaurants restaurant concept, Legendary Baking bakery and the Village Inn and Bakers Square restaurant concepts.</w:t>
      </w:r>
    </w:p>
    <w:p>
      <w:pPr>
        <w:spacing w:after="0" w:line="132" w:lineRule="exact"/>
        <w:rPr>
          <w:rFonts w:ascii="Arial" w:cs="Arial" w:eastAsia="Arial" w:hAnsi="Arial"/>
          <w:sz w:val="18"/>
          <w:szCs w:val="18"/>
          <w:i w:val="1"/>
          <w:iCs w:val="1"/>
          <w:color w:val="auto"/>
        </w:rPr>
      </w:pPr>
    </w:p>
    <w:p>
      <w:pPr>
        <w:jc w:val="both"/>
        <w:ind w:left="660" w:hanging="409"/>
        <w:spacing w:after="0" w:line="287"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Dun &amp; Bradstreet. </w:t>
      </w:r>
      <w:r>
        <w:rPr>
          <w:rFonts w:ascii="Arial" w:cs="Arial" w:eastAsia="Arial" w:hAnsi="Arial"/>
          <w:sz w:val="16"/>
          <w:szCs w:val="16"/>
          <w:color w:val="auto"/>
        </w:rPr>
        <w:t>This segment consists of our 17.7% ownership interest in Dun &amp; Bradstreet. Dun &amp; Bradstreet is a leading global provider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 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2020 contained more than 420 million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subsequent to our initial investment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Dun &amp; Bradstreet, Optimal Blue and AmeriLife Elimination</w:t>
      </w:r>
      <w:r>
        <w:rPr>
          <w:rFonts w:ascii="Arial" w:cs="Arial" w:eastAsia="Arial" w:hAnsi="Arial"/>
          <w:sz w:val="16"/>
          <w:szCs w:val="16"/>
          <w:color w:val="auto"/>
        </w:rPr>
        <w:t xml:space="preserve"> section of the segment presentation above. See Note D for further discussion of our investment in Dun &amp; Bradstreet and related accounting.</w:t>
      </w:r>
    </w:p>
    <w:p>
      <w:pPr>
        <w:spacing w:after="0" w:line="113" w:lineRule="exact"/>
        <w:rPr>
          <w:rFonts w:ascii="Arial" w:cs="Arial" w:eastAsia="Arial" w:hAnsi="Arial"/>
          <w:sz w:val="16"/>
          <w:szCs w:val="16"/>
          <w:i w:val="1"/>
          <w:iCs w:val="1"/>
          <w:color w:val="auto"/>
        </w:rPr>
      </w:pPr>
    </w:p>
    <w:p>
      <w:pPr>
        <w:jc w:val="both"/>
        <w:ind w:left="660" w:hanging="409"/>
        <w:spacing w:after="0" w:line="290"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Optimal Blue</w:t>
      </w:r>
      <w:r>
        <w:rPr>
          <w:rFonts w:ascii="Arial" w:cs="Arial" w:eastAsia="Arial" w:hAnsi="Arial"/>
          <w:sz w:val="16"/>
          <w:szCs w:val="16"/>
          <w:color w:val="auto"/>
        </w:rPr>
        <w:t>. This segment consists of our 20.0% ownership interest in Optimal Blue, which we acquired on September 15, 2020. Optimal Blue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a leading provider of secondary market solutions 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 mortgage brokerage companies throughout the mortgage processing life cycle. Optimal Blue exceeds certain of the quantitative thresholds prescribed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our chief operating decision maker reviews the financial results of Optimal Blue for purposes of assessing performance and allocating resources. Thus, we consider Optimal Blue a reportable segment and have included the results of operations of Optimal Blue in the tables above. We account for Optimal Blue using the equity method of accounting, and therefore its results do not consolidate into ours. Accordingly, we have presented the elimination of Optimal Blue's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results in the </w:t>
      </w:r>
      <w:r>
        <w:rPr>
          <w:rFonts w:ascii="Arial" w:cs="Arial" w:eastAsia="Arial" w:hAnsi="Arial"/>
          <w:sz w:val="18"/>
          <w:szCs w:val="18"/>
          <w:i w:val="1"/>
          <w:iCs w:val="1"/>
          <w:color w:val="auto"/>
        </w:rPr>
        <w:t>Dun &amp; Bradstreet, Optimal Blue and AmeriLife Elimination</w:t>
      </w:r>
      <w:r>
        <w:rPr>
          <w:rFonts w:ascii="Arial" w:cs="Arial" w:eastAsia="Arial" w:hAnsi="Arial"/>
          <w:sz w:val="18"/>
          <w:szCs w:val="18"/>
          <w:color w:val="auto"/>
        </w:rPr>
        <w:t xml:space="preserve"> section of the segment presentation above. See Note D for further discussion of our investment in Optimal Blue and related accounting.</w:t>
      </w:r>
    </w:p>
    <w:p>
      <w:pPr>
        <w:spacing w:after="0" w:line="116" w:lineRule="exact"/>
        <w:rPr>
          <w:sz w:val="20"/>
          <w:szCs w:val="20"/>
          <w:color w:val="auto"/>
        </w:rPr>
      </w:pPr>
    </w:p>
    <w:p>
      <w:pPr>
        <w:jc w:val="both"/>
        <w:ind w:left="660" w:hanging="409"/>
        <w:spacing w:after="0" w:line="26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AmeriLife. </w:t>
      </w:r>
      <w:r>
        <w:rPr>
          <w:rFonts w:ascii="Arial" w:cs="Arial" w:eastAsia="Arial" w:hAnsi="Arial"/>
          <w:sz w:val="17"/>
          <w:szCs w:val="17"/>
          <w:color w:val="auto"/>
        </w:rPr>
        <w:t>This segment consists of our 19.8% ownership interest in AmeriLife. AmeriLife is a leader in marketing and distributing life, health,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retirement solutions. AmeriLife has partnered with the nation’s leading insurance carriers to provide value and quality to customers served through a national distribution network of insurance agents and advisors, marketing organizations, and insurance agency locations. AmeriLife exceeds certain of the quantitative thresholds prescribed by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our chief operating decision maker reviews the financial results of AmeriLife for purposes of assessing performance and allocating resources. Thus, we consider AmeriLife a reportable segment and have included the results of operations of AmeriLife in the tables above. We account for our investment in AmeriLife as an equity method investment and report our equity in earnings or loss of AmeriLife on a three-month lag and therefore its results do not consolidate into ours. Our net earnings and the segment tables above for the three months ended March 31, 2021 includes our equity in AmeriLife’s losses for the period from September 30, 2020 through December 31, 2020. Accordingly, we have presented the elimination of AmeriLife's results in the </w:t>
      </w:r>
      <w:r>
        <w:rPr>
          <w:rFonts w:ascii="Arial" w:cs="Arial" w:eastAsia="Arial" w:hAnsi="Arial"/>
          <w:sz w:val="17"/>
          <w:szCs w:val="17"/>
          <w:i w:val="1"/>
          <w:iCs w:val="1"/>
          <w:color w:val="auto"/>
        </w:rPr>
        <w:t>Dun &amp;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Bradstreet, Optimal Blue and AmeriLife Elimination </w:t>
      </w:r>
      <w:r>
        <w:rPr>
          <w:rFonts w:ascii="Arial" w:cs="Arial" w:eastAsia="Arial" w:hAnsi="Arial"/>
          <w:sz w:val="17"/>
          <w:szCs w:val="17"/>
          <w:color w:val="auto"/>
        </w:rPr>
        <w:t>section of the segment presentation above. See Note D for further discussion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AmeriLife and related accounting.</w:t>
      </w:r>
    </w:p>
    <w:p>
      <w:pPr>
        <w:spacing w:after="0" w:line="127" w:lineRule="exact"/>
        <w:rPr>
          <w:rFonts w:ascii="Arial" w:cs="Arial" w:eastAsia="Arial" w:hAnsi="Arial"/>
          <w:sz w:val="17"/>
          <w:szCs w:val="17"/>
          <w:color w:val="auto"/>
        </w:rPr>
      </w:pPr>
    </w:p>
    <w:p>
      <w:pPr>
        <w:ind w:left="660" w:right="20" w:hanging="409"/>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08"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2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3"/>
              </w:rPr>
              <w:t>Three months ended March 31,</w:t>
            </w:r>
          </w:p>
        </w:tc>
        <w:tc>
          <w:tcPr>
            <w:tcW w:w="46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182"/>
        </w:trPr>
        <w:tc>
          <w:tcPr>
            <w:tcW w:w="8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15"/>
                <w:szCs w:val="15"/>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960" w:type="dxa"/>
            <w:vAlign w:val="bottom"/>
          </w:tcPr>
          <w:p>
            <w:pPr>
              <w:jc w:val="right"/>
              <w:ind w:right="76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20"/>
                <w:szCs w:val="20"/>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Assets Held for Sale</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2021, the Company received the LOIs for the sale of all of our ownership interests in Legendary Baking and VIBSQ. As a result of the Company's plan to sell Legendary Baking and VIBSQ and receipt of the LOIs, we have reclassified the assets and liabilities of Legendary Baking and VIBSQ as assets and liabilities held for sale on our Condensed Consolidated Balance Sheet as of March 31, 2021.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amounts of the major classes of assets and liabilities included as part of the disposal groups classified as held for sale is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March 31, 2021</w:t>
            </w:r>
          </w:p>
        </w:tc>
      </w:tr>
      <w:tr>
        <w:trPr>
          <w:trHeight w:val="195"/>
        </w:trPr>
        <w:tc>
          <w:tcPr>
            <w:tcW w:w="9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92"/>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7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7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9740" w:type="dxa"/>
            <w:vAlign w:val="bottom"/>
          </w:tcPr>
          <w:p>
            <w:pPr>
              <w:ind w:left="140"/>
              <w:spacing w:after="0"/>
              <w:rPr>
                <w:sz w:val="20"/>
                <w:szCs w:val="20"/>
                <w:color w:val="auto"/>
              </w:rPr>
            </w:pPr>
            <w:r>
              <w:rPr>
                <w:rFonts w:ascii="Arial" w:cs="Arial" w:eastAsia="Arial" w:hAnsi="Arial"/>
                <w:sz w:val="18"/>
                <w:szCs w:val="18"/>
                <w:color w:val="auto"/>
              </w:rPr>
              <w:t>Right of use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97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97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9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974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7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1"/>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recorded a loss of $7.0 million as a result of classifying Legendary Baking and VIBSQ as held for sale which is included in Recognized (losses) gains, net on the Condensed Consolidated Statement of Operations for the three months ended March 31, 2021. These disposal groups are included in the Restaurant Group segment.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the overall impact of the outbreak of COVID-19 and measures to curb its spread, including the effect of governmental or voluntary mitigation measures such as business shutdowns, social distancing, and stay-at-home orders;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associated with our Split-Off from Fidelity National Financial, Inc., including the Investment Company Act of 1940; risks related to our Externalization; and other risks detailed in the “Statement Regarding Forward-Looking Information,” “Risk Factors” and other sections of our Annual Report on Form 10-K for the year ended December 31, 2020 (our "Annual Report") and other filings with the SEC.</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Businesses rely on business-to-business data and analytics providers to extract data-driven insights and make better decisions.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 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D&amp;B helps its clients solve these mission critical business problems. D&amp;B believes the total addressable market (‘‘TAM’’) in which it operates is large, growing and significantly underpenetrated. D&amp;B participates in the big data and analytics software market, as defined by Interactive Data Corporation, or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The restaurant industry is highly competitive and is often affected by changes in consumer tastes and discretionary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1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In March 2020, the outbreak of COVID-19 was declared a national health emergency in the United States and worldwide.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unprecedented social restrictions related to COVID-19, our Restaurant Group brands experienced a significant reduction in guest counts beginning in the last two weeks of March 2020 and continuing through the end of the year. In response to the outbreak and these changing conditions, our Restaurant Group brands closed the dining rooms in substantially all of our restaurants in late March 2020 with substantially all remaining closed to dine in customers through early May 2020. During such time, most of our restaurants were solely operating to-go and delivery services in the jurisdictions where government regulations permit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w:t>
      </w:r>
    </w:p>
    <w:p>
      <w:pPr>
        <w:spacing w:after="0" w:line="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Timing of reopening stores and resulting guest traffic has varied by jurisdiction. In the second half of 2020, our Restaurant Group experienced a gradual increase in guest traffic and revenues compared to the first half of 2020; however, the volume of customers visiting our stores remained below our historical levels through December 31, 2020. We experienced an increase in revenues from to-go and delivery sales from historical experience; however, comparable store sales across all of our restaurant brands remained depressed compared to previous years.</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Coinciding with the first available vaccines for COVID-19 in December 2020, capacity restrictions on dining rooms began to ease in most jurisdictions in which our Restaurant Group operates. Furthermore, the U.S. Treasury provided a new round of stimulus through direct payments to U.S. citizens. Through the three months ended March 31, 2021, we are still operating a limited number of restaurants with restricted capacity. Uncertainty remains regarding the continued rate of immunization in the public, timing of an economic recovery, and changed guest decision-making with regard to dining in restaurants.</w:t>
      </w:r>
    </w:p>
    <w:p>
      <w:pPr>
        <w:spacing w:after="0" w:line="5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COVID-19 outbreak and these responses have affected and may continue to adversely affect our Restaurant Group brands' guest traffic, sales and operating costs. See further discussion of the impact of COVID-19 on our Restaurant Group in the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subsection below</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4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83"/>
        </w:trPr>
        <w:tc>
          <w:tcPr>
            <w:tcW w:w="8480" w:type="dxa"/>
            <w:vAlign w:val="bottom"/>
          </w:tcPr>
          <w:p>
            <w:pPr>
              <w:spacing w:after="0"/>
              <w:rPr>
                <w:sz w:val="15"/>
                <w:szCs w:val="15"/>
                <w:color w:val="auto"/>
              </w:rPr>
            </w:pPr>
          </w:p>
        </w:tc>
        <w:tc>
          <w:tcPr>
            <w:tcW w:w="228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15"/>
                <w:szCs w:val="15"/>
                <w:color w:val="auto"/>
              </w:rPr>
            </w:pPr>
          </w:p>
        </w:tc>
      </w:tr>
      <w:tr>
        <w:trPr>
          <w:trHeight w:val="23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820" w:type="dxa"/>
            <w:vAlign w:val="bottom"/>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8"/>
                <w:szCs w:val="18"/>
                <w:color w:val="auto"/>
              </w:rPr>
            </w:pPr>
          </w:p>
        </w:tc>
        <w:tc>
          <w:tcPr>
            <w:tcW w:w="840" w:type="dxa"/>
            <w:vAlign w:val="bottom"/>
          </w:tcPr>
          <w:p>
            <w:pPr>
              <w:jc w:val="right"/>
              <w:ind w:right="6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169.9</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848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173.0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153.1</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2"/>
        </w:trPr>
        <w:tc>
          <w:tcPr>
            <w:tcW w:w="84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226.3</w:t>
            </w:r>
          </w:p>
        </w:tc>
      </w:tr>
      <w:tr>
        <w:trPr>
          <w:trHeight w:val="207"/>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(312.5)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915.1</w:t>
            </w:r>
          </w:p>
        </w:tc>
      </w:tr>
      <w:tr>
        <w:trPr>
          <w:trHeight w:val="213"/>
        </w:trPr>
        <w:tc>
          <w:tcPr>
            <w:tcW w:w="8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 income</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(313.7)</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913.5</w:t>
            </w: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(Loss) earnings before income taxes and equity in losses of unconsolidated affiliates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(349.7)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860.2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169.4</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(Loss) earnings before equity in earnings (losses) of unconsolidated affiliates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(287.7)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690.8</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(233.8)</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638.1</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82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(233.1)</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647.7</w:t>
            </w:r>
          </w:p>
        </w:tc>
      </w:tr>
      <w:tr>
        <w:trPr>
          <w:trHeight w:val="20"/>
        </w:trPr>
        <w:tc>
          <w:tcPr>
            <w:tcW w:w="8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revenues decreased $1.1 million, or 0.6%, in the three months ended March 31, 2021 compared to the corresponding period in 2020.</w:t>
      </w:r>
    </w:p>
    <w:p>
      <w:pPr>
        <w:spacing w:after="0" w:line="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attributable to Cannae Holdings, Inc. common shareholders decreased $880.8 million, or 136.0%, in the three months ended March 31, 2021 compared to the corresponding period in 2020.</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(loss)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4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include rent, professional fees, advertising costs, travel expenses and impairments of operating assets.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(benefit) was $62.0 million and income tax expense was $169.4 million in the three-month periods ended March 31, 2021 and 2020, respectively. Our effective tax rate was 17.7% and 19.7% in the three months ended March 31, 2021 and 2020, respectively. Our effective tax rate fluctuates depending on our estimate of ultimate income tax liability and changes in the characteristics of net earnings, such as the weighting of operating income versus investment income or earnings of unconsolidated affiliates.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 in earnings (losses) of unconsolidated affiliates for the three months ended March 31, 2021 and 2020 consisted of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75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31, 2021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31, 2020</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3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Senator JV</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180" w:firstLine="8"/>
        <w:spacing w:after="0" w:line="26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for the three months ended March 31, 2020 represents the Company's equity in earnings of Ceridian in the three months ended March 31, 2020 prior to the change in accounting for the investment beginning March 31, 2020.</w:t>
      </w:r>
    </w:p>
    <w:p>
      <w:pPr>
        <w:spacing w:after="0" w:line="21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Other equity in earnings (losses) of unconsolidated affiliates in the table above for the three months ended March 31, 2021 includes the Company's ratable share of the gain recorded by the sponsor of FTAC II associated with the sponsor's accounting for its investment in Paysafe.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83"/>
        </w:trPr>
        <w:tc>
          <w:tcPr>
            <w:tcW w:w="8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r>
      <w:tr>
        <w:trPr>
          <w:trHeight w:val="213"/>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revenues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restaurant revenue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impairment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7"/>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173.1</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195.5</w:t>
            </w:r>
          </w:p>
        </w:tc>
      </w:tr>
      <w:tr>
        <w:trPr>
          <w:trHeight w:val="213"/>
        </w:trPr>
        <w:tc>
          <w:tcPr>
            <w:tcW w:w="81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193"/>
        </w:trPr>
        <w:tc>
          <w:tcPr>
            <w:tcW w:w="81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net</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 income</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3"/>
        </w:trPr>
        <w:tc>
          <w:tcPr>
            <w:tcW w:w="8100" w:type="dxa"/>
            <w:vAlign w:val="bottom"/>
          </w:tcPr>
          <w:p>
            <w:pPr>
              <w:ind w:left="20"/>
              <w:spacing w:after="0"/>
              <w:rPr>
                <w:sz w:val="20"/>
                <w:szCs w:val="20"/>
                <w:color w:val="auto"/>
              </w:rPr>
            </w:pPr>
            <w:r>
              <w:rPr>
                <w:rFonts w:ascii="Arial" w:cs="Arial" w:eastAsia="Arial" w:hAnsi="Arial"/>
                <w:sz w:val="16"/>
                <w:szCs w:val="16"/>
                <w:color w:val="auto"/>
              </w:rPr>
              <w:t>Loss before income taxes and equity in losses of unconsolidated affiliates</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(20.9)</w:t>
            </w:r>
          </w:p>
        </w:tc>
      </w:tr>
    </w:tbl>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revenues for the Restaurant group segment decreased $2.6 million, or 1.5%, in the three months ended March 31, 2021 compared to the corresponding periods in 2020. The decrease was primarily driven by: (1) an overall decrease in comparable store sales (discussed in further detail below) driven by continued recovery from the COVID-19 pandemic and the related social restrictions imposed by state and local governments beginning in March 2020, which resulted in the closing of dining rooms for substantially all of our restaurants beginning in late March 2020 and (2) the closing or sale of company-owned restaurants primarily associated with our O'Charley's, Village Inn, and Baker's Square concepts subsequent to the prior year periods. The decrease was partially offset by increased revenue related to the reconsolidation of Legendary Baking and VIBSQ beginning October 2, 2020 as part of their emergence from bankruptcy.</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of $20.5 million was recorded in the three months ended March 31, 2020 associated with stores closed subsequent to March 31,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Revenue associated with our Blue Ribbon brands was $19.6 million and $17.8 million in the three months ended March 31, 2021 and 2020, respectively.</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Comparable Store Sales. </w:t>
      </w:r>
      <w:r>
        <w:rPr>
          <w:rFonts w:ascii="Arial" w:cs="Arial" w:eastAsia="Arial" w:hAnsi="Arial"/>
          <w:sz w:val="16"/>
          <w:szCs w:val="16"/>
          <w:color w:val="auto"/>
        </w:rPr>
        <w:t>One method we use in evaluating the performance of our restaurants is to compare sales results for restaurants period over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brand increased by 8.6%. The increase is attributable to the closure of underperforming stores and the impact of COVID-19 on sales in March 2020. Comparable store sales for our 99 Restaurants, Village Inn, and Baker's Square brands decreased 7.7%, 12.5%, and 31.5% respectively, in the three months ended March 31, 2021 compared to the comparable periods in 2020. The decrease is primarily attributable to the continued impact of COVID-19 for the full quarter ended March 31, 2021 compared to an impact of approximately two weeks for the quarter ended March 31, 2020. The decrease was partially offset by an overall increase in the average guest check in the 2021 period compared to the corresponding 2020 period.</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restaurant revenue decreased directionally consistent with Restaurant revenues. Cost of restaurant revenue as a percentage of restaurant revenue was 88.3% and 90.1% in the three months ended March 31, 2021 and 2020, respectively. The decrease in cost of restaurant revenue as a percentage of restaurant revenue in the three months ended March 31, 2021 compared to the comparable period in 2020 is primarily attributable to improvements in overall labor costs resulting from a gradual return of the workforce during the recovery from the COVID-19 pandemic, partially offset by increased costs of food and supplies.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 decreased $8.5 million, or 45.9%, in the three months ended March 31, 2021 from the corresponding period in 2020. The decrease is primarily attributable to the impairment of assets of $6.8 million in the three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months ended March 31, 2020 along with a decrease in spending on advertising at O'Charley's and 99 Restaurants in the three months ended March 31, 2021 compared to the comparable period in 2020.</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Recognized gains and losses, net for the three months ended March 31, 2020 includes a gain of $26.5 million as a result of the deconsolidation of Blue Ribbon on January 27, 2020 and an other-than-temporary impairment loss on our recorded investment in Blue Ribbon of $18.6 million.</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before income taxes decreased by $12.9 million, or 61.7%, in the three months ended March 31, 2021 from the corresponding periods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 was primarily attributable to the factors discussed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we own approximately 17.7% of the outstanding common stock of Dun &amp; Bradstreet. We account for our investment in Dun &amp; Bradstreet under the equity method of accounting; therefore, its results of operations do not consolidate into ours.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Summarized financial information for Dun &amp; Bradstreet for the relevant dates and time periods included in Investments in unconsolidated affiliates and Equity in earnings (losses) of unconsolidated affiliates in our Condensed Consolidated Balance Sheets and Statements of Operations, respectively, is presented below. Financial information for the three months ended March 31, 2020 represents that of Star Parent, L.P. ("Star Parent"), the former parent of D&amp;B through which the Company was invested prior to D&amp;B's initial public offering in July 2020.</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4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93"/>
              </w:rPr>
              <w:t>Three months ended March 31,</w:t>
            </w:r>
          </w:p>
        </w:tc>
        <w:tc>
          <w:tcPr>
            <w:tcW w:w="620" w:type="dxa"/>
            <w:vAlign w:val="bottom"/>
            <w:tcBorders>
              <w:bottom w:val="single" w:sz="8" w:color="auto"/>
            </w:tcBorders>
          </w:tcPr>
          <w:p>
            <w:pPr>
              <w:spacing w:after="0"/>
              <w:rPr>
                <w:sz w:val="16"/>
                <w:szCs w:val="16"/>
                <w:color w:val="auto"/>
              </w:rPr>
            </w:pPr>
          </w:p>
        </w:tc>
      </w:tr>
      <w:tr>
        <w:trPr>
          <w:trHeight w:val="187"/>
        </w:trPr>
        <w:tc>
          <w:tcPr>
            <w:tcW w:w="7520" w:type="dxa"/>
            <w:vAlign w:val="bottom"/>
          </w:tcPr>
          <w:p>
            <w:pPr>
              <w:spacing w:after="0"/>
              <w:rPr>
                <w:sz w:val="16"/>
                <w:szCs w:val="16"/>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183"/>
        </w:trPr>
        <w:tc>
          <w:tcPr>
            <w:tcW w:w="7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80" w:type="dxa"/>
            <w:vAlign w:val="bottom"/>
            <w:gridSpan w:val="2"/>
          </w:tcPr>
          <w:p>
            <w:pPr>
              <w:jc w:val="center"/>
              <w:ind w:right="479"/>
              <w:spacing w:after="0"/>
              <w:rPr>
                <w:sz w:val="20"/>
                <w:szCs w:val="20"/>
                <w:color w:val="auto"/>
              </w:rPr>
            </w:pPr>
            <w:r>
              <w:rPr>
                <w:rFonts w:ascii="Arial" w:cs="Arial" w:eastAsia="Arial" w:hAnsi="Arial"/>
                <w:sz w:val="14"/>
                <w:szCs w:val="14"/>
                <w:b w:val="1"/>
                <w:bCs w:val="1"/>
                <w:color w:val="auto"/>
                <w:w w:val="96"/>
              </w:rPr>
              <w:t>(In millions)</w:t>
            </w:r>
          </w:p>
        </w:tc>
        <w:tc>
          <w:tcPr>
            <w:tcW w:w="620" w:type="dxa"/>
            <w:vAlign w:val="bottom"/>
          </w:tcPr>
          <w:p>
            <w:pPr>
              <w:spacing w:after="0"/>
              <w:rPr>
                <w:sz w:val="15"/>
                <w:szCs w:val="15"/>
                <w:color w:val="auto"/>
              </w:rPr>
            </w:pPr>
          </w:p>
        </w:tc>
      </w:tr>
      <w:tr>
        <w:trPr>
          <w:trHeight w:val="23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504.5</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w:t>
            </w: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Dun &amp; Bradstreet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bl>
    <w:p>
      <w:pPr>
        <w:spacing w:after="0" w:line="94" w:lineRule="exact"/>
        <w:rPr>
          <w:sz w:val="20"/>
          <w:szCs w:val="20"/>
          <w:color w:val="auto"/>
        </w:rPr>
      </w:pPr>
    </w:p>
    <w:p>
      <w:pPr>
        <w:ind w:right="110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Optimal Blue</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15, 2020, we completed our investment in Optimal Blue. We account for our investment in Optimal Blue under the equity method of accounting; therefore, its results of operations do not consolidate into ours.</w:t>
      </w:r>
    </w:p>
    <w:p>
      <w:pPr>
        <w:spacing w:after="0" w:line="62" w:lineRule="exact"/>
        <w:rPr>
          <w:sz w:val="20"/>
          <w:szCs w:val="20"/>
          <w:color w:val="auto"/>
        </w:rPr>
      </w:pPr>
    </w:p>
    <w:p>
      <w:pPr>
        <w:jc w:val="both"/>
        <w:ind w:right="20" w:firstLine="324"/>
        <w:spacing w:after="0" w:line="269" w:lineRule="auto"/>
        <w:rPr>
          <w:sz w:val="20"/>
          <w:szCs w:val="20"/>
          <w:color w:val="auto"/>
        </w:rPr>
      </w:pPr>
      <w:r>
        <w:rPr>
          <w:rFonts w:ascii="Arial" w:cs="Arial" w:eastAsia="Arial" w:hAnsi="Arial"/>
          <w:sz w:val="18"/>
          <w:szCs w:val="18"/>
          <w:color w:val="auto"/>
        </w:rPr>
        <w:t>Summarized financial information for Optimal Blue for the relevant dates and time periods included in Equity in earnings (losses) of unconsolidated affiliates in our Statements of Operations is presented below.</w:t>
      </w:r>
    </w:p>
    <w:tbl>
      <w:tblPr>
        <w:tblLayout w:type="fixed"/>
        <w:tblInd w:w="0" w:type="dxa"/>
        <w:tblCellMar>
          <w:top w:w="0" w:type="dxa"/>
          <w:left w:w="0" w:type="dxa"/>
          <w:bottom w:w="0" w:type="dxa"/>
          <w:right w:w="0" w:type="dxa"/>
        </w:tblCellMar>
      </w:tblPr>
      <w:tr>
        <w:trPr>
          <w:trHeight w:val="144"/>
        </w:trPr>
        <w:tc>
          <w:tcPr>
            <w:tcW w:w="9380" w:type="dxa"/>
            <w:vAlign w:val="bottom"/>
          </w:tcPr>
          <w:p>
            <w:pPr>
              <w:spacing w:after="0"/>
              <w:rPr>
                <w:sz w:val="12"/>
                <w:szCs w:val="12"/>
                <w:color w:val="auto"/>
              </w:rPr>
            </w:pPr>
          </w:p>
        </w:tc>
        <w:tc>
          <w:tcPr>
            <w:tcW w:w="1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9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1"/>
              </w:rPr>
              <w:t>31, 2021</w:t>
            </w:r>
          </w:p>
        </w:tc>
      </w:tr>
      <w:tr>
        <w:trPr>
          <w:trHeight w:val="183"/>
        </w:trPr>
        <w:tc>
          <w:tcPr>
            <w:tcW w:w="9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85"/>
              </w:rPr>
              <w:t>41.6</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540" w:type="dxa"/>
            <w:vAlign w:val="bottom"/>
          </w:tcPr>
          <w:p>
            <w:pPr>
              <w:jc w:val="center"/>
              <w:ind w:left="977"/>
              <w:spacing w:after="0"/>
              <w:rPr>
                <w:sz w:val="20"/>
                <w:szCs w:val="20"/>
                <w:color w:val="auto"/>
              </w:rPr>
            </w:pPr>
            <w:r>
              <w:rPr>
                <w:rFonts w:ascii="Arial" w:cs="Arial" w:eastAsia="Arial" w:hAnsi="Arial"/>
                <w:sz w:val="18"/>
                <w:szCs w:val="18"/>
                <w:color w:val="auto"/>
                <w:w w:val="93"/>
              </w:rPr>
              <w:t>(17.2)</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977"/>
              <w:spacing w:after="0"/>
              <w:rPr>
                <w:sz w:val="20"/>
                <w:szCs w:val="20"/>
                <w:color w:val="auto"/>
              </w:rPr>
            </w:pPr>
            <w:r>
              <w:rPr>
                <w:rFonts w:ascii="Arial" w:cs="Arial" w:eastAsia="Arial" w:hAnsi="Arial"/>
                <w:sz w:val="18"/>
                <w:szCs w:val="18"/>
                <w:color w:val="auto"/>
                <w:w w:val="93"/>
              </w:rPr>
              <w:t>(21.5)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March 18, 2020, we closed on our $125.0 million investment in the AmeriLife Joint Venture. Summarized financial information for AmeriLife for the relevant dates and time periods included in Investments in unconsolidated affiliates and Equity in earnings (losses) of unconsolidated affiliates in our Condensed Consolidated Balance Sheets and Statements of Operations, respectively, is presented below. We account for our investment in AmeriLife as an equity method investment and report our equity in earnings or loss of AmeriLife on a three-month lag. Accordingly, there is no equity in earning or loss of AmeriLife included in the Company's results of operations for the three months ended March 31, 2020 and our net earnings for the three months ended March 31, 2021 includes our equity in AmeriLife’s losses for the period from September 30, 2020 through December 31, 2020.</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9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31, 2021</w:t>
            </w:r>
          </w:p>
        </w:tc>
      </w:tr>
      <w:tr>
        <w:trPr>
          <w:trHeight w:val="183"/>
        </w:trPr>
        <w:tc>
          <w:tcPr>
            <w:tcW w:w="9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center"/>
              <w:ind w:right="235"/>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87"/>
        </w:trPr>
        <w:tc>
          <w:tcPr>
            <w:tcW w:w="8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183"/>
        </w:trPr>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4"/>
              </w:rPr>
              <w:t>(In millions)</w:t>
            </w:r>
          </w:p>
        </w:tc>
        <w:tc>
          <w:tcPr>
            <w:tcW w:w="920" w:type="dxa"/>
            <w:vAlign w:val="bottom"/>
          </w:tcPr>
          <w:p>
            <w:pPr>
              <w:spacing w:after="0"/>
              <w:rPr>
                <w:sz w:val="15"/>
                <w:szCs w:val="15"/>
                <w:color w:val="auto"/>
              </w:rPr>
            </w:pPr>
          </w:p>
        </w:tc>
      </w:tr>
      <w:tr>
        <w:trPr>
          <w:trHeight w:val="21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Other operating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520" w:type="dxa"/>
            <w:vAlign w:val="bottom"/>
          </w:tcPr>
          <w:p>
            <w:pPr>
              <w:jc w:val="center"/>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12"/>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07"/>
        </w:trPr>
        <w:tc>
          <w:tcPr>
            <w:tcW w:w="85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19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907.3</w:t>
            </w:r>
          </w:p>
        </w:tc>
      </w:tr>
      <w:tr>
        <w:trPr>
          <w:trHeight w:val="213"/>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 income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908.8</w:t>
            </w:r>
          </w:p>
        </w:tc>
      </w:tr>
      <w:tr>
        <w:trPr>
          <w:trHeight w:val="204"/>
        </w:trPr>
        <w:tc>
          <w:tcPr>
            <w:tcW w:w="8500" w:type="dxa"/>
            <w:vAlign w:val="bottom"/>
          </w:tcPr>
          <w:p>
            <w:pPr>
              <w:ind w:left="20"/>
              <w:spacing w:after="0"/>
              <w:rPr>
                <w:sz w:val="20"/>
                <w:szCs w:val="20"/>
                <w:color w:val="auto"/>
              </w:rPr>
            </w:pPr>
            <w:r>
              <w:rPr>
                <w:rFonts w:ascii="Arial" w:cs="Arial" w:eastAsia="Arial" w:hAnsi="Arial"/>
                <w:sz w:val="16"/>
                <w:szCs w:val="16"/>
                <w:color w:val="auto"/>
              </w:rPr>
              <w:t>(Loss) earnings before income taxes and equity in losses of unconsolidated affiliates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Pr>
          <w:p>
            <w:pPr>
              <w:spacing w:after="0"/>
              <w:rPr>
                <w:sz w:val="17"/>
                <w:szCs w:val="17"/>
                <w:color w:val="auto"/>
              </w:rPr>
            </w:pPr>
          </w:p>
        </w:tc>
        <w:tc>
          <w:tcPr>
            <w:tcW w:w="520" w:type="dxa"/>
            <w:vAlign w:val="bottom"/>
          </w:tcPr>
          <w:p>
            <w:pPr>
              <w:jc w:val="center"/>
              <w:ind w:right="3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881.1</w:t>
            </w:r>
          </w:p>
        </w:tc>
      </w:tr>
    </w:tbl>
    <w:p>
      <w:pPr>
        <w:spacing w:after="0" w:line="20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Personnel costs decreased $16.9 million in the three months ended March 31, 2021 compared to the corresponding period in 2020. The decrease was primarily driven by $16.8 million in investment success bonuses paid in the 2020 period related to our sales of shares of Ceridian paid in 2020.</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by $20.9 million in the three months ended March 31, 2021 compared to the corresponding period in 2020. The increase was primarily driven by $17.1 million of carried interest expense incurred with our Manager related to distributions received by the Company from the Senator JV.</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Recognized (losses) gains, net, decreased $1,220.0 million in the three months ended March 31, 2021 compared to the corresponding period in 2020. The decrease is primarily attributable to a loss of $312.1 million on our equity securities of Ceridian in the three months ended March 31, 2021 compared to a gain of $223.1 million on the sale of a portion of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holdings of Ceridian stock in February 2020 and a gain of $684.9 million on our change in accounting for our investment in Ceridian in the 2020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D for further information on recognized gains on equity securities.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(Loss) earnings before income taxes decreased $1,222.8 million in the three months ended March 31, 2021 compared to the corresponding period in 2020. The decreased earnings was primarily attributable to the factors noted above.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additional investments, business acquisitions or stock repurchases.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2021, we had cash and cash equivalents of $439.7 million, of which $387.2 million was cash held by the corporate holding company, and $200.0 million of capacity under our existing holding company credit facilities with the ability to add an additional $400.0 million of borrowing capacity by amending our 2020 Margin Facility.</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evaluating our assets and investments as potential vehicles for creating liquidity. Our intent is to use that liquidity for general corporate purposes, including future investments, potentially reducing debt, repurchasing shares of our stock, other strategic initiatives and/or conserving cash.</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(used in) operations for the three months ended March 31, 2021 and 2020 totaled $6.0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$(34.3) million, respectively. The increase in cash provided by (decrease in cash used in) operations of $40.3 million is primarily attributable to the timing of payment and receipt of working capital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(used in) provided by investing activities for the three months ended March 31, 2021 and 2020 were $(282.8)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$31.3 million, respectively. The decrease in cash provided by (increase in cash used in) investing activities of $314.1 million in the 2021 period from the 2020 period is primarily attributable to a net increase in new and additional investments in unconsolidated affiliates of 303.3 million in the 2021 period compared to the 2020 period.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$1.9 million and $13.6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 periods ended March 31, 2021 and 2020, respectively. The capital expenditures in 2021 and 2020 primarily consisted of purchases of property and equipment in our Restaurant Group segment.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three months ended March 31, 2021 and 2020 were $4.1 million and $86.4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used in financing activities of $82.3 million is primarily attributable to a net decrease in debt proceeds net of service payments of $4.4 million in the 2021 period compared to $78.7 in the 2020 period and $10.8 million of cash paid for purchases of Treasury stock in the 2020 period.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F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included in our Annual Report on Form 10-K.</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 payments include the expected future rent payments of the Company and its operating subsidiaries, primarily for the Restaurant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2021 to determine the amount of these obligations.</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$2,024.9 million as of March 31, 2021.</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our required annual payments relating to these contractual obligations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7"/>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r>
      <w:tr>
        <w:trPr>
          <w:trHeight w:val="21"/>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A and Note C to our Condensed Consolidated Financial Statements included in Item 1 of Part I of this Quarterly Report for further discussion of our commitments to fund the Forward Purchase Agreement and Subscription Agreements.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September 19, 2019, our Board of Directors approved a three-year stock repurchase program effective September 19,</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"2019 Repurchase Program") under which we may purchase up to 5 million shares of our CNNE common stock through September 30, 2022. We may make repurchases from time to time in the open market, in block purchases or in privately negotiated transactions, depending on market conditions and other factors.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1, 2021, we announced that our Board has authorized an additional three-year stock repurchase program, effective February 26, 2021 (the "2021 Repurchase 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did not repurchase any shares of CNNE common stock during the three months ended March 31, 2021 under either the 2019 Repurchase Program or the 2021 Repurchase Program. Since the original commencement of the 2019 Repurchase Program through market close on March 31, 2021, we repurchased a total of 688,416 common shares for approximately $19.3 million in the aggregate, or an average of $28.06 per share.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2020.</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G.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jc w:val="center"/>
              <w:ind w:right="320"/>
              <w:spacing w:after="0"/>
              <w:rPr>
                <w:rFonts w:ascii="Arial" w:cs="Arial" w:eastAsia="Arial" w:hAnsi="Arial"/>
                <w:sz w:val="18"/>
                <w:szCs w:val="18"/>
                <w:b w:val="1"/>
                <w:bCs w:val="1"/>
                <w:color w:val="0000FF"/>
                <w:w w:val="89"/>
              </w:rPr>
            </w:pPr>
            <w:hyperlink w:anchor="page1">
              <w:r>
                <w:rPr>
                  <w:rFonts w:ascii="Arial" w:cs="Arial" w:eastAsia="Arial" w:hAnsi="Arial"/>
                  <w:sz w:val="18"/>
                  <w:szCs w:val="18"/>
                  <w:b w:val="1"/>
                  <w:bCs w:val="1"/>
                  <w:color w:val="0000FF"/>
                  <w:w w:val="89"/>
                </w:rPr>
                <w:t>Table of Contents</w:t>
              </w:r>
            </w:hyperlink>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jc w:val="center"/>
              <w:ind w:right="30"/>
              <w:spacing w:after="0"/>
              <w:rPr>
                <w:sz w:val="20"/>
                <w:szCs w:val="20"/>
                <w:color w:val="auto"/>
              </w:rPr>
            </w:pPr>
            <w:r>
              <w:rPr>
                <w:rFonts w:ascii="Arial" w:cs="Arial" w:eastAsia="Arial" w:hAnsi="Arial"/>
                <w:sz w:val="18"/>
                <w:szCs w:val="18"/>
                <w:b w:val="1"/>
                <w:bCs w:val="1"/>
                <w:color w:val="auto"/>
                <w:w w:val="93"/>
              </w:rPr>
              <w:t>Item 6. Exhibits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 Exhibits: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11"/>
            <w:vMerge w:val="restart"/>
          </w:tcPr>
          <w:p>
            <w:pPr>
              <w:ind w:left="1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4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3"/>
                <w:szCs w:val="23"/>
                <w:color w:val="auto"/>
              </w:rPr>
            </w:pPr>
          </w:p>
        </w:tc>
        <w:tc>
          <w:tcPr>
            <w:tcW w:w="9600" w:type="dxa"/>
            <w:vAlign w:val="bottom"/>
            <w:gridSpan w:val="13"/>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Subscription Agreement, dated as of January 25, 2021, by and among Foley Trasimene Acquisition Corp., Acrobat Holdings, Inc.</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and Cannae Holdings, LLC (incorporated by reference to Exhibit 10.1 to the Company's Current Report on Form 8-K, filed January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27, 2021).</w:t>
              </w:r>
            </w:hyperlink>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320" w:type="dxa"/>
            <w:vAlign w:val="bottom"/>
          </w:tcPr>
          <w:p>
            <w:pPr>
              <w:spacing w:after="0"/>
              <w:rPr>
                <w:sz w:val="22"/>
                <w:szCs w:val="22"/>
                <w:color w:val="auto"/>
              </w:rPr>
            </w:pPr>
          </w:p>
        </w:tc>
        <w:tc>
          <w:tcPr>
            <w:tcW w:w="9600" w:type="dxa"/>
            <w:vAlign w:val="bottom"/>
            <w:gridSpan w:val="13"/>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Amended and Restated Sponsor Agreement, dated as of January 25, 2021 (incorporated by reference to Exhibit 10.2 to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Company's Current Report on Form 8-K, filed January 27,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20" w:type="dxa"/>
            <w:vAlign w:val="bottom"/>
          </w:tcPr>
          <w:p>
            <w:pPr>
              <w:spacing w:after="0"/>
              <w:rPr>
                <w:sz w:val="22"/>
                <w:szCs w:val="22"/>
                <w:color w:val="auto"/>
              </w:rPr>
            </w:pPr>
          </w:p>
        </w:tc>
        <w:tc>
          <w:tcPr>
            <w:tcW w:w="9600" w:type="dxa"/>
            <w:vAlign w:val="bottom"/>
            <w:gridSpan w:val="13"/>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First Amendment to Management Services Agreement, dated as of January 27, 2021, by and among Cannae Holdings, Inc., Cannae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Holdings, LLC and Trasimene Capital Management, LLC (incorporated by reference to Exhibit 10.1 to the Company's Current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Report on Form 8-K, filed January 29, 2021).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2"/>
                <w:szCs w:val="22"/>
                <w:color w:val="auto"/>
              </w:rPr>
            </w:pPr>
          </w:p>
        </w:tc>
        <w:tc>
          <w:tcPr>
            <w:tcW w:w="72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Chief Executive Officer pursuant to Section 302 of the Sarbanes-Oxley Act of 2002.</w:t>
              </w:r>
            </w:hyperlink>
          </w:p>
        </w:tc>
        <w:tc>
          <w:tcPr>
            <w:tcW w:w="23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5420" w:type="dxa"/>
            <w:vAlign w:val="bottom"/>
            <w:gridSpan w:val="3"/>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by Chief Executive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44">
              <w:r>
                <w:rPr>
                  <w:rFonts w:ascii="Arial" w:cs="Arial" w:eastAsia="Arial" w:hAnsi="Arial"/>
                  <w:sz w:val="18"/>
                  <w:szCs w:val="18"/>
                  <w:color w:val="0000FF"/>
                  <w:w w:val="90"/>
                </w:rPr>
                <w:t>18 U.S.C. Section 1350.</w:t>
              </w:r>
            </w:hyperlink>
          </w:p>
        </w:tc>
        <w:tc>
          <w:tcPr>
            <w:tcW w:w="772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24"/>
                <w:szCs w:val="24"/>
                <w:color w:val="auto"/>
              </w:rPr>
            </w:pPr>
          </w:p>
        </w:tc>
        <w:tc>
          <w:tcPr>
            <w:tcW w:w="9600" w:type="dxa"/>
            <w:vAlign w:val="bottom"/>
            <w:gridSpan w:val="13"/>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Certification by Chief Financial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18 U.S.C. Section 1350.</w:t>
              </w:r>
            </w:hyperlink>
          </w:p>
        </w:tc>
        <w:tc>
          <w:tcPr>
            <w:tcW w:w="778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101.SCH</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101.CAL</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101.DEF</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101.LAB</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80" w:hanging="1179"/>
        <w:spacing w:after="0"/>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7" w:lineRule="exact"/>
        <w:rPr>
          <w:rFonts w:ascii="Arial" w:cs="Arial" w:eastAsia="Arial" w:hAnsi="Arial"/>
          <w:sz w:val="18"/>
          <w:szCs w:val="18"/>
          <w:color w:val="auto"/>
        </w:rPr>
      </w:pPr>
    </w:p>
    <w:p>
      <w:pPr>
        <w:spacing w:after="0" w:line="258" w:lineRule="auto"/>
        <w:rPr>
          <w:rFonts w:ascii="Arial" w:cs="Arial" w:eastAsia="Arial" w:hAnsi="Arial"/>
          <w:sz w:val="18"/>
          <w:szCs w:val="18"/>
          <w:color w:val="auto"/>
        </w:rPr>
      </w:pPr>
      <w:r>
        <w:rPr>
          <w:rFonts w:ascii="Arial" w:cs="Arial" w:eastAsia="Arial" w:hAnsi="Arial"/>
          <w:sz w:val="18"/>
          <w:szCs w:val="18"/>
          <w:color w:val="auto"/>
        </w:rPr>
        <w:t>* Certain schedules have been omitted pursuant to Item 601(b)(5) of Regulation S-K. Cannae Holdings, Inc. agrees to furnish supplementally a copy of any omitted schedule to the Securities and Exchange Commission upon request.</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Date: May 10, 2021</w:t>
            </w:r>
          </w:p>
        </w:tc>
        <w:tc>
          <w:tcPr>
            <w:tcW w:w="6720" w:type="dxa"/>
            <w:vAlign w:val="bottom"/>
            <w:gridSpan w:val="2"/>
          </w:tcPr>
          <w:p>
            <w:pPr>
              <w:ind w:left="1560"/>
              <w:spacing w:after="0"/>
              <w:rPr>
                <w:sz w:val="20"/>
                <w:szCs w:val="20"/>
                <w:color w:val="auto"/>
              </w:rPr>
            </w:pPr>
            <w:r>
              <w:rPr>
                <w:rFonts w:ascii="Arial" w:cs="Arial" w:eastAsia="Arial" w:hAnsi="Arial"/>
                <w:sz w:val="18"/>
                <w:szCs w:val="18"/>
                <w:color w:val="auto"/>
              </w:rPr>
              <w:t>CANNAE HOLDINGS, INC.</w:t>
            </w:r>
          </w:p>
        </w:tc>
      </w:tr>
      <w:tr>
        <w:trPr>
          <w:trHeight w:val="230"/>
        </w:trPr>
        <w:tc>
          <w:tcPr>
            <w:tcW w:w="3000" w:type="dxa"/>
            <w:vAlign w:val="bottom"/>
          </w:tcPr>
          <w:p>
            <w:pPr>
              <w:spacing w:after="0"/>
              <w:rPr>
                <w:sz w:val="20"/>
                <w:szCs w:val="20"/>
                <w:color w:val="auto"/>
              </w:rPr>
            </w:pPr>
          </w:p>
        </w:tc>
        <w:tc>
          <w:tcPr>
            <w:tcW w:w="6720" w:type="dxa"/>
            <w:vAlign w:val="bottom"/>
            <w:gridSpan w:val="2"/>
          </w:tcPr>
          <w:p>
            <w:pPr>
              <w:ind w:left="1560"/>
              <w:spacing w:after="0"/>
              <w:rPr>
                <w:sz w:val="20"/>
                <w:szCs w:val="20"/>
                <w:color w:val="auto"/>
              </w:rPr>
            </w:pPr>
            <w:r>
              <w:rPr>
                <w:rFonts w:ascii="Arial" w:cs="Arial" w:eastAsia="Arial" w:hAnsi="Arial"/>
                <w:sz w:val="18"/>
                <w:szCs w:val="18"/>
                <w:color w:val="auto"/>
              </w:rPr>
              <w:t>(registrant)</w:t>
            </w:r>
          </w:p>
        </w:tc>
      </w:tr>
      <w:tr>
        <w:trPr>
          <w:trHeight w:val="404"/>
        </w:trPr>
        <w:tc>
          <w:tcPr>
            <w:tcW w:w="3000" w:type="dxa"/>
            <w:vAlign w:val="bottom"/>
          </w:tcPr>
          <w:p>
            <w:pPr>
              <w:spacing w:after="0"/>
              <w:rPr>
                <w:sz w:val="24"/>
                <w:szCs w:val="24"/>
                <w:color w:val="auto"/>
              </w:rPr>
            </w:pPr>
          </w:p>
        </w:tc>
        <w:tc>
          <w:tcPr>
            <w:tcW w:w="6720" w:type="dxa"/>
            <w:vAlign w:val="bottom"/>
            <w:gridSpan w:val="2"/>
          </w:tcPr>
          <w:p>
            <w:pPr>
              <w:ind w:left="1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22"/>
        </w:trPr>
        <w:tc>
          <w:tcPr>
            <w:tcW w:w="3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6"/>
        </w:trPr>
        <w:tc>
          <w:tcPr>
            <w:tcW w:w="30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77"/>
        </w:trPr>
        <w:tc>
          <w:tcPr>
            <w:tcW w:w="3000" w:type="dxa"/>
            <w:vAlign w:val="bottom"/>
          </w:tcPr>
          <w:p>
            <w:pPr>
              <w:spacing w:after="0"/>
              <w:rPr>
                <w:sz w:val="24"/>
                <w:szCs w:val="24"/>
                <w:color w:val="auto"/>
              </w:rPr>
            </w:pPr>
          </w:p>
        </w:tc>
        <w:tc>
          <w:tcPr>
            <w:tcW w:w="6720" w:type="dxa"/>
            <w:vAlign w:val="bottom"/>
            <w:gridSpan w:val="2"/>
          </w:tcPr>
          <w:p>
            <w:pPr>
              <w:jc w:val="right"/>
              <w:ind w:right="437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120"/>
          </w:cols>
          <w:pgMar w:left="320" w:top="121" w:right="4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5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W. Ducommun</w:t>
      </w:r>
    </w:p>
    <w:p>
      <w:pPr>
        <w:ind w:left="11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1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23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6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3343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3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66"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3261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25"/>
    </w:lvl>
  </w:abstractNum>
  <w:abstractNum w:abstractNumId="6">
    <w:nsid w:val="1190CDE7"/>
    <w:multiLevelType w:val="hybridMultilevel"/>
    <w:lvl w:ilvl="0">
      <w:lvlJc w:val="left"/>
      <w:lvlText w:val="(%1)"/>
      <w:numFmt w:val="lowerLetter"/>
      <w:start w:val="6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
      <w:numFmt w:val="bullet"/>
      <w:start w:val="1"/>
    </w:lvl>
    <w:lvl w:ilvl="1">
      <w:lvlJc w:val="left"/>
      <w:lvlText w:val="%2"/>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3" Type="http://schemas.openxmlformats.org/officeDocument/2006/relationships/hyperlink" Target="http://www.sec.gov/Archives/edgar/data/0001704720/000119312521018110/d106084dex101.htm" TargetMode="External"/><Relationship Id="rId54" Type="http://schemas.openxmlformats.org/officeDocument/2006/relationships/hyperlink" Target="http://www.sec.gov/Archives/edgar/data/0001704720/000119312521018110/d106084dex102.htm" TargetMode="External"/><Relationship Id="rId55" Type="http://schemas.openxmlformats.org/officeDocument/2006/relationships/hyperlink" Target="http://www.sec.gov/Archives/edgar/data/0001704720/000170472021000004/exhibit991first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2021-05-10T15:15:35Z</dcterms:created>
  <dcterms:modified xsi:type="dcterms:W3CDTF">2021-05-10T15:15:35Z</dcterms:modified>
</cp:coreProperties>
</file>