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20955</wp:posOffset>
            </wp:positionH>
            <wp:positionV relativeFrom="paragraph">
              <wp:posOffset>402590</wp:posOffset>
            </wp:positionV>
            <wp:extent cx="710120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01205" cy="17145"/>
                    </a:xfrm>
                    <a:prstGeom prst="rect">
                      <a:avLst/>
                    </a:prstGeom>
                    <a:noFill/>
                  </pic:spPr>
                </pic:pic>
              </a:graphicData>
            </a:graphic>
          </wp:anchor>
        </w:drawing>
        <w:drawing>
          <wp:anchor simplePos="0" relativeHeight="251657728" behindDoc="1" locked="0" layoutInCell="0" allowOverlap="1">
            <wp:simplePos x="0" y="0"/>
            <wp:positionH relativeFrom="column">
              <wp:posOffset>20955</wp:posOffset>
            </wp:positionH>
            <wp:positionV relativeFrom="paragraph">
              <wp:posOffset>444500</wp:posOffset>
            </wp:positionV>
            <wp:extent cx="710120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0120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WASHINGTON, D.C. 20549</w:t>
      </w:r>
    </w:p>
    <w:p>
      <w:pPr>
        <w:spacing w:after="0" w:line="9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72" w:lineRule="exact"/>
        <w:rPr>
          <w:sz w:val="24"/>
          <w:szCs w:val="24"/>
          <w:color w:val="auto"/>
        </w:rPr>
      </w:pPr>
    </w:p>
    <w:p>
      <w:pPr>
        <w:ind w:left="3920" w:right="580" w:hanging="3519"/>
        <w:spacing w:after="0" w:line="395" w:lineRule="auto"/>
        <w:tabs>
          <w:tab w:leader="none" w:pos="1722"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June 30, 2023</w:t>
      </w:r>
    </w:p>
    <w:p>
      <w:pPr>
        <w:spacing w:after="0" w:line="8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45" w:lineRule="exact"/>
        <w:rPr>
          <w:sz w:val="24"/>
          <w:szCs w:val="24"/>
          <w:color w:val="auto"/>
        </w:rPr>
      </w:pPr>
    </w:p>
    <w:p>
      <w:pPr>
        <w:ind w:left="4340" w:right="560" w:hanging="3939"/>
        <w:spacing w:after="0" w:line="363" w:lineRule="auto"/>
        <w:tabs>
          <w:tab w:leader="none" w:pos="1717"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Commission File Number 1-38300</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42"/>
          <w:szCs w:val="42"/>
          <w:b w:val="1"/>
          <w:bCs w:val="1"/>
          <w:color w:val="auto"/>
        </w:rPr>
        <w:t>CANNAE HOLDINGS, INC.</w:t>
      </w:r>
    </w:p>
    <w:p>
      <w:pPr>
        <w:spacing w:after="0" w:line="57" w:lineRule="exact"/>
        <w:rPr>
          <w:sz w:val="24"/>
          <w:szCs w:val="24"/>
          <w:color w:val="auto"/>
        </w:rPr>
      </w:pPr>
    </w:p>
    <w:p>
      <w:pPr>
        <w:ind w:left="1640"/>
        <w:spacing w:after="0"/>
        <w:rPr>
          <w:sz w:val="20"/>
          <w:szCs w:val="20"/>
          <w:color w:val="auto"/>
        </w:rPr>
      </w:pPr>
      <w:r>
        <w:rPr>
          <w:rFonts w:ascii="Arial" w:cs="Arial" w:eastAsia="Arial" w:hAnsi="Arial"/>
          <w:sz w:val="11"/>
          <w:szCs w:val="11"/>
          <w:b w:val="1"/>
          <w:bCs w:val="1"/>
          <w:color w:val="auto"/>
        </w:rPr>
        <w:t>______________________________________________________________________________________________________________________________________________________</w:t>
      </w: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31" w:lineRule="exact"/>
        <w:rPr>
          <w:sz w:val="24"/>
          <w:szCs w:val="24"/>
          <w:color w:val="auto"/>
        </w:rPr>
      </w:pPr>
    </w:p>
    <w:tbl>
      <w:tblPr>
        <w:tblLayout w:type="fixed"/>
        <w:tblInd w:w="180" w:type="dxa"/>
        <w:tblCellMar>
          <w:top w:w="0" w:type="dxa"/>
          <w:left w:w="0" w:type="dxa"/>
          <w:bottom w:w="0" w:type="dxa"/>
          <w:right w:w="0" w:type="dxa"/>
        </w:tblCellMar>
      </w:tblPr>
      <w:tr>
        <w:trPr>
          <w:trHeight w:val="230"/>
        </w:trPr>
        <w:tc>
          <w:tcPr>
            <w:tcW w:w="4020" w:type="dxa"/>
            <w:vAlign w:val="bottom"/>
          </w:tcPr>
          <w:p>
            <w:pPr>
              <w:jc w:val="center"/>
              <w:ind w:left="932"/>
              <w:spacing w:after="0"/>
              <w:rPr>
                <w:sz w:val="20"/>
                <w:szCs w:val="20"/>
                <w:color w:val="auto"/>
              </w:rPr>
            </w:pPr>
            <w:r>
              <w:rPr>
                <w:rFonts w:ascii="Arial" w:cs="Arial" w:eastAsia="Arial" w:hAnsi="Arial"/>
                <w:sz w:val="18"/>
                <w:szCs w:val="18"/>
                <w:b w:val="1"/>
                <w:bCs w:val="1"/>
                <w:color w:val="auto"/>
                <w:w w:val="91"/>
              </w:rPr>
              <w:t>Delaware</w:t>
            </w:r>
          </w:p>
        </w:tc>
        <w:tc>
          <w:tcPr>
            <w:tcW w:w="760" w:type="dxa"/>
            <w:vAlign w:val="bottom"/>
          </w:tcPr>
          <w:p>
            <w:pPr>
              <w:spacing w:after="0"/>
              <w:rPr>
                <w:sz w:val="20"/>
                <w:szCs w:val="20"/>
                <w:color w:val="auto"/>
              </w:rPr>
            </w:pPr>
          </w:p>
        </w:tc>
        <w:tc>
          <w:tcPr>
            <w:tcW w:w="6100" w:type="dxa"/>
            <w:vAlign w:val="bottom"/>
            <w:gridSpan w:val="3"/>
          </w:tcPr>
          <w:p>
            <w:pPr>
              <w:jc w:val="right"/>
              <w:ind w:right="2032"/>
              <w:spacing w:after="0"/>
              <w:rPr>
                <w:sz w:val="20"/>
                <w:szCs w:val="20"/>
                <w:color w:val="auto"/>
              </w:rPr>
            </w:pPr>
            <w:r>
              <w:rPr>
                <w:rFonts w:ascii="Arial" w:cs="Arial" w:eastAsia="Arial" w:hAnsi="Arial"/>
                <w:sz w:val="18"/>
                <w:szCs w:val="18"/>
                <w:b w:val="1"/>
                <w:bCs w:val="1"/>
                <w:color w:val="auto"/>
              </w:rPr>
              <w:t>82-1273460</w:t>
            </w:r>
          </w:p>
        </w:tc>
      </w:tr>
      <w:tr>
        <w:trPr>
          <w:trHeight w:val="180"/>
        </w:trPr>
        <w:tc>
          <w:tcPr>
            <w:tcW w:w="4020" w:type="dxa"/>
            <w:vAlign w:val="bottom"/>
            <w:tcBorders>
              <w:top w:val="single" w:sz="8" w:color="auto"/>
            </w:tcBorders>
          </w:tcPr>
          <w:p>
            <w:pPr>
              <w:jc w:val="center"/>
              <w:ind w:left="912"/>
              <w:spacing w:after="0" w:line="181" w:lineRule="exact"/>
              <w:rPr>
                <w:sz w:val="20"/>
                <w:szCs w:val="20"/>
                <w:color w:val="auto"/>
              </w:rPr>
            </w:pPr>
            <w:r>
              <w:rPr>
                <w:rFonts w:ascii="Arial" w:cs="Arial" w:eastAsia="Arial" w:hAnsi="Arial"/>
                <w:sz w:val="18"/>
                <w:szCs w:val="18"/>
                <w:color w:val="auto"/>
                <w:w w:val="91"/>
              </w:rPr>
              <w:t>(State or other jurisdiction of</w:t>
            </w:r>
          </w:p>
        </w:tc>
        <w:tc>
          <w:tcPr>
            <w:tcW w:w="76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720" w:type="dxa"/>
            <w:vAlign w:val="bottom"/>
          </w:tcPr>
          <w:p>
            <w:pPr>
              <w:spacing w:after="0"/>
              <w:rPr>
                <w:sz w:val="15"/>
                <w:szCs w:val="15"/>
                <w:color w:val="auto"/>
              </w:rPr>
            </w:pPr>
          </w:p>
        </w:tc>
        <w:tc>
          <w:tcPr>
            <w:tcW w:w="5120" w:type="dxa"/>
            <w:vAlign w:val="bottom"/>
            <w:tcBorders>
              <w:top w:val="single" w:sz="8" w:color="auto"/>
            </w:tcBorders>
          </w:tcPr>
          <w:p>
            <w:pPr>
              <w:jc w:val="center"/>
              <w:spacing w:after="0" w:line="181" w:lineRule="exact"/>
              <w:rPr>
                <w:sz w:val="20"/>
                <w:szCs w:val="20"/>
                <w:color w:val="auto"/>
              </w:rPr>
            </w:pPr>
            <w:r>
              <w:rPr>
                <w:rFonts w:ascii="Arial" w:cs="Arial" w:eastAsia="Arial" w:hAnsi="Arial"/>
                <w:sz w:val="18"/>
                <w:szCs w:val="18"/>
                <w:color w:val="auto"/>
                <w:w w:val="92"/>
              </w:rPr>
              <w:t>(I.R.S. Employer</w:t>
            </w:r>
          </w:p>
        </w:tc>
      </w:tr>
      <w:tr>
        <w:trPr>
          <w:trHeight w:val="224"/>
        </w:trPr>
        <w:tc>
          <w:tcPr>
            <w:tcW w:w="4020" w:type="dxa"/>
            <w:vAlign w:val="bottom"/>
          </w:tcPr>
          <w:p>
            <w:pPr>
              <w:jc w:val="center"/>
              <w:ind w:left="932"/>
              <w:spacing w:after="0"/>
              <w:rPr>
                <w:sz w:val="20"/>
                <w:szCs w:val="20"/>
                <w:color w:val="auto"/>
              </w:rPr>
            </w:pPr>
            <w:r>
              <w:rPr>
                <w:rFonts w:ascii="Arial" w:cs="Arial" w:eastAsia="Arial" w:hAnsi="Arial"/>
                <w:sz w:val="18"/>
                <w:szCs w:val="18"/>
                <w:color w:val="auto"/>
                <w:w w:val="90"/>
              </w:rPr>
              <w:t>incorporation or organization)</w:t>
            </w: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120" w:type="dxa"/>
            <w:vAlign w:val="bottom"/>
          </w:tcPr>
          <w:p>
            <w:pPr>
              <w:jc w:val="center"/>
              <w:spacing w:after="0"/>
              <w:rPr>
                <w:sz w:val="20"/>
                <w:szCs w:val="20"/>
                <w:color w:val="auto"/>
              </w:rPr>
            </w:pPr>
            <w:r>
              <w:rPr>
                <w:rFonts w:ascii="Arial" w:cs="Arial" w:eastAsia="Arial" w:hAnsi="Arial"/>
                <w:sz w:val="18"/>
                <w:szCs w:val="18"/>
                <w:color w:val="auto"/>
                <w:w w:val="91"/>
              </w:rPr>
              <w:t>Identification Number)</w:t>
            </w:r>
          </w:p>
        </w:tc>
      </w:tr>
      <w:tr>
        <w:trPr>
          <w:trHeight w:val="459"/>
        </w:trPr>
        <w:tc>
          <w:tcPr>
            <w:tcW w:w="4020" w:type="dxa"/>
            <w:vAlign w:val="bottom"/>
          </w:tcPr>
          <w:p>
            <w:pPr>
              <w:ind w:left="640"/>
              <w:spacing w:after="0"/>
              <w:rPr>
                <w:sz w:val="20"/>
                <w:szCs w:val="20"/>
                <w:color w:val="auto"/>
              </w:rPr>
            </w:pPr>
            <w:r>
              <w:rPr>
                <w:rFonts w:ascii="Arial" w:cs="Arial" w:eastAsia="Arial" w:hAnsi="Arial"/>
                <w:sz w:val="18"/>
                <w:szCs w:val="18"/>
                <w:b w:val="1"/>
                <w:bCs w:val="1"/>
                <w:color w:val="auto"/>
              </w:rPr>
              <w:t>1701 Village Center Circle,  Las Vegas,</w:t>
            </w:r>
          </w:p>
        </w:tc>
        <w:tc>
          <w:tcPr>
            <w:tcW w:w="760" w:type="dxa"/>
            <w:vAlign w:val="bottom"/>
          </w:tcPr>
          <w:p>
            <w:pPr>
              <w:ind w:left="100"/>
              <w:spacing w:after="0"/>
              <w:rPr>
                <w:sz w:val="20"/>
                <w:szCs w:val="20"/>
                <w:color w:val="auto"/>
              </w:rPr>
            </w:pPr>
            <w:r>
              <w:rPr>
                <w:rFonts w:ascii="Arial" w:cs="Arial" w:eastAsia="Arial" w:hAnsi="Arial"/>
                <w:sz w:val="18"/>
                <w:szCs w:val="18"/>
                <w:b w:val="1"/>
                <w:bCs w:val="1"/>
                <w:color w:val="auto"/>
                <w:w w:val="99"/>
              </w:rPr>
              <w:t>Nevada</w:t>
            </w:r>
          </w:p>
        </w:tc>
        <w:tc>
          <w:tcPr>
            <w:tcW w:w="6100" w:type="dxa"/>
            <w:vAlign w:val="bottom"/>
            <w:gridSpan w:val="3"/>
          </w:tcPr>
          <w:p>
            <w:pPr>
              <w:jc w:val="right"/>
              <w:ind w:right="2232"/>
              <w:spacing w:after="0"/>
              <w:rPr>
                <w:sz w:val="20"/>
                <w:szCs w:val="20"/>
                <w:color w:val="auto"/>
              </w:rPr>
            </w:pPr>
            <w:r>
              <w:rPr>
                <w:rFonts w:ascii="Arial" w:cs="Arial" w:eastAsia="Arial" w:hAnsi="Arial"/>
                <w:sz w:val="18"/>
                <w:szCs w:val="18"/>
                <w:b w:val="1"/>
                <w:bCs w:val="1"/>
                <w:color w:val="auto"/>
              </w:rPr>
              <w:t>89134</w:t>
            </w:r>
          </w:p>
        </w:tc>
      </w:tr>
      <w:tr>
        <w:trPr>
          <w:trHeight w:val="224"/>
        </w:trPr>
        <w:tc>
          <w:tcPr>
            <w:tcW w:w="4020" w:type="dxa"/>
            <w:vAlign w:val="bottom"/>
            <w:tcBorders>
              <w:top w:val="single" w:sz="8" w:color="auto"/>
            </w:tcBorders>
          </w:tcPr>
          <w:p>
            <w:pPr>
              <w:jc w:val="center"/>
              <w:ind w:left="932"/>
              <w:spacing w:after="0"/>
              <w:rPr>
                <w:sz w:val="20"/>
                <w:szCs w:val="20"/>
                <w:color w:val="auto"/>
              </w:rPr>
            </w:pPr>
            <w:r>
              <w:rPr>
                <w:rFonts w:ascii="Arial" w:cs="Arial" w:eastAsia="Arial" w:hAnsi="Arial"/>
                <w:sz w:val="18"/>
                <w:szCs w:val="18"/>
                <w:color w:val="auto"/>
                <w:w w:val="90"/>
              </w:rPr>
              <w:t>(Address of principal executive offices)</w:t>
            </w:r>
          </w:p>
        </w:tc>
        <w:tc>
          <w:tcPr>
            <w:tcW w:w="76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720" w:type="dxa"/>
            <w:vAlign w:val="bottom"/>
          </w:tcPr>
          <w:p>
            <w:pPr>
              <w:spacing w:after="0"/>
              <w:rPr>
                <w:sz w:val="19"/>
                <w:szCs w:val="19"/>
                <w:color w:val="auto"/>
              </w:rPr>
            </w:pPr>
          </w:p>
        </w:tc>
        <w:tc>
          <w:tcPr>
            <w:tcW w:w="51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(Zip Code)</w:t>
            </w:r>
          </w:p>
        </w:tc>
      </w:tr>
      <w:tr>
        <w:trPr>
          <w:trHeight w:val="305"/>
        </w:trPr>
        <w:tc>
          <w:tcPr>
            <w:tcW w:w="40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100" w:type="dxa"/>
            <w:vAlign w:val="bottom"/>
            <w:gridSpan w:val="3"/>
          </w:tcPr>
          <w:p>
            <w:pPr>
              <w:jc w:val="right"/>
              <w:ind w:right="4792"/>
              <w:spacing w:after="0"/>
              <w:rPr>
                <w:sz w:val="20"/>
                <w:szCs w:val="20"/>
                <w:color w:val="auto"/>
              </w:rPr>
            </w:pPr>
            <w:r>
              <w:rPr>
                <w:rFonts w:ascii="Arial" w:cs="Arial" w:eastAsia="Arial" w:hAnsi="Arial"/>
                <w:sz w:val="18"/>
                <w:szCs w:val="18"/>
                <w:b w:val="1"/>
                <w:bCs w:val="1"/>
                <w:color w:val="auto"/>
                <w:w w:val="97"/>
              </w:rPr>
              <w:t>(702) 323-7330</w:t>
            </w:r>
          </w:p>
        </w:tc>
      </w:tr>
    </w:tbl>
    <w:p>
      <w:pPr>
        <w:spacing w:after="0" w:line="5" w:lineRule="exact"/>
        <w:rPr>
          <w:sz w:val="24"/>
          <w:szCs w:val="24"/>
          <w:color w:val="auto"/>
        </w:rPr>
      </w:pPr>
    </w:p>
    <w:p>
      <w:pPr>
        <w:ind w:left="3840"/>
        <w:spacing w:after="0"/>
        <w:rPr>
          <w:sz w:val="20"/>
          <w:szCs w:val="20"/>
          <w:color w:val="auto"/>
        </w:rPr>
      </w:pPr>
      <w:r>
        <w:rPr>
          <w:rFonts w:ascii="Arial" w:cs="Arial" w:eastAsia="Arial" w:hAnsi="Arial"/>
          <w:sz w:val="11"/>
          <w:szCs w:val="11"/>
          <w:color w:val="auto"/>
        </w:rPr>
        <w:t>___________________________________________________________________</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5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39" w:lineRule="exact"/>
        <w:rPr>
          <w:sz w:val="24"/>
          <w:szCs w:val="24"/>
          <w:color w:val="auto"/>
        </w:rPr>
      </w:pPr>
    </w:p>
    <w:tbl>
      <w:tblPr>
        <w:tblLayout w:type="fixed"/>
        <w:tblInd w:w="600" w:type="dxa"/>
        <w:tblCellMar>
          <w:top w:w="0" w:type="dxa"/>
          <w:left w:w="0" w:type="dxa"/>
          <w:bottom w:w="0" w:type="dxa"/>
          <w:right w:w="0" w:type="dxa"/>
        </w:tblCellMar>
      </w:tblPr>
      <w:tr>
        <w:trPr>
          <w:trHeight w:val="184"/>
        </w:trPr>
        <w:tc>
          <w:tcPr>
            <w:tcW w:w="1000" w:type="dxa"/>
            <w:vAlign w:val="bottom"/>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1"/>
              </w:rPr>
              <w:t>Title of Each Class</w:t>
            </w:r>
          </w:p>
        </w:tc>
        <w:tc>
          <w:tcPr>
            <w:tcW w:w="1980" w:type="dxa"/>
            <w:vAlign w:val="bottom"/>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2"/>
              </w:rPr>
              <w:t>Trading Symbol</w:t>
            </w:r>
          </w:p>
        </w:tc>
        <w:tc>
          <w:tcPr>
            <w:tcW w:w="1420" w:type="dxa"/>
            <w:vAlign w:val="bottom"/>
          </w:tcPr>
          <w:p>
            <w:pPr>
              <w:spacing w:after="0"/>
              <w:rPr>
                <w:sz w:val="16"/>
                <w:szCs w:val="16"/>
                <w:color w:val="auto"/>
              </w:rPr>
            </w:pPr>
          </w:p>
        </w:tc>
        <w:tc>
          <w:tcPr>
            <w:tcW w:w="29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9"/>
              </w:rPr>
              <w:t>Name of Each Exchange on Which Registered</w:t>
            </w:r>
          </w:p>
        </w:tc>
      </w:tr>
      <w:tr>
        <w:trPr>
          <w:trHeight w:val="244"/>
        </w:trPr>
        <w:tc>
          <w:tcPr>
            <w:tcW w:w="4200" w:type="dxa"/>
            <w:vAlign w:val="bottom"/>
            <w:gridSpan w:val="3"/>
          </w:tcPr>
          <w:p>
            <w:pPr>
              <w:jc w:val="center"/>
              <w:ind w:right="980"/>
              <w:spacing w:after="0"/>
              <w:rPr>
                <w:sz w:val="20"/>
                <w:szCs w:val="20"/>
                <w:color w:val="auto"/>
              </w:rPr>
            </w:pPr>
            <w:r>
              <w:rPr>
                <w:rFonts w:ascii="Arial" w:cs="Arial" w:eastAsia="Arial" w:hAnsi="Arial"/>
                <w:sz w:val="18"/>
                <w:szCs w:val="18"/>
                <w:b w:val="1"/>
                <w:bCs w:val="1"/>
                <w:color w:val="auto"/>
                <w:w w:val="89"/>
              </w:rPr>
              <w:t>Cannae Common Stock, $0.0001 par value</w:t>
            </w: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97"/>
              </w:rPr>
              <w:t>CNNE</w:t>
            </w:r>
          </w:p>
        </w:tc>
        <w:tc>
          <w:tcPr>
            <w:tcW w:w="1420" w:type="dxa"/>
            <w:vAlign w:val="bottom"/>
          </w:tcPr>
          <w:p>
            <w:pPr>
              <w:spacing w:after="0"/>
              <w:rPr>
                <w:sz w:val="21"/>
                <w:szCs w:val="21"/>
                <w:color w:val="auto"/>
              </w:rPr>
            </w:pPr>
          </w:p>
        </w:tc>
        <w:tc>
          <w:tcPr>
            <w:tcW w:w="2960" w:type="dxa"/>
            <w:vAlign w:val="bottom"/>
          </w:tcPr>
          <w:p>
            <w:pPr>
              <w:jc w:val="center"/>
              <w:spacing w:after="0"/>
              <w:rPr>
                <w:sz w:val="20"/>
                <w:szCs w:val="20"/>
                <w:color w:val="auto"/>
              </w:rPr>
            </w:pPr>
            <w:r>
              <w:rPr>
                <w:rFonts w:ascii="Arial" w:cs="Arial" w:eastAsia="Arial" w:hAnsi="Arial"/>
                <w:sz w:val="18"/>
                <w:szCs w:val="18"/>
                <w:b w:val="1"/>
                <w:bCs w:val="1"/>
                <w:color w:val="auto"/>
                <w:w w:val="88"/>
              </w:rPr>
              <w:t>New York Stock Exchange</w:t>
            </w:r>
          </w:p>
        </w:tc>
      </w:tr>
    </w:tbl>
    <w:p>
      <w:pPr>
        <w:spacing w:after="0" w:line="200" w:lineRule="exact"/>
        <w:rPr>
          <w:sz w:val="24"/>
          <w:szCs w:val="24"/>
          <w:color w:val="auto"/>
        </w:rPr>
      </w:pPr>
    </w:p>
    <w:p>
      <w:pPr>
        <w:spacing w:after="0" w:line="253" w:lineRule="exact"/>
        <w:rPr>
          <w:sz w:val="24"/>
          <w:szCs w:val="24"/>
          <w:color w:val="auto"/>
        </w:rPr>
      </w:pPr>
    </w:p>
    <w:p>
      <w:pPr>
        <w:jc w:val="both"/>
        <w:ind w:firstLine="318"/>
        <w:spacing w:after="0" w:line="226"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68" w:lineRule="exact"/>
        <w:rPr>
          <w:sz w:val="24"/>
          <w:szCs w:val="24"/>
          <w:color w:val="auto"/>
        </w:rPr>
      </w:pPr>
    </w:p>
    <w:p>
      <w:pPr>
        <w:jc w:val="both"/>
        <w:ind w:firstLine="318"/>
        <w:spacing w:after="0" w:line="300" w:lineRule="auto"/>
        <w:rPr>
          <w:sz w:val="20"/>
          <w:szCs w:val="20"/>
          <w:color w:val="auto"/>
        </w:rPr>
      </w:pPr>
      <w:r>
        <w:rPr>
          <w:rFonts w:ascii="Arial" w:cs="Arial" w:eastAsia="Arial" w:hAnsi="Arial"/>
          <w:sz w:val="15"/>
          <w:szCs w:val="15"/>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p>
    <w:p>
      <w:pPr>
        <w:spacing w:after="0" w:line="1" w:lineRule="exact"/>
        <w:rPr>
          <w:sz w:val="24"/>
          <w:szCs w:val="24"/>
          <w:color w:val="auto"/>
        </w:rPr>
      </w:pPr>
    </w:p>
    <w:p>
      <w:pPr>
        <w:ind w:left="200" w:hanging="194"/>
        <w:spacing w:after="0" w:line="207" w:lineRule="exact"/>
        <w:tabs>
          <w:tab w:leader="none" w:pos="20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104" w:lineRule="exact"/>
        <w:rPr>
          <w:sz w:val="24"/>
          <w:szCs w:val="24"/>
          <w:color w:val="auto"/>
        </w:rPr>
      </w:pPr>
    </w:p>
    <w:p>
      <w:pPr>
        <w:jc w:val="both"/>
        <w:ind w:firstLine="318"/>
        <w:spacing w:after="0" w:line="255"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(Check one):</w:t>
      </w:r>
    </w:p>
    <w:p>
      <w:pPr>
        <w:spacing w:after="0" w:line="88" w:lineRule="exact"/>
        <w:rPr>
          <w:sz w:val="24"/>
          <w:szCs w:val="24"/>
          <w:color w:val="auto"/>
        </w:rPr>
      </w:pPr>
    </w:p>
    <w:tbl>
      <w:tblPr>
        <w:tblLayout w:type="fixed"/>
        <w:tblInd w:w="700" w:type="dxa"/>
        <w:tblCellMar>
          <w:top w:w="0" w:type="dxa"/>
          <w:left w:w="0" w:type="dxa"/>
          <w:bottom w:w="0" w:type="dxa"/>
          <w:right w:w="0" w:type="dxa"/>
        </w:tblCellMar>
      </w:tblPr>
      <w:tr>
        <w:trPr>
          <w:trHeight w:val="207"/>
        </w:trPr>
        <w:tc>
          <w:tcPr>
            <w:tcW w:w="5700" w:type="dxa"/>
            <w:vAlign w:val="bottom"/>
            <w:vMerge w:val="restart"/>
          </w:tcPr>
          <w:p>
            <w:pPr>
              <w:spacing w:after="0" w:line="207" w:lineRule="exact"/>
              <w:rPr>
                <w:sz w:val="20"/>
                <w:szCs w:val="20"/>
                <w:color w:val="auto"/>
              </w:rPr>
            </w:pPr>
            <w:r>
              <w:rPr>
                <w:rFonts w:ascii="Arial" w:cs="Arial" w:eastAsia="Arial" w:hAnsi="Arial"/>
                <w:sz w:val="18"/>
                <w:szCs w:val="18"/>
                <w:color w:val="auto"/>
                <w:w w:val="99"/>
              </w:rPr>
              <w:t xml:space="preserve">Large Accelerated Filer   </w:t>
            </w:r>
            <w:r>
              <w:rPr>
                <w:rFonts w:ascii="MS PGothic" w:cs="MS PGothic" w:eastAsia="MS PGothic" w:hAnsi="MS PGothic"/>
                <w:sz w:val="18"/>
                <w:szCs w:val="18"/>
                <w:color w:val="auto"/>
                <w:w w:val="99"/>
              </w:rPr>
              <w:t>☑</w:t>
            </w:r>
            <w:r>
              <w:rPr>
                <w:rFonts w:ascii="Arial" w:cs="Arial" w:eastAsia="Arial" w:hAnsi="Arial"/>
                <w:sz w:val="18"/>
                <w:szCs w:val="18"/>
                <w:color w:val="auto"/>
                <w:w w:val="99"/>
              </w:rPr>
              <w:t xml:space="preserve"> Accelerated filer </w:t>
            </w:r>
            <w:r>
              <w:rPr>
                <w:rFonts w:ascii="MS PGothic" w:cs="MS PGothic" w:eastAsia="MS PGothic" w:hAnsi="MS PGothic"/>
                <w:sz w:val="18"/>
                <w:szCs w:val="18"/>
                <w:color w:val="auto"/>
                <w:w w:val="99"/>
              </w:rPr>
              <w:t>☐</w:t>
            </w:r>
            <w:r>
              <w:rPr>
                <w:rFonts w:ascii="Arial" w:cs="Arial" w:eastAsia="Arial" w:hAnsi="Arial"/>
                <w:sz w:val="18"/>
                <w:szCs w:val="18"/>
                <w:color w:val="auto"/>
                <w:w w:val="99"/>
              </w:rPr>
              <w:t xml:space="preserve"> Non-accelerated filer </w:t>
            </w:r>
            <w:r>
              <w:rPr>
                <w:rFonts w:ascii="MS PGothic" w:cs="MS PGothic" w:eastAsia="MS PGothic" w:hAnsi="MS PGothic"/>
                <w:sz w:val="18"/>
                <w:szCs w:val="18"/>
                <w:color w:val="auto"/>
                <w:w w:val="99"/>
              </w:rPr>
              <w:t>☐</w:t>
            </w:r>
          </w:p>
        </w:tc>
        <w:tc>
          <w:tcPr>
            <w:tcW w:w="1560" w:type="dxa"/>
            <w:vAlign w:val="bottom"/>
          </w:tcPr>
          <w:p>
            <w:pPr>
              <w:jc w:val="center"/>
              <w:spacing w:after="0"/>
              <w:rPr>
                <w:sz w:val="20"/>
                <w:szCs w:val="20"/>
                <w:color w:val="auto"/>
              </w:rPr>
            </w:pPr>
            <w:r>
              <w:rPr>
                <w:rFonts w:ascii="Arial" w:cs="Arial" w:eastAsia="Arial" w:hAnsi="Arial"/>
                <w:sz w:val="18"/>
                <w:szCs w:val="18"/>
                <w:color w:val="auto"/>
                <w:w w:val="90"/>
              </w:rPr>
              <w:t>Smaller reporting</w:t>
            </w:r>
          </w:p>
        </w:tc>
        <w:tc>
          <w:tcPr>
            <w:tcW w:w="2940" w:type="dxa"/>
            <w:vAlign w:val="bottom"/>
            <w:vMerge w:val="restart"/>
          </w:tcPr>
          <w:p>
            <w:pPr>
              <w:ind w:left="180"/>
              <w:spacing w:after="0" w:line="207" w:lineRule="exact"/>
              <w:rPr>
                <w:sz w:val="20"/>
                <w:szCs w:val="20"/>
                <w:color w:val="auto"/>
              </w:rPr>
            </w:pPr>
            <w:r>
              <w:rPr>
                <w:rFonts w:ascii="MS PGothic" w:cs="MS PGothic" w:eastAsia="MS PGothic" w:hAnsi="MS PGothic"/>
                <w:sz w:val="18"/>
                <w:szCs w:val="18"/>
                <w:color w:val="auto"/>
                <w:w w:val="99"/>
              </w:rPr>
              <w:t>☐</w:t>
            </w:r>
            <w:r>
              <w:rPr>
                <w:rFonts w:ascii="Arial" w:cs="Arial" w:eastAsia="Arial" w:hAnsi="Arial"/>
                <w:sz w:val="18"/>
                <w:szCs w:val="18"/>
                <w:color w:val="auto"/>
                <w:w w:val="99"/>
              </w:rPr>
              <w:t xml:space="preserve">  Emerging growth company   </w:t>
            </w:r>
            <w:r>
              <w:rPr>
                <w:rFonts w:ascii="MS PGothic" w:cs="MS PGothic" w:eastAsia="MS PGothic" w:hAnsi="MS PGothic"/>
                <w:sz w:val="18"/>
                <w:szCs w:val="18"/>
                <w:color w:val="auto"/>
                <w:w w:val="99"/>
              </w:rPr>
              <w:t>☐</w:t>
            </w:r>
          </w:p>
        </w:tc>
        <w:tc>
          <w:tcPr>
            <w:tcW w:w="0" w:type="dxa"/>
            <w:vAlign w:val="bottom"/>
          </w:tcPr>
          <w:p>
            <w:pPr>
              <w:spacing w:after="0"/>
              <w:rPr>
                <w:sz w:val="1"/>
                <w:szCs w:val="1"/>
                <w:color w:val="auto"/>
              </w:rPr>
            </w:pPr>
          </w:p>
        </w:tc>
      </w:tr>
      <w:tr>
        <w:trPr>
          <w:trHeight w:val="252"/>
        </w:trPr>
        <w:tc>
          <w:tcPr>
            <w:tcW w:w="5700" w:type="dxa"/>
            <w:vAlign w:val="bottom"/>
            <w:vMerge w:val="continue"/>
          </w:tcPr>
          <w:p>
            <w:pPr>
              <w:spacing w:after="0"/>
              <w:rPr>
                <w:sz w:val="21"/>
                <w:szCs w:val="21"/>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87"/>
              </w:rPr>
              <w:t>company</w:t>
            </w:r>
          </w:p>
        </w:tc>
        <w:tc>
          <w:tcPr>
            <w:tcW w:w="29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146" w:lineRule="exact"/>
        <w:rPr>
          <w:sz w:val="24"/>
          <w:szCs w:val="24"/>
          <w:color w:val="auto"/>
        </w:rPr>
      </w:pPr>
    </w:p>
    <w:p>
      <w:pPr>
        <w:ind w:firstLine="318"/>
        <w:spacing w:after="0" w:line="232"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6" w:lineRule="exact"/>
        <w:rPr>
          <w:sz w:val="24"/>
          <w:szCs w:val="24"/>
          <w:color w:val="auto"/>
        </w:rPr>
      </w:pPr>
    </w:p>
    <w:p>
      <w:pPr>
        <w:ind w:left="320" w:right="1940"/>
        <w:spacing w:after="0" w:line="294"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As of July 31, 2023 there were 73,371,918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678815</wp:posOffset>
            </wp:positionV>
            <wp:extent cx="716026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0260" cy="4254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42545</wp:posOffset>
            </wp:positionV>
            <wp:extent cx="710120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01205" cy="1714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76200</wp:posOffset>
            </wp:positionV>
            <wp:extent cx="710120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01205" cy="825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FORM 10-Q</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REPORT</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 ENDED JUNE 30, 2023</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4"/>
          </w:tcPr>
          <w:p>
            <w:pPr>
              <w:ind w:left="4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4"/>
        </w:trPr>
        <w:tc>
          <w:tcPr>
            <w:tcW w:w="2700" w:type="dxa"/>
            <w:vAlign w:val="bottom"/>
            <w:gridSpan w:val="9"/>
            <w:vMerge w:val="restart"/>
          </w:tcPr>
          <w:p>
            <w:pPr>
              <w:spacing w:after="0"/>
              <w:rPr>
                <w:sz w:val="20"/>
                <w:szCs w:val="20"/>
                <w:color w:val="auto"/>
              </w:rPr>
            </w:pPr>
            <w:r>
              <w:rPr>
                <w:rFonts w:ascii="Arial" w:cs="Arial" w:eastAsia="Arial" w:hAnsi="Arial"/>
                <w:sz w:val="18"/>
                <w:szCs w:val="18"/>
                <w:color w:val="0000FF"/>
                <w:w w:val="96"/>
              </w:rPr>
              <w:t>Part I: FINANCIAL INFORMATION</w:t>
            </w:r>
          </w:p>
        </w:tc>
        <w:tc>
          <w:tcPr>
            <w:tcW w:w="7340" w:type="dxa"/>
            <w:vAlign w:val="bottom"/>
            <w:gridSpan w:val="11"/>
            <w:vMerge w:val="restart"/>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2700" w:type="dxa"/>
            <w:vAlign w:val="bottom"/>
            <w:tcBorders>
              <w:bottom w:val="single" w:sz="8" w:color="0000FF"/>
            </w:tcBorders>
            <w:gridSpan w:val="9"/>
            <w:vMerge w:val="continue"/>
          </w:tcPr>
          <w:p>
            <w:pPr>
              <w:spacing w:after="0"/>
              <w:rPr>
                <w:sz w:val="15"/>
                <w:szCs w:val="15"/>
                <w:color w:val="auto"/>
              </w:rPr>
            </w:pPr>
          </w:p>
        </w:tc>
        <w:tc>
          <w:tcPr>
            <w:tcW w:w="7340" w:type="dxa"/>
            <w:vAlign w:val="bottom"/>
            <w:gridSpan w:val="11"/>
            <w:vMerge w:val="continue"/>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00" w:type="dxa"/>
            <w:vAlign w:val="bottom"/>
          </w:tcPr>
          <w:p>
            <w:pPr>
              <w:spacing w:after="0"/>
              <w:rPr>
                <w:sz w:val="17"/>
                <w:szCs w:val="17"/>
                <w:color w:val="auto"/>
              </w:rPr>
            </w:pPr>
          </w:p>
        </w:tc>
        <w:tc>
          <w:tcPr>
            <w:tcW w:w="4620" w:type="dxa"/>
            <w:vAlign w:val="bottom"/>
            <w:tcBorders>
              <w:bottom w:val="single" w:sz="8" w:color="0000FF"/>
            </w:tcBorders>
            <w:gridSpan w:val="11"/>
          </w:tcPr>
          <w:p>
            <w:pPr>
              <w:spacing w:after="0" w:line="206" w:lineRule="exact"/>
              <w:rPr>
                <w:sz w:val="20"/>
                <w:szCs w:val="20"/>
                <w:color w:val="auto"/>
              </w:rPr>
            </w:pPr>
            <w:r>
              <w:rPr>
                <w:rFonts w:ascii="Arial" w:cs="Arial" w:eastAsia="Arial" w:hAnsi="Arial"/>
                <w:sz w:val="18"/>
                <w:szCs w:val="18"/>
                <w:color w:val="0000FF"/>
                <w:w w:val="88"/>
              </w:rPr>
              <w:t>Item 1. Unaudited Condensed Consolidated Financial Statements</w:t>
            </w:r>
          </w:p>
        </w:tc>
        <w:tc>
          <w:tcPr>
            <w:tcW w:w="5220" w:type="dxa"/>
            <w:vAlign w:val="bottom"/>
            <w:gridSpan w:val="8"/>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560" w:type="dxa"/>
            <w:vAlign w:val="bottom"/>
            <w:gridSpan w:val="18"/>
          </w:tcPr>
          <w:p>
            <w:pPr>
              <w:spacing w:after="0"/>
              <w:rPr>
                <w:sz w:val="20"/>
                <w:szCs w:val="20"/>
                <w:color w:val="auto"/>
              </w:rPr>
            </w:pPr>
            <w:r>
              <w:rPr>
                <w:rFonts w:ascii="Arial" w:cs="Arial" w:eastAsia="Arial" w:hAnsi="Arial"/>
                <w:sz w:val="18"/>
                <w:szCs w:val="18"/>
                <w:color w:val="0000FF"/>
              </w:rPr>
              <w:t>A. Condensed Consolidated Balance Sheets as of June 30, 2023 and December 31, 2022</w:t>
            </w:r>
          </w:p>
        </w:tc>
        <w:tc>
          <w:tcPr>
            <w:tcW w:w="1140" w:type="dxa"/>
            <w:vAlign w:val="bottom"/>
            <w:gridSpan w:val="3"/>
          </w:tcPr>
          <w:p>
            <w:pPr>
              <w:jc w:val="right"/>
              <w:spacing w:after="0"/>
              <w:rPr>
                <w:sz w:val="20"/>
                <w:szCs w:val="20"/>
                <w:color w:val="auto"/>
              </w:rPr>
            </w:pPr>
            <w:r>
              <w:rPr>
                <w:rFonts w:ascii="Arial" w:cs="Arial" w:eastAsia="Arial" w:hAnsi="Arial"/>
                <w:sz w:val="18"/>
                <w:szCs w:val="18"/>
                <w:color w:val="0000FF"/>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76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540" w:type="dxa"/>
            <w:vAlign w:val="bottom"/>
            <w:tcBorders>
              <w:bottom w:val="single" w:sz="8" w:color="0000FF"/>
            </w:tcBorders>
            <w:gridSpan w:val="16"/>
          </w:tcPr>
          <w:p>
            <w:pPr>
              <w:spacing w:after="0" w:line="206" w:lineRule="exact"/>
              <w:rPr>
                <w:sz w:val="20"/>
                <w:szCs w:val="20"/>
                <w:color w:val="auto"/>
              </w:rPr>
            </w:pPr>
            <w:r>
              <w:rPr>
                <w:rFonts w:ascii="Arial" w:cs="Arial" w:eastAsia="Arial" w:hAnsi="Arial"/>
                <w:sz w:val="18"/>
                <w:szCs w:val="18"/>
                <w:color w:val="0000FF"/>
                <w:w w:val="87"/>
              </w:rPr>
              <w:t>B. Condensed Consolidated Statements of Operations for the three and six-month periods ended June 30, 2023 and 2022</w:t>
            </w:r>
          </w:p>
        </w:tc>
        <w:tc>
          <w:tcPr>
            <w:tcW w:w="1020" w:type="dxa"/>
            <w:vAlign w:val="bottom"/>
            <w:gridSpan w:val="2"/>
          </w:tcPr>
          <w:p>
            <w:pPr>
              <w:spacing w:after="0"/>
              <w:rPr>
                <w:sz w:val="17"/>
                <w:szCs w:val="17"/>
                <w:color w:val="auto"/>
              </w:rPr>
            </w:pPr>
          </w:p>
        </w:tc>
        <w:tc>
          <w:tcPr>
            <w:tcW w:w="1040" w:type="dxa"/>
            <w:vAlign w:val="bottom"/>
            <w:gridSpan w:val="2"/>
          </w:tcPr>
          <w:p>
            <w:pPr>
              <w:spacing w:after="0"/>
              <w:rPr>
                <w:sz w:val="17"/>
                <w:szCs w:val="17"/>
                <w:color w:val="auto"/>
              </w:rPr>
            </w:pPr>
          </w:p>
        </w:tc>
        <w:tc>
          <w:tcPr>
            <w:tcW w:w="100" w:type="dxa"/>
            <w:vAlign w:val="bottom"/>
            <w:tcBorders>
              <w:bottom w:val="single" w:sz="8" w:color="0000FF"/>
            </w:tcBorders>
          </w:tcPr>
          <w:p>
            <w:pPr>
              <w:jc w:val="right"/>
              <w:spacing w:after="0" w:line="206" w:lineRule="exact"/>
              <w:rPr>
                <w:sz w:val="20"/>
                <w:szCs w:val="20"/>
                <w:color w:val="auto"/>
              </w:rPr>
            </w:pPr>
            <w:r>
              <w:rPr>
                <w:rFonts w:ascii="Arial" w:cs="Arial" w:eastAsia="Arial" w:hAnsi="Arial"/>
                <w:sz w:val="18"/>
                <w:szCs w:val="18"/>
                <w:color w:val="0000FF"/>
                <w:w w:val="79"/>
              </w:rPr>
              <w:t>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560" w:type="dxa"/>
            <w:vAlign w:val="bottom"/>
            <w:gridSpan w:val="18"/>
          </w:tcPr>
          <w:p>
            <w:pPr>
              <w:spacing w:after="0" w:line="206" w:lineRule="exact"/>
              <w:rPr>
                <w:sz w:val="20"/>
                <w:szCs w:val="20"/>
                <w:color w:val="auto"/>
              </w:rPr>
            </w:pPr>
            <w:r>
              <w:rPr>
                <w:rFonts w:ascii="Arial" w:cs="Arial" w:eastAsia="Arial" w:hAnsi="Arial"/>
                <w:sz w:val="18"/>
                <w:szCs w:val="18"/>
                <w:color w:val="0000FF"/>
                <w:w w:val="89"/>
              </w:rPr>
              <w:t>C. Condensed Consolidated Statements of Comprehensive (Loss) Earnings for the three and six-month periods ended June 30, 2023</w:t>
            </w:r>
          </w:p>
        </w:tc>
        <w:tc>
          <w:tcPr>
            <w:tcW w:w="1040" w:type="dxa"/>
            <w:vAlign w:val="bottom"/>
            <w:gridSpan w:val="2"/>
            <w:vMerge w:val="restart"/>
          </w:tcPr>
          <w:p>
            <w:pPr>
              <w:spacing w:after="0"/>
              <w:rPr>
                <w:sz w:val="17"/>
                <w:szCs w:val="17"/>
                <w:color w:val="auto"/>
              </w:rPr>
            </w:pPr>
          </w:p>
        </w:tc>
        <w:tc>
          <w:tcPr>
            <w:tcW w:w="100" w:type="dxa"/>
            <w:vAlign w:val="bottom"/>
            <w:vMerge w:val="restart"/>
          </w:tcPr>
          <w:p>
            <w:pPr>
              <w:jc w:val="right"/>
              <w:spacing w:after="0"/>
              <w:rPr>
                <w:sz w:val="20"/>
                <w:szCs w:val="20"/>
                <w:color w:val="auto"/>
              </w:rPr>
            </w:pPr>
            <w:r>
              <w:rPr>
                <w:rFonts w:ascii="Arial" w:cs="Arial" w:eastAsia="Arial" w:hAnsi="Arial"/>
                <w:sz w:val="18"/>
                <w:szCs w:val="18"/>
                <w:color w:val="0000FF"/>
                <w:w w:val="79"/>
              </w:rPr>
              <w:t>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Borders>
              <w:top w:val="single" w:sz="8" w:color="0000FF"/>
              <w:bottom w:val="single" w:sz="8" w:color="0000FF"/>
            </w:tcBorders>
          </w:tcPr>
          <w:p>
            <w:pPr>
              <w:spacing w:after="0" w:line="166" w:lineRule="exact"/>
              <w:rPr>
                <w:sz w:val="20"/>
                <w:szCs w:val="20"/>
                <w:color w:val="auto"/>
              </w:rPr>
            </w:pPr>
            <w:r>
              <w:rPr>
                <w:rFonts w:ascii="Arial" w:cs="Arial" w:eastAsia="Arial" w:hAnsi="Arial"/>
                <w:sz w:val="18"/>
                <w:szCs w:val="18"/>
                <w:color w:val="0000FF"/>
                <w:w w:val="85"/>
              </w:rPr>
              <w:t>and 2022</w:t>
            </w:r>
          </w:p>
        </w:tc>
        <w:tc>
          <w:tcPr>
            <w:tcW w:w="8680" w:type="dxa"/>
            <w:vAlign w:val="bottom"/>
            <w:tcBorders>
              <w:top w:val="single" w:sz="8" w:color="0000FF"/>
            </w:tcBorders>
            <w:gridSpan w:val="16"/>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00" w:type="dxa"/>
            <w:vAlign w:val="bottom"/>
            <w:tcBorders>
              <w:bottom w:val="single" w:sz="8" w:color="0000FF"/>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40" w:type="dxa"/>
            <w:vAlign w:val="bottom"/>
            <w:tcBorders>
              <w:bottom w:val="single" w:sz="8" w:color="0000FF"/>
            </w:tcBorders>
            <w:gridSpan w:val="15"/>
          </w:tcPr>
          <w:p>
            <w:pPr>
              <w:spacing w:after="0" w:line="206" w:lineRule="exact"/>
              <w:rPr>
                <w:sz w:val="20"/>
                <w:szCs w:val="20"/>
                <w:color w:val="auto"/>
              </w:rPr>
            </w:pPr>
            <w:r>
              <w:rPr>
                <w:rFonts w:ascii="Arial" w:cs="Arial" w:eastAsia="Arial" w:hAnsi="Arial"/>
                <w:sz w:val="18"/>
                <w:szCs w:val="18"/>
                <w:color w:val="0000FF"/>
                <w:w w:val="87"/>
              </w:rPr>
              <w:t>D. Condensed Consolidated Statements of Equity for the three and six-month periods ended June 30, 2023 and 2022</w:t>
            </w:r>
          </w:p>
        </w:tc>
        <w:tc>
          <w:tcPr>
            <w:tcW w:w="1320" w:type="dxa"/>
            <w:vAlign w:val="bottom"/>
            <w:gridSpan w:val="3"/>
          </w:tcPr>
          <w:p>
            <w:pPr>
              <w:spacing w:after="0"/>
              <w:rPr>
                <w:sz w:val="17"/>
                <w:szCs w:val="17"/>
                <w:color w:val="auto"/>
              </w:rPr>
            </w:pPr>
          </w:p>
        </w:tc>
        <w:tc>
          <w:tcPr>
            <w:tcW w:w="1040" w:type="dxa"/>
            <w:vAlign w:val="bottom"/>
            <w:gridSpan w:val="2"/>
          </w:tcPr>
          <w:p>
            <w:pPr>
              <w:spacing w:after="0"/>
              <w:rPr>
                <w:sz w:val="17"/>
                <w:szCs w:val="17"/>
                <w:color w:val="auto"/>
              </w:rPr>
            </w:pPr>
          </w:p>
        </w:tc>
        <w:tc>
          <w:tcPr>
            <w:tcW w:w="100" w:type="dxa"/>
            <w:vAlign w:val="bottom"/>
            <w:tcBorders>
              <w:bottom w:val="single" w:sz="8" w:color="0000FF"/>
            </w:tcBorders>
          </w:tcPr>
          <w:p>
            <w:pPr>
              <w:jc w:val="right"/>
              <w:spacing w:after="0" w:line="206" w:lineRule="exact"/>
              <w:rPr>
                <w:sz w:val="20"/>
                <w:szCs w:val="20"/>
                <w:color w:val="auto"/>
              </w:rPr>
            </w:pPr>
            <w:r>
              <w:rPr>
                <w:rFonts w:ascii="Arial" w:cs="Arial" w:eastAsia="Arial" w:hAnsi="Arial"/>
                <w:sz w:val="18"/>
                <w:szCs w:val="18"/>
                <w:color w:val="0000FF"/>
                <w:w w:val="79"/>
              </w:rPr>
              <w:t>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80" w:type="dxa"/>
            <w:vAlign w:val="bottom"/>
            <w:tcBorders>
              <w:bottom w:val="single" w:sz="8" w:color="0000FF"/>
            </w:tcBorders>
            <w:gridSpan w:val="14"/>
          </w:tcPr>
          <w:p>
            <w:pPr>
              <w:spacing w:after="0" w:line="206" w:lineRule="exact"/>
              <w:rPr>
                <w:sz w:val="20"/>
                <w:szCs w:val="20"/>
                <w:color w:val="auto"/>
              </w:rPr>
            </w:pPr>
            <w:r>
              <w:rPr>
                <w:rFonts w:ascii="Arial" w:cs="Arial" w:eastAsia="Arial" w:hAnsi="Arial"/>
                <w:sz w:val="18"/>
                <w:szCs w:val="18"/>
                <w:color w:val="0000FF"/>
                <w:w w:val="87"/>
              </w:rPr>
              <w:t>E. Condensed Consolidated Statements of Cash Flows for the six-month periods ended June 30, 2023 and 2022</w:t>
            </w:r>
          </w:p>
        </w:tc>
        <w:tc>
          <w:tcPr>
            <w:tcW w:w="1680" w:type="dxa"/>
            <w:vAlign w:val="bottom"/>
            <w:gridSpan w:val="4"/>
          </w:tcPr>
          <w:p>
            <w:pPr>
              <w:spacing w:after="0"/>
              <w:rPr>
                <w:sz w:val="17"/>
                <w:szCs w:val="17"/>
                <w:color w:val="auto"/>
              </w:rPr>
            </w:pPr>
          </w:p>
        </w:tc>
        <w:tc>
          <w:tcPr>
            <w:tcW w:w="1040" w:type="dxa"/>
            <w:vAlign w:val="bottom"/>
            <w:gridSpan w:val="2"/>
          </w:tcPr>
          <w:p>
            <w:pPr>
              <w:spacing w:after="0"/>
              <w:rPr>
                <w:sz w:val="17"/>
                <w:szCs w:val="17"/>
                <w:color w:val="auto"/>
              </w:rPr>
            </w:pPr>
          </w:p>
        </w:tc>
        <w:tc>
          <w:tcPr>
            <w:tcW w:w="100" w:type="dxa"/>
            <w:vAlign w:val="bottom"/>
            <w:tcBorders>
              <w:bottom w:val="single" w:sz="8" w:color="0000FF"/>
            </w:tcBorders>
          </w:tcPr>
          <w:p>
            <w:pPr>
              <w:jc w:val="right"/>
              <w:spacing w:after="0" w:line="206" w:lineRule="exact"/>
              <w:rPr>
                <w:sz w:val="20"/>
                <w:szCs w:val="20"/>
                <w:color w:val="auto"/>
              </w:rPr>
            </w:pPr>
            <w:r>
              <w:rPr>
                <w:rFonts w:ascii="Arial" w:cs="Arial" w:eastAsia="Arial" w:hAnsi="Arial"/>
                <w:sz w:val="18"/>
                <w:szCs w:val="18"/>
                <w:color w:val="0000FF"/>
                <w:w w:val="79"/>
              </w:rPr>
              <w:t>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100" w:type="dxa"/>
            <w:vAlign w:val="bottom"/>
            <w:tcBorders>
              <w:bottom w:val="single" w:sz="8" w:color="0000FF"/>
            </w:tcBorders>
            <w:gridSpan w:val="9"/>
          </w:tcPr>
          <w:p>
            <w:pPr>
              <w:spacing w:after="0"/>
              <w:rPr>
                <w:sz w:val="20"/>
                <w:szCs w:val="20"/>
                <w:color w:val="auto"/>
              </w:rPr>
            </w:pPr>
            <w:r>
              <w:rPr>
                <w:rFonts w:ascii="Arial" w:cs="Arial" w:eastAsia="Arial" w:hAnsi="Arial"/>
                <w:sz w:val="18"/>
                <w:szCs w:val="18"/>
                <w:color w:val="0000FF"/>
                <w:w w:val="87"/>
              </w:rPr>
              <w:t>F. Notes to Condensed Consolidated Financial Statements</w:t>
            </w:r>
          </w:p>
        </w:tc>
        <w:tc>
          <w:tcPr>
            <w:tcW w:w="5460" w:type="dxa"/>
            <w:vAlign w:val="bottom"/>
            <w:gridSpan w:val="9"/>
          </w:tcPr>
          <w:p>
            <w:pPr>
              <w:spacing w:after="0"/>
              <w:rPr>
                <w:sz w:val="19"/>
                <w:szCs w:val="19"/>
                <w:color w:val="auto"/>
              </w:rPr>
            </w:pPr>
          </w:p>
        </w:tc>
        <w:tc>
          <w:tcPr>
            <w:tcW w:w="1040" w:type="dxa"/>
            <w:vAlign w:val="bottom"/>
            <w:gridSpan w:val="2"/>
          </w:tcPr>
          <w:p>
            <w:pPr>
              <w:spacing w:after="0"/>
              <w:rPr>
                <w:sz w:val="19"/>
                <w:szCs w:val="19"/>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0" w:type="dxa"/>
            <w:vAlign w:val="bottom"/>
          </w:tcPr>
          <w:p>
            <w:pPr>
              <w:spacing w:after="0"/>
              <w:rPr>
                <w:sz w:val="17"/>
                <w:szCs w:val="17"/>
                <w:color w:val="auto"/>
              </w:rPr>
            </w:pPr>
          </w:p>
        </w:tc>
        <w:tc>
          <w:tcPr>
            <w:tcW w:w="9840" w:type="dxa"/>
            <w:vAlign w:val="bottom"/>
            <w:gridSpan w:val="19"/>
          </w:tcPr>
          <w:p>
            <w:pPr>
              <w:spacing w:after="0" w:line="206" w:lineRule="exact"/>
              <w:rPr>
                <w:sz w:val="20"/>
                <w:szCs w:val="20"/>
                <w:color w:val="auto"/>
              </w:rPr>
            </w:pPr>
            <w:r>
              <w:rPr>
                <w:rFonts w:ascii="Arial" w:cs="Arial" w:eastAsia="Arial" w:hAnsi="Arial"/>
                <w:sz w:val="18"/>
                <w:szCs w:val="18"/>
                <w:color w:val="0000FF"/>
              </w:rPr>
              <w:t>Item 2. Management’s Discussion and Analysis of Financial Condition and Results of Operations</w:t>
            </w:r>
          </w:p>
        </w:tc>
        <w:tc>
          <w:tcPr>
            <w:tcW w:w="1160" w:type="dxa"/>
            <w:vAlign w:val="bottom"/>
            <w:gridSpan w:val="4"/>
          </w:tcPr>
          <w:p>
            <w:pPr>
              <w:jc w:val="right"/>
              <w:ind w:right="20"/>
              <w:spacing w:after="0" w:line="206" w:lineRule="exact"/>
              <w:rPr>
                <w:sz w:val="20"/>
                <w:szCs w:val="20"/>
                <w:color w:val="auto"/>
              </w:rPr>
            </w:pPr>
            <w:r>
              <w:rPr>
                <w:rFonts w:ascii="Arial" w:cs="Arial" w:eastAsia="Arial" w:hAnsi="Arial"/>
                <w:sz w:val="18"/>
                <w:szCs w:val="18"/>
                <w:color w:val="0000FF"/>
              </w:rPr>
              <w:t>20</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76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00" w:type="dxa"/>
            <w:vAlign w:val="bottom"/>
          </w:tcPr>
          <w:p>
            <w:pPr>
              <w:spacing w:after="0"/>
              <w:rPr>
                <w:sz w:val="17"/>
                <w:szCs w:val="17"/>
                <w:color w:val="auto"/>
              </w:rPr>
            </w:pPr>
          </w:p>
        </w:tc>
        <w:tc>
          <w:tcPr>
            <w:tcW w:w="4760" w:type="dxa"/>
            <w:vAlign w:val="bottom"/>
            <w:gridSpan w:val="12"/>
          </w:tcPr>
          <w:p>
            <w:pPr>
              <w:spacing w:after="0" w:line="206" w:lineRule="exact"/>
              <w:rPr>
                <w:sz w:val="20"/>
                <w:szCs w:val="20"/>
                <w:color w:val="auto"/>
              </w:rPr>
            </w:pPr>
            <w:r>
              <w:rPr>
                <w:rFonts w:ascii="Arial" w:cs="Arial" w:eastAsia="Arial" w:hAnsi="Arial"/>
                <w:sz w:val="18"/>
                <w:szCs w:val="18"/>
                <w:color w:val="0000FF"/>
                <w:w w:val="90"/>
              </w:rPr>
              <w:t>Item 3. Quantitative and Qualitative Disclosure About Market Risk</w:t>
            </w:r>
          </w:p>
        </w:tc>
        <w:tc>
          <w:tcPr>
            <w:tcW w:w="2120" w:type="dxa"/>
            <w:vAlign w:val="bottom"/>
            <w:gridSpan w:val="2"/>
          </w:tcPr>
          <w:p>
            <w:pPr>
              <w:spacing w:after="0"/>
              <w:rPr>
                <w:sz w:val="17"/>
                <w:szCs w:val="17"/>
                <w:color w:val="auto"/>
              </w:rPr>
            </w:pPr>
          </w:p>
        </w:tc>
        <w:tc>
          <w:tcPr>
            <w:tcW w:w="2960" w:type="dxa"/>
            <w:vAlign w:val="bottom"/>
            <w:gridSpan w:val="5"/>
          </w:tcPr>
          <w:p>
            <w:pPr>
              <w:spacing w:after="0"/>
              <w:rPr>
                <w:sz w:val="17"/>
                <w:szCs w:val="17"/>
                <w:color w:val="auto"/>
              </w:rPr>
            </w:pPr>
          </w:p>
        </w:tc>
        <w:tc>
          <w:tcPr>
            <w:tcW w:w="1160" w:type="dxa"/>
            <w:vAlign w:val="bottom"/>
            <w:gridSpan w:val="4"/>
          </w:tcPr>
          <w:p>
            <w:pPr>
              <w:jc w:val="right"/>
              <w:ind w:right="20"/>
              <w:spacing w:after="0" w:line="206" w:lineRule="exact"/>
              <w:rPr>
                <w:sz w:val="20"/>
                <w:szCs w:val="20"/>
                <w:color w:val="auto"/>
              </w:rPr>
            </w:pPr>
            <w:r>
              <w:rPr>
                <w:rFonts w:ascii="Arial" w:cs="Arial" w:eastAsia="Arial" w:hAnsi="Arial"/>
                <w:sz w:val="18"/>
                <w:szCs w:val="18"/>
                <w:color w:val="0000FF"/>
              </w:rPr>
              <w:t>28</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200" w:type="dxa"/>
            <w:vAlign w:val="bottom"/>
          </w:tcPr>
          <w:p>
            <w:pPr>
              <w:spacing w:after="0"/>
              <w:rPr>
                <w:sz w:val="19"/>
                <w:szCs w:val="19"/>
                <w:color w:val="auto"/>
              </w:rPr>
            </w:pPr>
          </w:p>
        </w:tc>
        <w:tc>
          <w:tcPr>
            <w:tcW w:w="4760" w:type="dxa"/>
            <w:vAlign w:val="bottom"/>
            <w:gridSpan w:val="12"/>
          </w:tcPr>
          <w:p>
            <w:pPr>
              <w:spacing w:after="0"/>
              <w:rPr>
                <w:sz w:val="20"/>
                <w:szCs w:val="20"/>
                <w:color w:val="auto"/>
              </w:rPr>
            </w:pPr>
            <w:r>
              <w:rPr>
                <w:rFonts w:ascii="Arial" w:cs="Arial" w:eastAsia="Arial" w:hAnsi="Arial"/>
                <w:sz w:val="18"/>
                <w:szCs w:val="18"/>
                <w:color w:val="0000FF"/>
              </w:rPr>
              <w:t>Item 4. Controls and Procedures</w:t>
            </w:r>
          </w:p>
        </w:tc>
        <w:tc>
          <w:tcPr>
            <w:tcW w:w="5080" w:type="dxa"/>
            <w:vAlign w:val="bottom"/>
            <w:gridSpan w:val="7"/>
          </w:tcPr>
          <w:p>
            <w:pPr>
              <w:spacing w:after="0"/>
              <w:rPr>
                <w:sz w:val="19"/>
                <w:szCs w:val="19"/>
                <w:color w:val="auto"/>
              </w:rPr>
            </w:pPr>
          </w:p>
        </w:tc>
        <w:tc>
          <w:tcPr>
            <w:tcW w:w="1160" w:type="dxa"/>
            <w:vAlign w:val="bottom"/>
            <w:gridSpan w:val="4"/>
          </w:tcPr>
          <w:p>
            <w:pPr>
              <w:jc w:val="right"/>
              <w:ind w:right="20"/>
              <w:spacing w:after="0"/>
              <w:rPr>
                <w:sz w:val="20"/>
                <w:szCs w:val="20"/>
                <w:color w:val="auto"/>
              </w:rPr>
            </w:pPr>
            <w:r>
              <w:rPr>
                <w:rFonts w:ascii="Arial" w:cs="Arial" w:eastAsia="Arial" w:hAnsi="Arial"/>
                <w:sz w:val="18"/>
                <w:szCs w:val="18"/>
                <w:color w:val="0000FF"/>
              </w:rPr>
              <w:t>28</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140" w:type="dxa"/>
            <w:vAlign w:val="bottom"/>
            <w:gridSpan w:val="3"/>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5080" w:type="dxa"/>
            <w:vAlign w:val="bottom"/>
            <w:gridSpan w:val="7"/>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400" w:type="dxa"/>
            <w:vAlign w:val="bottom"/>
            <w:tcBorders>
              <w:bottom w:val="single" w:sz="8" w:color="0000FF"/>
            </w:tcBorders>
            <w:gridSpan w:val="7"/>
          </w:tcPr>
          <w:p>
            <w:pPr>
              <w:spacing w:after="0" w:line="206" w:lineRule="exact"/>
              <w:rPr>
                <w:sz w:val="20"/>
                <w:szCs w:val="20"/>
                <w:color w:val="auto"/>
              </w:rPr>
            </w:pPr>
            <w:r>
              <w:rPr>
                <w:rFonts w:ascii="Arial" w:cs="Arial" w:eastAsia="Arial" w:hAnsi="Arial"/>
                <w:sz w:val="18"/>
                <w:szCs w:val="18"/>
                <w:color w:val="0000FF"/>
                <w:w w:val="94"/>
              </w:rPr>
              <w:t>Part II: OTHER INFORMATION</w:t>
            </w:r>
          </w:p>
        </w:tc>
        <w:tc>
          <w:tcPr>
            <w:tcW w:w="7640" w:type="dxa"/>
            <w:vAlign w:val="bottom"/>
            <w:gridSpan w:val="13"/>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0" w:type="dxa"/>
            <w:vAlign w:val="bottom"/>
          </w:tcPr>
          <w:p>
            <w:pPr>
              <w:spacing w:after="0"/>
              <w:rPr>
                <w:sz w:val="17"/>
                <w:szCs w:val="17"/>
                <w:color w:val="auto"/>
              </w:rPr>
            </w:pPr>
          </w:p>
        </w:tc>
        <w:tc>
          <w:tcPr>
            <w:tcW w:w="1840" w:type="dxa"/>
            <w:vAlign w:val="bottom"/>
            <w:gridSpan w:val="5"/>
          </w:tcPr>
          <w:p>
            <w:pPr>
              <w:spacing w:after="0" w:line="206" w:lineRule="exact"/>
              <w:rPr>
                <w:sz w:val="20"/>
                <w:szCs w:val="20"/>
                <w:color w:val="auto"/>
              </w:rPr>
            </w:pPr>
            <w:r>
              <w:rPr>
                <w:rFonts w:ascii="Arial" w:cs="Arial" w:eastAsia="Arial" w:hAnsi="Arial"/>
                <w:sz w:val="18"/>
                <w:szCs w:val="18"/>
                <w:color w:val="0000FF"/>
                <w:w w:val="86"/>
              </w:rPr>
              <w:t>Item 1. Legal Proceedings</w:t>
            </w:r>
          </w:p>
        </w:tc>
        <w:tc>
          <w:tcPr>
            <w:tcW w:w="8000" w:type="dxa"/>
            <w:vAlign w:val="bottom"/>
            <w:gridSpan w:val="14"/>
          </w:tcPr>
          <w:p>
            <w:pPr>
              <w:spacing w:after="0"/>
              <w:rPr>
                <w:sz w:val="17"/>
                <w:szCs w:val="17"/>
                <w:color w:val="auto"/>
              </w:rPr>
            </w:pPr>
          </w:p>
        </w:tc>
        <w:tc>
          <w:tcPr>
            <w:tcW w:w="1160" w:type="dxa"/>
            <w:vAlign w:val="bottom"/>
            <w:gridSpan w:val="4"/>
          </w:tcPr>
          <w:p>
            <w:pPr>
              <w:jc w:val="right"/>
              <w:ind w:right="20"/>
              <w:spacing w:after="0" w:line="206" w:lineRule="exact"/>
              <w:rPr>
                <w:sz w:val="20"/>
                <w:szCs w:val="20"/>
                <w:color w:val="auto"/>
              </w:rPr>
            </w:pPr>
            <w:r>
              <w:rPr>
                <w:rFonts w:ascii="Arial" w:cs="Arial" w:eastAsia="Arial" w:hAnsi="Arial"/>
                <w:sz w:val="18"/>
                <w:szCs w:val="18"/>
                <w:color w:val="0000FF"/>
              </w:rPr>
              <w:t>29</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200" w:type="dxa"/>
            <w:vAlign w:val="bottom"/>
          </w:tcPr>
          <w:p>
            <w:pPr>
              <w:spacing w:after="0"/>
              <w:rPr>
                <w:sz w:val="19"/>
                <w:szCs w:val="19"/>
                <w:color w:val="auto"/>
              </w:rPr>
            </w:pPr>
          </w:p>
        </w:tc>
        <w:tc>
          <w:tcPr>
            <w:tcW w:w="1840" w:type="dxa"/>
            <w:vAlign w:val="bottom"/>
            <w:gridSpan w:val="5"/>
          </w:tcPr>
          <w:p>
            <w:pPr>
              <w:spacing w:after="0"/>
              <w:rPr>
                <w:sz w:val="20"/>
                <w:szCs w:val="20"/>
                <w:color w:val="auto"/>
              </w:rPr>
            </w:pPr>
            <w:r>
              <w:rPr>
                <w:rFonts w:ascii="Arial" w:cs="Arial" w:eastAsia="Arial" w:hAnsi="Arial"/>
                <w:sz w:val="18"/>
                <w:szCs w:val="18"/>
                <w:color w:val="0000FF"/>
              </w:rPr>
              <w:t>Item 1A. Risk Factors</w:t>
            </w:r>
          </w:p>
        </w:tc>
        <w:tc>
          <w:tcPr>
            <w:tcW w:w="8000" w:type="dxa"/>
            <w:vAlign w:val="bottom"/>
            <w:gridSpan w:val="14"/>
          </w:tcPr>
          <w:p>
            <w:pPr>
              <w:spacing w:after="0"/>
              <w:rPr>
                <w:sz w:val="19"/>
                <w:szCs w:val="19"/>
                <w:color w:val="auto"/>
              </w:rPr>
            </w:pPr>
          </w:p>
        </w:tc>
        <w:tc>
          <w:tcPr>
            <w:tcW w:w="1160" w:type="dxa"/>
            <w:vAlign w:val="bottom"/>
            <w:gridSpan w:val="4"/>
          </w:tcPr>
          <w:p>
            <w:pPr>
              <w:jc w:val="right"/>
              <w:ind w:right="20"/>
              <w:spacing w:after="0"/>
              <w:rPr>
                <w:sz w:val="20"/>
                <w:szCs w:val="20"/>
                <w:color w:val="auto"/>
              </w:rPr>
            </w:pPr>
            <w:r>
              <w:rPr>
                <w:rFonts w:ascii="Arial" w:cs="Arial" w:eastAsia="Arial" w:hAnsi="Arial"/>
                <w:sz w:val="18"/>
                <w:szCs w:val="18"/>
                <w:color w:val="0000FF"/>
              </w:rPr>
              <w:t>29</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140" w:type="dxa"/>
            <w:vAlign w:val="bottom"/>
            <w:gridSpan w:val="3"/>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5080" w:type="dxa"/>
            <w:vAlign w:val="bottom"/>
            <w:gridSpan w:val="7"/>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00" w:type="dxa"/>
            <w:vAlign w:val="bottom"/>
          </w:tcPr>
          <w:p>
            <w:pPr>
              <w:spacing w:after="0"/>
              <w:rPr>
                <w:sz w:val="17"/>
                <w:szCs w:val="17"/>
                <w:color w:val="auto"/>
              </w:rPr>
            </w:pPr>
          </w:p>
        </w:tc>
        <w:tc>
          <w:tcPr>
            <w:tcW w:w="4760" w:type="dxa"/>
            <w:vAlign w:val="bottom"/>
            <w:gridSpan w:val="12"/>
          </w:tcPr>
          <w:p>
            <w:pPr>
              <w:spacing w:after="0" w:line="206" w:lineRule="exact"/>
              <w:rPr>
                <w:sz w:val="20"/>
                <w:szCs w:val="20"/>
                <w:color w:val="auto"/>
              </w:rPr>
            </w:pPr>
            <w:r>
              <w:rPr>
                <w:rFonts w:ascii="Arial" w:cs="Arial" w:eastAsia="Arial" w:hAnsi="Arial"/>
                <w:sz w:val="18"/>
                <w:szCs w:val="18"/>
                <w:color w:val="0000FF"/>
                <w:w w:val="86"/>
              </w:rPr>
              <w:t>Item 2. Unregistered Sales of Equity Securities and Use of Proceeds</w:t>
            </w:r>
          </w:p>
        </w:tc>
        <w:tc>
          <w:tcPr>
            <w:tcW w:w="5080" w:type="dxa"/>
            <w:vAlign w:val="bottom"/>
            <w:gridSpan w:val="7"/>
          </w:tcPr>
          <w:p>
            <w:pPr>
              <w:spacing w:after="0"/>
              <w:rPr>
                <w:sz w:val="17"/>
                <w:szCs w:val="17"/>
                <w:color w:val="auto"/>
              </w:rPr>
            </w:pPr>
          </w:p>
        </w:tc>
        <w:tc>
          <w:tcPr>
            <w:tcW w:w="1160" w:type="dxa"/>
            <w:vAlign w:val="bottom"/>
            <w:gridSpan w:val="4"/>
          </w:tcPr>
          <w:p>
            <w:pPr>
              <w:jc w:val="right"/>
              <w:ind w:right="20"/>
              <w:spacing w:after="0" w:line="206" w:lineRule="exact"/>
              <w:rPr>
                <w:sz w:val="20"/>
                <w:szCs w:val="20"/>
                <w:color w:val="auto"/>
              </w:rPr>
            </w:pPr>
            <w:r>
              <w:rPr>
                <w:rFonts w:ascii="Arial" w:cs="Arial" w:eastAsia="Arial" w:hAnsi="Arial"/>
                <w:sz w:val="18"/>
                <w:szCs w:val="18"/>
                <w:color w:val="0000FF"/>
              </w:rPr>
              <w:t>29</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760" w:type="dxa"/>
            <w:vAlign w:val="bottom"/>
            <w:tcBorders>
              <w:left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00" w:type="dxa"/>
            <w:vAlign w:val="bottom"/>
          </w:tcPr>
          <w:p>
            <w:pPr>
              <w:spacing w:after="0"/>
              <w:rPr>
                <w:sz w:val="17"/>
                <w:szCs w:val="17"/>
                <w:color w:val="auto"/>
              </w:rPr>
            </w:pPr>
          </w:p>
        </w:tc>
        <w:tc>
          <w:tcPr>
            <w:tcW w:w="2840" w:type="dxa"/>
            <w:vAlign w:val="bottom"/>
            <w:gridSpan w:val="9"/>
          </w:tcPr>
          <w:p>
            <w:pPr>
              <w:spacing w:after="0" w:line="206" w:lineRule="exact"/>
              <w:rPr>
                <w:sz w:val="20"/>
                <w:szCs w:val="20"/>
                <w:color w:val="auto"/>
              </w:rPr>
            </w:pPr>
            <w:r>
              <w:rPr>
                <w:rFonts w:ascii="Arial" w:cs="Arial" w:eastAsia="Arial" w:hAnsi="Arial"/>
                <w:sz w:val="18"/>
                <w:szCs w:val="18"/>
                <w:color w:val="0000FF"/>
                <w:w w:val="89"/>
              </w:rPr>
              <w:t>Item 3. Defaults Upon Senior Securities</w:t>
            </w:r>
          </w:p>
        </w:tc>
        <w:tc>
          <w:tcPr>
            <w:tcW w:w="1920" w:type="dxa"/>
            <w:vAlign w:val="bottom"/>
            <w:gridSpan w:val="3"/>
          </w:tcPr>
          <w:p>
            <w:pPr>
              <w:spacing w:after="0"/>
              <w:rPr>
                <w:sz w:val="17"/>
                <w:szCs w:val="17"/>
                <w:color w:val="auto"/>
              </w:rPr>
            </w:pPr>
          </w:p>
        </w:tc>
        <w:tc>
          <w:tcPr>
            <w:tcW w:w="5080" w:type="dxa"/>
            <w:vAlign w:val="bottom"/>
            <w:gridSpan w:val="7"/>
          </w:tcPr>
          <w:p>
            <w:pPr>
              <w:spacing w:after="0"/>
              <w:rPr>
                <w:sz w:val="17"/>
                <w:szCs w:val="17"/>
                <w:color w:val="auto"/>
              </w:rPr>
            </w:pPr>
          </w:p>
        </w:tc>
        <w:tc>
          <w:tcPr>
            <w:tcW w:w="1160" w:type="dxa"/>
            <w:vAlign w:val="bottom"/>
            <w:gridSpan w:val="4"/>
          </w:tcPr>
          <w:p>
            <w:pPr>
              <w:jc w:val="right"/>
              <w:ind w:right="20"/>
              <w:spacing w:after="0" w:line="206" w:lineRule="exact"/>
              <w:rPr>
                <w:sz w:val="20"/>
                <w:szCs w:val="20"/>
                <w:color w:val="auto"/>
              </w:rPr>
            </w:pPr>
            <w:r>
              <w:rPr>
                <w:rFonts w:ascii="Arial" w:cs="Arial" w:eastAsia="Arial" w:hAnsi="Arial"/>
                <w:sz w:val="18"/>
                <w:szCs w:val="18"/>
                <w:color w:val="0000FF"/>
              </w:rPr>
              <w:t>30</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140" w:type="dxa"/>
            <w:vAlign w:val="bottom"/>
            <w:gridSpan w:val="3"/>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4"/>
            <w:shd w:val="clear" w:color="auto" w:fill="0000FF"/>
          </w:tcPr>
          <w:p>
            <w:pPr>
              <w:spacing w:after="0" w:line="20" w:lineRule="exact"/>
              <w:rPr>
                <w:sz w:val="1"/>
                <w:szCs w:val="1"/>
                <w:color w:val="auto"/>
              </w:rPr>
            </w:pPr>
          </w:p>
        </w:tc>
        <w:tc>
          <w:tcPr>
            <w:tcW w:w="7000" w:type="dxa"/>
            <w:vAlign w:val="bottom"/>
            <w:gridSpan w:val="1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200" w:type="dxa"/>
            <w:vAlign w:val="bottom"/>
          </w:tcPr>
          <w:p>
            <w:pPr>
              <w:spacing w:after="0"/>
              <w:rPr>
                <w:sz w:val="19"/>
                <w:szCs w:val="19"/>
                <w:color w:val="auto"/>
              </w:rPr>
            </w:pPr>
          </w:p>
        </w:tc>
        <w:tc>
          <w:tcPr>
            <w:tcW w:w="1840" w:type="dxa"/>
            <w:vAlign w:val="bottom"/>
            <w:gridSpan w:val="5"/>
          </w:tcPr>
          <w:p>
            <w:pPr>
              <w:spacing w:after="0"/>
              <w:rPr>
                <w:sz w:val="20"/>
                <w:szCs w:val="20"/>
                <w:color w:val="auto"/>
              </w:rPr>
            </w:pPr>
            <w:r>
              <w:rPr>
                <w:rFonts w:ascii="Arial" w:cs="Arial" w:eastAsia="Arial" w:hAnsi="Arial"/>
                <w:sz w:val="18"/>
                <w:szCs w:val="18"/>
                <w:color w:val="0000FF"/>
                <w:w w:val="89"/>
              </w:rPr>
              <w:t>Item 5. Other Information</w:t>
            </w:r>
          </w:p>
        </w:tc>
        <w:tc>
          <w:tcPr>
            <w:tcW w:w="1000" w:type="dxa"/>
            <w:vAlign w:val="bottom"/>
            <w:gridSpan w:val="4"/>
          </w:tcPr>
          <w:p>
            <w:pPr>
              <w:spacing w:after="0"/>
              <w:rPr>
                <w:sz w:val="19"/>
                <w:szCs w:val="19"/>
                <w:color w:val="auto"/>
              </w:rPr>
            </w:pPr>
          </w:p>
        </w:tc>
        <w:tc>
          <w:tcPr>
            <w:tcW w:w="7000" w:type="dxa"/>
            <w:vAlign w:val="bottom"/>
            <w:gridSpan w:val="10"/>
          </w:tcPr>
          <w:p>
            <w:pPr>
              <w:spacing w:after="0"/>
              <w:rPr>
                <w:sz w:val="19"/>
                <w:szCs w:val="19"/>
                <w:color w:val="auto"/>
              </w:rPr>
            </w:pPr>
          </w:p>
        </w:tc>
        <w:tc>
          <w:tcPr>
            <w:tcW w:w="1160" w:type="dxa"/>
            <w:vAlign w:val="bottom"/>
            <w:gridSpan w:val="4"/>
          </w:tcPr>
          <w:p>
            <w:pPr>
              <w:jc w:val="right"/>
              <w:ind w:right="20"/>
              <w:spacing w:after="0"/>
              <w:rPr>
                <w:sz w:val="20"/>
                <w:szCs w:val="20"/>
                <w:color w:val="auto"/>
              </w:rPr>
            </w:pPr>
            <w:r>
              <w:rPr>
                <w:rFonts w:ascii="Arial" w:cs="Arial" w:eastAsia="Arial" w:hAnsi="Arial"/>
                <w:sz w:val="18"/>
                <w:szCs w:val="18"/>
                <w:color w:val="0000FF"/>
              </w:rPr>
              <w:t>30</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140" w:type="dxa"/>
            <w:vAlign w:val="bottom"/>
            <w:gridSpan w:val="3"/>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8000" w:type="dxa"/>
            <w:vAlign w:val="bottom"/>
            <w:gridSpan w:val="14"/>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00" w:type="dxa"/>
            <w:vAlign w:val="bottom"/>
          </w:tcPr>
          <w:p>
            <w:pPr>
              <w:spacing w:after="0"/>
              <w:rPr>
                <w:sz w:val="17"/>
                <w:szCs w:val="17"/>
                <w:color w:val="auto"/>
              </w:rPr>
            </w:pPr>
          </w:p>
        </w:tc>
        <w:tc>
          <w:tcPr>
            <w:tcW w:w="1140" w:type="dxa"/>
            <w:vAlign w:val="bottom"/>
            <w:gridSpan w:val="3"/>
          </w:tcPr>
          <w:p>
            <w:pPr>
              <w:spacing w:after="0" w:line="206" w:lineRule="exact"/>
              <w:rPr>
                <w:sz w:val="20"/>
                <w:szCs w:val="20"/>
                <w:color w:val="auto"/>
              </w:rPr>
            </w:pPr>
            <w:r>
              <w:rPr>
                <w:rFonts w:ascii="Arial" w:cs="Arial" w:eastAsia="Arial" w:hAnsi="Arial"/>
                <w:sz w:val="18"/>
                <w:szCs w:val="18"/>
                <w:color w:val="0000FF"/>
                <w:w w:val="90"/>
              </w:rPr>
              <w:t>Item 6. Exhibits</w:t>
            </w:r>
          </w:p>
        </w:tc>
        <w:tc>
          <w:tcPr>
            <w:tcW w:w="700" w:type="dxa"/>
            <w:vAlign w:val="bottom"/>
            <w:gridSpan w:val="2"/>
          </w:tcPr>
          <w:p>
            <w:pPr>
              <w:spacing w:after="0"/>
              <w:rPr>
                <w:sz w:val="17"/>
                <w:szCs w:val="17"/>
                <w:color w:val="auto"/>
              </w:rPr>
            </w:pPr>
          </w:p>
        </w:tc>
        <w:tc>
          <w:tcPr>
            <w:tcW w:w="8000" w:type="dxa"/>
            <w:vAlign w:val="bottom"/>
            <w:gridSpan w:val="14"/>
          </w:tcPr>
          <w:p>
            <w:pPr>
              <w:spacing w:after="0"/>
              <w:rPr>
                <w:sz w:val="17"/>
                <w:szCs w:val="17"/>
                <w:color w:val="auto"/>
              </w:rPr>
            </w:pPr>
          </w:p>
        </w:tc>
        <w:tc>
          <w:tcPr>
            <w:tcW w:w="1160" w:type="dxa"/>
            <w:vAlign w:val="bottom"/>
            <w:gridSpan w:val="4"/>
          </w:tcPr>
          <w:p>
            <w:pPr>
              <w:jc w:val="right"/>
              <w:ind w:right="20"/>
              <w:spacing w:after="0" w:line="206" w:lineRule="exact"/>
              <w:rPr>
                <w:sz w:val="20"/>
                <w:szCs w:val="20"/>
                <w:color w:val="auto"/>
              </w:rPr>
            </w:pPr>
            <w:r>
              <w:rPr>
                <w:rFonts w:ascii="Arial" w:cs="Arial" w:eastAsia="Arial" w:hAnsi="Arial"/>
                <w:sz w:val="18"/>
                <w:szCs w:val="18"/>
                <w:color w:val="0000FF"/>
              </w:rPr>
              <w:t>31</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66040</wp:posOffset>
            </wp:positionV>
            <wp:extent cx="716026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40" w:top="877" w:right="3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4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Condensed Consolidated Financial Statements</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5"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(In millions)</w:t>
      </w:r>
    </w:p>
    <w:p>
      <w:pPr>
        <w:spacing w:after="0" w:line="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(Unaudited)</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right"/>
              <w:ind w:right="261"/>
              <w:spacing w:after="0"/>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right"/>
              <w:ind w:right="81"/>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0"/>
        </w:trPr>
        <w:tc>
          <w:tcPr>
            <w:tcW w:w="88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98"/>
        </w:trPr>
        <w:tc>
          <w:tcPr>
            <w:tcW w:w="8820" w:type="dxa"/>
            <w:vAlign w:val="bottom"/>
            <w:shd w:val="clear" w:color="auto" w:fill="CCEEFF"/>
          </w:tcPr>
          <w:p>
            <w:pPr>
              <w:jc w:val="center"/>
              <w:ind w:left="2341"/>
              <w:spacing w:after="0"/>
              <w:rPr>
                <w:sz w:val="20"/>
                <w:szCs w:val="20"/>
                <w:color w:val="auto"/>
              </w:rPr>
            </w:pPr>
            <w:r>
              <w:rPr>
                <w:rFonts w:ascii="Arial" w:cs="Arial" w:eastAsia="Arial" w:hAnsi="Arial"/>
                <w:sz w:val="14"/>
                <w:szCs w:val="14"/>
                <w:b w:val="1"/>
                <w:bCs w:val="1"/>
                <w:color w:val="auto"/>
                <w:w w:val="92"/>
              </w:rPr>
              <w:t>ASSETS</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82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and cash equivalents</w:t>
            </w:r>
          </w:p>
        </w:tc>
        <w:tc>
          <w:tcPr>
            <w:tcW w:w="2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112.7</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247.7</w:t>
            </w:r>
          </w:p>
        </w:tc>
        <w:tc>
          <w:tcPr>
            <w:tcW w:w="0" w:type="dxa"/>
            <w:vAlign w:val="bottom"/>
          </w:tcPr>
          <w:p>
            <w:pPr>
              <w:spacing w:after="0"/>
              <w:rPr>
                <w:sz w:val="1"/>
                <w:szCs w:val="1"/>
                <w:color w:val="auto"/>
              </w:rPr>
            </w:pPr>
          </w:p>
        </w:tc>
      </w:tr>
      <w:tr>
        <w:trPr>
          <w:trHeight w:val="210"/>
        </w:trPr>
        <w:tc>
          <w:tcPr>
            <w:tcW w:w="8820" w:type="dxa"/>
            <w:vAlign w:val="bottom"/>
          </w:tcPr>
          <w:p>
            <w:pPr>
              <w:ind w:left="140"/>
              <w:spacing w:after="0"/>
              <w:rPr>
                <w:sz w:val="20"/>
                <w:szCs w:val="20"/>
                <w:color w:val="auto"/>
              </w:rPr>
            </w:pPr>
            <w:r>
              <w:rPr>
                <w:rFonts w:ascii="Arial" w:cs="Arial" w:eastAsia="Arial" w:hAnsi="Arial"/>
                <w:sz w:val="16"/>
                <w:szCs w:val="16"/>
                <w:color w:val="auto"/>
              </w:rPr>
              <w:t>Short-term investments</w:t>
            </w:r>
          </w:p>
        </w:tc>
        <w:tc>
          <w:tcPr>
            <w:tcW w:w="200" w:type="dxa"/>
            <w:vAlign w:val="bottom"/>
          </w:tcPr>
          <w:p>
            <w:pPr>
              <w:spacing w:after="0"/>
              <w:rPr>
                <w:sz w:val="18"/>
                <w:szCs w:val="18"/>
                <w:color w:val="auto"/>
              </w:rPr>
            </w:pP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53.6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34.9</w:t>
            </w:r>
          </w:p>
        </w:tc>
        <w:tc>
          <w:tcPr>
            <w:tcW w:w="0" w:type="dxa"/>
            <w:vAlign w:val="bottom"/>
          </w:tcPr>
          <w:p>
            <w:pPr>
              <w:spacing w:after="0"/>
              <w:rPr>
                <w:sz w:val="1"/>
                <w:szCs w:val="1"/>
                <w:color w:val="auto"/>
              </w:rPr>
            </w:pPr>
          </w:p>
        </w:tc>
      </w:tr>
      <w:tr>
        <w:trPr>
          <w:trHeight w:val="215"/>
        </w:trPr>
        <w:tc>
          <w:tcPr>
            <w:tcW w:w="8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current assets</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23.8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w:t>
            </w:r>
          </w:p>
        </w:tc>
        <w:tc>
          <w:tcPr>
            <w:tcW w:w="0" w:type="dxa"/>
            <w:vAlign w:val="bottom"/>
          </w:tcPr>
          <w:p>
            <w:pPr>
              <w:spacing w:after="0"/>
              <w:rPr>
                <w:sz w:val="1"/>
                <w:szCs w:val="1"/>
                <w:color w:val="auto"/>
              </w:rPr>
            </w:pPr>
          </w:p>
        </w:tc>
      </w:tr>
      <w:tr>
        <w:trPr>
          <w:trHeight w:val="199"/>
        </w:trPr>
        <w:tc>
          <w:tcPr>
            <w:tcW w:w="8820" w:type="dxa"/>
            <w:vAlign w:val="bottom"/>
          </w:tcPr>
          <w:p>
            <w:pPr>
              <w:ind w:left="140"/>
              <w:spacing w:after="0"/>
              <w:rPr>
                <w:sz w:val="20"/>
                <w:szCs w:val="20"/>
                <w:color w:val="auto"/>
              </w:rPr>
            </w:pPr>
            <w:r>
              <w:rPr>
                <w:rFonts w:ascii="Arial" w:cs="Arial" w:eastAsia="Arial" w:hAnsi="Arial"/>
                <w:sz w:val="16"/>
                <w:szCs w:val="16"/>
                <w:color w:val="auto"/>
              </w:rPr>
              <w:t>Income taxes receivable</w:t>
            </w: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06"/>
        </w:trPr>
        <w:tc>
          <w:tcPr>
            <w:tcW w:w="88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current assets</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190.1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310.6</w:t>
            </w:r>
          </w:p>
        </w:tc>
        <w:tc>
          <w:tcPr>
            <w:tcW w:w="0" w:type="dxa"/>
            <w:vAlign w:val="bottom"/>
          </w:tcPr>
          <w:p>
            <w:pPr>
              <w:spacing w:after="0"/>
              <w:rPr>
                <w:sz w:val="1"/>
                <w:szCs w:val="1"/>
                <w:color w:val="auto"/>
              </w:rPr>
            </w:pPr>
          </w:p>
        </w:tc>
      </w:tr>
      <w:tr>
        <w:trPr>
          <w:trHeight w:val="210"/>
        </w:trPr>
        <w:tc>
          <w:tcPr>
            <w:tcW w:w="8820" w:type="dxa"/>
            <w:vAlign w:val="bottom"/>
          </w:tcPr>
          <w:p>
            <w:pPr>
              <w:ind w:left="20"/>
              <w:spacing w:after="0"/>
              <w:rPr>
                <w:sz w:val="20"/>
                <w:szCs w:val="20"/>
                <w:color w:val="auto"/>
              </w:rPr>
            </w:pPr>
            <w:r>
              <w:rPr>
                <w:rFonts w:ascii="Arial" w:cs="Arial" w:eastAsia="Arial" w:hAnsi="Arial"/>
                <w:sz w:val="16"/>
                <w:szCs w:val="16"/>
                <w:color w:val="auto"/>
              </w:rPr>
              <w:t>Investments in unconsolidated affiliates</w:t>
            </w:r>
          </w:p>
        </w:tc>
        <w:tc>
          <w:tcPr>
            <w:tcW w:w="200" w:type="dxa"/>
            <w:vAlign w:val="bottom"/>
          </w:tcPr>
          <w:p>
            <w:pPr>
              <w:spacing w:after="0"/>
              <w:rPr>
                <w:sz w:val="18"/>
                <w:szCs w:val="18"/>
                <w:color w:val="auto"/>
              </w:rPr>
            </w:pP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1,972.5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1,950.7</w:t>
            </w:r>
          </w:p>
        </w:tc>
        <w:tc>
          <w:tcPr>
            <w:tcW w:w="0" w:type="dxa"/>
            <w:vAlign w:val="bottom"/>
          </w:tcPr>
          <w:p>
            <w:pPr>
              <w:spacing w:after="0"/>
              <w:rPr>
                <w:sz w:val="1"/>
                <w:szCs w:val="1"/>
                <w:color w:val="auto"/>
              </w:rPr>
            </w:pPr>
          </w:p>
        </w:tc>
      </w:tr>
      <w:tr>
        <w:trPr>
          <w:trHeight w:val="215"/>
        </w:trPr>
        <w:tc>
          <w:tcPr>
            <w:tcW w:w="8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Equity securities, at fair value</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334.9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384.9</w:t>
            </w:r>
          </w:p>
        </w:tc>
        <w:tc>
          <w:tcPr>
            <w:tcW w:w="0" w:type="dxa"/>
            <w:vAlign w:val="bottom"/>
          </w:tcPr>
          <w:p>
            <w:pPr>
              <w:spacing w:after="0"/>
              <w:rPr>
                <w:sz w:val="1"/>
                <w:szCs w:val="1"/>
                <w:color w:val="auto"/>
              </w:rPr>
            </w:pPr>
          </w:p>
        </w:tc>
      </w:tr>
      <w:tr>
        <w:trPr>
          <w:trHeight w:val="210"/>
        </w:trPr>
        <w:tc>
          <w:tcPr>
            <w:tcW w:w="8820" w:type="dxa"/>
            <w:vAlign w:val="bottom"/>
          </w:tcPr>
          <w:p>
            <w:pPr>
              <w:ind w:left="20"/>
              <w:spacing w:after="0"/>
              <w:rPr>
                <w:sz w:val="20"/>
                <w:szCs w:val="20"/>
                <w:color w:val="auto"/>
              </w:rPr>
            </w:pPr>
            <w:r>
              <w:rPr>
                <w:rFonts w:ascii="Arial" w:cs="Arial" w:eastAsia="Arial" w:hAnsi="Arial"/>
                <w:sz w:val="16"/>
                <w:szCs w:val="16"/>
                <w:color w:val="auto"/>
              </w:rPr>
              <w:t>Lease assets</w:t>
            </w:r>
          </w:p>
        </w:tc>
        <w:tc>
          <w:tcPr>
            <w:tcW w:w="200" w:type="dxa"/>
            <w:vAlign w:val="bottom"/>
          </w:tcPr>
          <w:p>
            <w:pPr>
              <w:spacing w:after="0"/>
              <w:rPr>
                <w:sz w:val="18"/>
                <w:szCs w:val="18"/>
                <w:color w:val="auto"/>
              </w:rPr>
            </w:pP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150.0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156.0</w:t>
            </w:r>
          </w:p>
        </w:tc>
        <w:tc>
          <w:tcPr>
            <w:tcW w:w="0" w:type="dxa"/>
            <w:vAlign w:val="bottom"/>
          </w:tcPr>
          <w:p>
            <w:pPr>
              <w:spacing w:after="0"/>
              <w:rPr>
                <w:sz w:val="1"/>
                <w:szCs w:val="1"/>
                <w:color w:val="auto"/>
              </w:rPr>
            </w:pPr>
          </w:p>
        </w:tc>
      </w:tr>
      <w:tr>
        <w:trPr>
          <w:trHeight w:val="215"/>
        </w:trPr>
        <w:tc>
          <w:tcPr>
            <w:tcW w:w="8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and equipment, net</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78.6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87.5</w:t>
            </w:r>
          </w:p>
        </w:tc>
        <w:tc>
          <w:tcPr>
            <w:tcW w:w="0" w:type="dxa"/>
            <w:vAlign w:val="bottom"/>
          </w:tcPr>
          <w:p>
            <w:pPr>
              <w:spacing w:after="0"/>
              <w:rPr>
                <w:sz w:val="1"/>
                <w:szCs w:val="1"/>
                <w:color w:val="auto"/>
              </w:rPr>
            </w:pPr>
          </w:p>
        </w:tc>
      </w:tr>
      <w:tr>
        <w:trPr>
          <w:trHeight w:val="210"/>
        </w:trPr>
        <w:tc>
          <w:tcPr>
            <w:tcW w:w="8820" w:type="dxa"/>
            <w:vAlign w:val="bottom"/>
          </w:tcPr>
          <w:p>
            <w:pPr>
              <w:ind w:left="20"/>
              <w:spacing w:after="0"/>
              <w:rPr>
                <w:sz w:val="20"/>
                <w:szCs w:val="20"/>
                <w:color w:val="auto"/>
              </w:rPr>
            </w:pPr>
            <w:r>
              <w:rPr>
                <w:rFonts w:ascii="Arial" w:cs="Arial" w:eastAsia="Arial" w:hAnsi="Arial"/>
                <w:sz w:val="16"/>
                <w:szCs w:val="16"/>
                <w:color w:val="auto"/>
              </w:rPr>
              <w:t>Goodwill</w:t>
            </w:r>
          </w:p>
        </w:tc>
        <w:tc>
          <w:tcPr>
            <w:tcW w:w="200" w:type="dxa"/>
            <w:vAlign w:val="bottom"/>
          </w:tcPr>
          <w:p>
            <w:pPr>
              <w:spacing w:after="0"/>
              <w:rPr>
                <w:sz w:val="18"/>
                <w:szCs w:val="18"/>
                <w:color w:val="auto"/>
              </w:rPr>
            </w:pP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53.4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53.4</w:t>
            </w:r>
          </w:p>
        </w:tc>
        <w:tc>
          <w:tcPr>
            <w:tcW w:w="0" w:type="dxa"/>
            <w:vAlign w:val="bottom"/>
          </w:tcPr>
          <w:p>
            <w:pPr>
              <w:spacing w:after="0"/>
              <w:rPr>
                <w:sz w:val="1"/>
                <w:szCs w:val="1"/>
                <w:color w:val="auto"/>
              </w:rPr>
            </w:pPr>
          </w:p>
        </w:tc>
      </w:tr>
      <w:tr>
        <w:trPr>
          <w:trHeight w:val="215"/>
        </w:trPr>
        <w:tc>
          <w:tcPr>
            <w:tcW w:w="8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tax asset</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47.6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w:t>
            </w:r>
          </w:p>
        </w:tc>
        <w:tc>
          <w:tcPr>
            <w:tcW w:w="0" w:type="dxa"/>
            <w:vAlign w:val="bottom"/>
          </w:tcPr>
          <w:p>
            <w:pPr>
              <w:spacing w:after="0"/>
              <w:rPr>
                <w:sz w:val="1"/>
                <w:szCs w:val="1"/>
                <w:color w:val="auto"/>
              </w:rPr>
            </w:pPr>
          </w:p>
        </w:tc>
      </w:tr>
      <w:tr>
        <w:trPr>
          <w:trHeight w:val="210"/>
        </w:trPr>
        <w:tc>
          <w:tcPr>
            <w:tcW w:w="8820" w:type="dxa"/>
            <w:vAlign w:val="bottom"/>
          </w:tcPr>
          <w:p>
            <w:pPr>
              <w:ind w:left="20"/>
              <w:spacing w:after="0"/>
              <w:rPr>
                <w:sz w:val="20"/>
                <w:szCs w:val="20"/>
                <w:color w:val="auto"/>
              </w:rPr>
            </w:pPr>
            <w:r>
              <w:rPr>
                <w:rFonts w:ascii="Arial" w:cs="Arial" w:eastAsia="Arial" w:hAnsi="Arial"/>
                <w:sz w:val="16"/>
                <w:szCs w:val="16"/>
                <w:color w:val="auto"/>
              </w:rPr>
              <w:t>Other intangible assets, net</w:t>
            </w:r>
          </w:p>
        </w:tc>
        <w:tc>
          <w:tcPr>
            <w:tcW w:w="200" w:type="dxa"/>
            <w:vAlign w:val="bottom"/>
          </w:tcPr>
          <w:p>
            <w:pPr>
              <w:spacing w:after="0"/>
              <w:rPr>
                <w:sz w:val="18"/>
                <w:szCs w:val="18"/>
                <w:color w:val="auto"/>
              </w:rPr>
            </w:pP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22.2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23.5</w:t>
            </w:r>
          </w:p>
        </w:tc>
        <w:tc>
          <w:tcPr>
            <w:tcW w:w="0" w:type="dxa"/>
            <w:vAlign w:val="bottom"/>
          </w:tcPr>
          <w:p>
            <w:pPr>
              <w:spacing w:after="0"/>
              <w:rPr>
                <w:sz w:val="1"/>
                <w:szCs w:val="1"/>
                <w:color w:val="auto"/>
              </w:rPr>
            </w:pPr>
          </w:p>
        </w:tc>
      </w:tr>
      <w:tr>
        <w:trPr>
          <w:trHeight w:val="212"/>
        </w:trPr>
        <w:tc>
          <w:tcPr>
            <w:tcW w:w="8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long-term investments and non-current assets</w:t>
            </w:r>
          </w:p>
        </w:tc>
        <w:tc>
          <w:tcPr>
            <w:tcW w:w="2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146.3</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136.2</w:t>
            </w:r>
          </w:p>
        </w:tc>
        <w:tc>
          <w:tcPr>
            <w:tcW w:w="0" w:type="dxa"/>
            <w:vAlign w:val="bottom"/>
          </w:tcPr>
          <w:p>
            <w:pPr>
              <w:spacing w:after="0"/>
              <w:rPr>
                <w:sz w:val="1"/>
                <w:szCs w:val="1"/>
                <w:color w:val="auto"/>
              </w:rPr>
            </w:pPr>
          </w:p>
        </w:tc>
      </w:tr>
      <w:tr>
        <w:trPr>
          <w:trHeight w:val="208"/>
        </w:trPr>
        <w:tc>
          <w:tcPr>
            <w:tcW w:w="8820" w:type="dxa"/>
            <w:vAlign w:val="bottom"/>
          </w:tcPr>
          <w:p>
            <w:pPr>
              <w:ind w:left="540"/>
              <w:spacing w:after="0"/>
              <w:rPr>
                <w:sz w:val="20"/>
                <w:szCs w:val="20"/>
                <w:color w:val="auto"/>
              </w:rPr>
            </w:pPr>
            <w:r>
              <w:rPr>
                <w:rFonts w:ascii="Arial" w:cs="Arial" w:eastAsia="Arial" w:hAnsi="Arial"/>
                <w:sz w:val="16"/>
                <w:szCs w:val="16"/>
                <w:color w:val="auto"/>
              </w:rPr>
              <w:t>Total assets</w:t>
            </w:r>
          </w:p>
        </w:tc>
        <w:tc>
          <w:tcPr>
            <w:tcW w:w="200" w:type="dxa"/>
            <w:vAlign w:val="bottom"/>
          </w:tcPr>
          <w:p>
            <w:pPr>
              <w:jc w:val="right"/>
              <w:ind w:right="20"/>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2,995.6</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3,125.5</w:t>
            </w:r>
          </w:p>
        </w:tc>
        <w:tc>
          <w:tcPr>
            <w:tcW w:w="0" w:type="dxa"/>
            <w:vAlign w:val="bottom"/>
          </w:tcPr>
          <w:p>
            <w:pPr>
              <w:spacing w:after="0"/>
              <w:rPr>
                <w:sz w:val="1"/>
                <w:szCs w:val="1"/>
                <w:color w:val="auto"/>
              </w:rPr>
            </w:pPr>
          </w:p>
        </w:tc>
      </w:tr>
      <w:tr>
        <w:trPr>
          <w:trHeight w:val="20"/>
        </w:trPr>
        <w:tc>
          <w:tcPr>
            <w:tcW w:w="882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8820" w:type="dxa"/>
            <w:vAlign w:val="bottom"/>
            <w:tcBorders>
              <w:bottom w:val="single" w:sz="8" w:color="CCEEFF"/>
            </w:tcBorders>
            <w:shd w:val="clear" w:color="auto" w:fill="CCEEFF"/>
          </w:tcPr>
          <w:p>
            <w:pPr>
              <w:jc w:val="center"/>
              <w:ind w:left="2341"/>
              <w:spacing w:after="0"/>
              <w:rPr>
                <w:sz w:val="20"/>
                <w:szCs w:val="20"/>
                <w:color w:val="auto"/>
              </w:rPr>
            </w:pPr>
            <w:r>
              <w:rPr>
                <w:rFonts w:ascii="Arial" w:cs="Arial" w:eastAsia="Arial" w:hAnsi="Arial"/>
                <w:sz w:val="14"/>
                <w:szCs w:val="14"/>
                <w:b w:val="1"/>
                <w:bCs w:val="1"/>
                <w:color w:val="auto"/>
              </w:rPr>
              <w:t>LIABILITIES AND EQUITY</w:t>
            </w:r>
          </w:p>
        </w:tc>
        <w:tc>
          <w:tcPr>
            <w:tcW w:w="20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82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Accounts payable and other accrued liabilities, current</w:t>
            </w:r>
          </w:p>
        </w:tc>
        <w:tc>
          <w:tcPr>
            <w:tcW w:w="2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86.9</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79.0</w:t>
            </w:r>
          </w:p>
        </w:tc>
        <w:tc>
          <w:tcPr>
            <w:tcW w:w="0" w:type="dxa"/>
            <w:vAlign w:val="bottom"/>
          </w:tcPr>
          <w:p>
            <w:pPr>
              <w:spacing w:after="0"/>
              <w:rPr>
                <w:sz w:val="1"/>
                <w:szCs w:val="1"/>
                <w:color w:val="auto"/>
              </w:rPr>
            </w:pPr>
          </w:p>
        </w:tc>
      </w:tr>
      <w:tr>
        <w:trPr>
          <w:trHeight w:val="210"/>
        </w:trPr>
        <w:tc>
          <w:tcPr>
            <w:tcW w:w="8820" w:type="dxa"/>
            <w:vAlign w:val="bottom"/>
          </w:tcPr>
          <w:p>
            <w:pPr>
              <w:ind w:left="140"/>
              <w:spacing w:after="0"/>
              <w:rPr>
                <w:sz w:val="20"/>
                <w:szCs w:val="20"/>
                <w:color w:val="auto"/>
              </w:rPr>
            </w:pPr>
            <w:r>
              <w:rPr>
                <w:rFonts w:ascii="Arial" w:cs="Arial" w:eastAsia="Arial" w:hAnsi="Arial"/>
                <w:sz w:val="16"/>
                <w:szCs w:val="16"/>
                <w:color w:val="auto"/>
              </w:rPr>
              <w:t>Lease liabilities, current</w:t>
            </w:r>
          </w:p>
        </w:tc>
        <w:tc>
          <w:tcPr>
            <w:tcW w:w="200" w:type="dxa"/>
            <w:vAlign w:val="bottom"/>
          </w:tcPr>
          <w:p>
            <w:pPr>
              <w:spacing w:after="0"/>
              <w:rPr>
                <w:sz w:val="18"/>
                <w:szCs w:val="18"/>
                <w:color w:val="auto"/>
              </w:rPr>
            </w:pP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20.5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22.8</w:t>
            </w:r>
          </w:p>
        </w:tc>
        <w:tc>
          <w:tcPr>
            <w:tcW w:w="0" w:type="dxa"/>
            <w:vAlign w:val="bottom"/>
          </w:tcPr>
          <w:p>
            <w:pPr>
              <w:spacing w:after="0"/>
              <w:rPr>
                <w:sz w:val="1"/>
                <w:szCs w:val="1"/>
                <w:color w:val="auto"/>
              </w:rPr>
            </w:pPr>
          </w:p>
        </w:tc>
      </w:tr>
      <w:tr>
        <w:trPr>
          <w:trHeight w:val="215"/>
        </w:trPr>
        <w:tc>
          <w:tcPr>
            <w:tcW w:w="8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Deferred revenue</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14.2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w:t>
            </w:r>
          </w:p>
        </w:tc>
        <w:tc>
          <w:tcPr>
            <w:tcW w:w="0" w:type="dxa"/>
            <w:vAlign w:val="bottom"/>
          </w:tcPr>
          <w:p>
            <w:pPr>
              <w:spacing w:after="0"/>
              <w:rPr>
                <w:sz w:val="1"/>
                <w:szCs w:val="1"/>
                <w:color w:val="auto"/>
              </w:rPr>
            </w:pPr>
          </w:p>
        </w:tc>
      </w:tr>
      <w:tr>
        <w:trPr>
          <w:trHeight w:val="210"/>
        </w:trPr>
        <w:tc>
          <w:tcPr>
            <w:tcW w:w="8820" w:type="dxa"/>
            <w:vAlign w:val="bottom"/>
          </w:tcPr>
          <w:p>
            <w:pPr>
              <w:ind w:left="140"/>
              <w:spacing w:after="0"/>
              <w:rPr>
                <w:sz w:val="20"/>
                <w:szCs w:val="20"/>
                <w:color w:val="auto"/>
              </w:rPr>
            </w:pPr>
            <w:r>
              <w:rPr>
                <w:rFonts w:ascii="Arial" w:cs="Arial" w:eastAsia="Arial" w:hAnsi="Arial"/>
                <w:sz w:val="16"/>
                <w:szCs w:val="16"/>
                <w:color w:val="auto"/>
              </w:rPr>
              <w:t>Notes payable, current</w:t>
            </w:r>
          </w:p>
        </w:tc>
        <w:tc>
          <w:tcPr>
            <w:tcW w:w="200" w:type="dxa"/>
            <w:vAlign w:val="bottom"/>
          </w:tcPr>
          <w:p>
            <w:pPr>
              <w:spacing w:after="0"/>
              <w:rPr>
                <w:sz w:val="18"/>
                <w:szCs w:val="18"/>
                <w:color w:val="auto"/>
              </w:rPr>
            </w:pP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02"/>
        </w:trPr>
        <w:tc>
          <w:tcPr>
            <w:tcW w:w="88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Income taxes payable</w:t>
            </w:r>
          </w:p>
        </w:tc>
        <w:tc>
          <w:tcPr>
            <w:tcW w:w="2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8820" w:type="dxa"/>
            <w:vAlign w:val="bottom"/>
          </w:tcPr>
          <w:p>
            <w:pPr>
              <w:ind w:left="340"/>
              <w:spacing w:after="0"/>
              <w:rPr>
                <w:sz w:val="20"/>
                <w:szCs w:val="20"/>
                <w:color w:val="auto"/>
              </w:rPr>
            </w:pPr>
            <w:r>
              <w:rPr>
                <w:rFonts w:ascii="Arial" w:cs="Arial" w:eastAsia="Arial" w:hAnsi="Arial"/>
                <w:sz w:val="16"/>
                <w:szCs w:val="16"/>
                <w:color w:val="auto"/>
              </w:rPr>
              <w:t>Total current liabilities</w:t>
            </w:r>
          </w:p>
        </w:tc>
        <w:tc>
          <w:tcPr>
            <w:tcW w:w="200" w:type="dxa"/>
            <w:vAlign w:val="bottom"/>
          </w:tcPr>
          <w:p>
            <w:pPr>
              <w:spacing w:after="0"/>
              <w:rPr>
                <w:sz w:val="17"/>
                <w:szCs w:val="17"/>
                <w:color w:val="auto"/>
              </w:rPr>
            </w:pP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127.9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122.7</w:t>
            </w:r>
          </w:p>
        </w:tc>
        <w:tc>
          <w:tcPr>
            <w:tcW w:w="0" w:type="dxa"/>
            <w:vAlign w:val="bottom"/>
          </w:tcPr>
          <w:p>
            <w:pPr>
              <w:spacing w:after="0"/>
              <w:rPr>
                <w:sz w:val="1"/>
                <w:szCs w:val="1"/>
                <w:color w:val="auto"/>
              </w:rPr>
            </w:pPr>
          </w:p>
        </w:tc>
      </w:tr>
      <w:tr>
        <w:trPr>
          <w:trHeight w:val="215"/>
        </w:trPr>
        <w:tc>
          <w:tcPr>
            <w:tcW w:w="8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Lease liabilities, long-term</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146.6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151.0</w:t>
            </w:r>
          </w:p>
        </w:tc>
        <w:tc>
          <w:tcPr>
            <w:tcW w:w="0" w:type="dxa"/>
            <w:vAlign w:val="bottom"/>
          </w:tcPr>
          <w:p>
            <w:pPr>
              <w:spacing w:after="0"/>
              <w:rPr>
                <w:sz w:val="1"/>
                <w:szCs w:val="1"/>
                <w:color w:val="auto"/>
              </w:rPr>
            </w:pPr>
          </w:p>
        </w:tc>
      </w:tr>
      <w:tr>
        <w:trPr>
          <w:trHeight w:val="210"/>
        </w:trPr>
        <w:tc>
          <w:tcPr>
            <w:tcW w:w="8820" w:type="dxa"/>
            <w:vAlign w:val="bottom"/>
          </w:tcPr>
          <w:p>
            <w:pPr>
              <w:ind w:left="20"/>
              <w:spacing w:after="0"/>
              <w:rPr>
                <w:sz w:val="20"/>
                <w:szCs w:val="20"/>
                <w:color w:val="auto"/>
              </w:rPr>
            </w:pPr>
            <w:r>
              <w:rPr>
                <w:rFonts w:ascii="Arial" w:cs="Arial" w:eastAsia="Arial" w:hAnsi="Arial"/>
                <w:sz w:val="16"/>
                <w:szCs w:val="16"/>
                <w:color w:val="auto"/>
              </w:rPr>
              <w:t>Notes payable, long-term</w:t>
            </w:r>
          </w:p>
        </w:tc>
        <w:tc>
          <w:tcPr>
            <w:tcW w:w="200" w:type="dxa"/>
            <w:vAlign w:val="bottom"/>
          </w:tcPr>
          <w:p>
            <w:pPr>
              <w:spacing w:after="0"/>
              <w:rPr>
                <w:sz w:val="18"/>
                <w:szCs w:val="18"/>
                <w:color w:val="auto"/>
              </w:rPr>
            </w:pP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98.3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95.1</w:t>
            </w:r>
          </w:p>
        </w:tc>
        <w:tc>
          <w:tcPr>
            <w:tcW w:w="0" w:type="dxa"/>
            <w:vAlign w:val="bottom"/>
          </w:tcPr>
          <w:p>
            <w:pPr>
              <w:spacing w:after="0"/>
              <w:rPr>
                <w:sz w:val="1"/>
                <w:szCs w:val="1"/>
                <w:color w:val="auto"/>
              </w:rPr>
            </w:pPr>
          </w:p>
        </w:tc>
      </w:tr>
      <w:tr>
        <w:trPr>
          <w:trHeight w:val="215"/>
        </w:trPr>
        <w:tc>
          <w:tcPr>
            <w:tcW w:w="8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Accounts payable and other accrued liabilities, long-term</w:t>
            </w:r>
          </w:p>
        </w:tc>
        <w:tc>
          <w:tcPr>
            <w:tcW w:w="2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40.8</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41.8</w:t>
            </w:r>
          </w:p>
        </w:tc>
        <w:tc>
          <w:tcPr>
            <w:tcW w:w="0" w:type="dxa"/>
            <w:vAlign w:val="bottom"/>
          </w:tcPr>
          <w:p>
            <w:pPr>
              <w:spacing w:after="0"/>
              <w:rPr>
                <w:sz w:val="1"/>
                <w:szCs w:val="1"/>
                <w:color w:val="auto"/>
              </w:rPr>
            </w:pPr>
          </w:p>
        </w:tc>
      </w:tr>
      <w:tr>
        <w:trPr>
          <w:trHeight w:val="203"/>
        </w:trPr>
        <w:tc>
          <w:tcPr>
            <w:tcW w:w="8820" w:type="dxa"/>
            <w:vAlign w:val="bottom"/>
          </w:tcPr>
          <w:p>
            <w:pPr>
              <w:ind w:left="340"/>
              <w:spacing w:after="0"/>
              <w:rPr>
                <w:sz w:val="20"/>
                <w:szCs w:val="20"/>
                <w:color w:val="auto"/>
              </w:rPr>
            </w:pPr>
            <w:r>
              <w:rPr>
                <w:rFonts w:ascii="Arial" w:cs="Arial" w:eastAsia="Arial" w:hAnsi="Arial"/>
                <w:sz w:val="16"/>
                <w:szCs w:val="16"/>
                <w:color w:val="auto"/>
              </w:rPr>
              <w:t>Total liabilities</w:t>
            </w:r>
          </w:p>
        </w:tc>
        <w:tc>
          <w:tcPr>
            <w:tcW w:w="200" w:type="dxa"/>
            <w:vAlign w:val="bottom"/>
          </w:tcPr>
          <w:p>
            <w:pPr>
              <w:spacing w:after="0"/>
              <w:rPr>
                <w:sz w:val="17"/>
                <w:szCs w:val="17"/>
                <w:color w:val="auto"/>
              </w:rPr>
            </w:pP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413.6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410.6</w:t>
            </w:r>
          </w:p>
        </w:tc>
        <w:tc>
          <w:tcPr>
            <w:tcW w:w="0" w:type="dxa"/>
            <w:vAlign w:val="bottom"/>
          </w:tcPr>
          <w:p>
            <w:pPr>
              <w:spacing w:after="0"/>
              <w:rPr>
                <w:sz w:val="1"/>
                <w:szCs w:val="1"/>
                <w:color w:val="auto"/>
              </w:rPr>
            </w:pPr>
          </w:p>
        </w:tc>
      </w:tr>
      <w:tr>
        <w:trPr>
          <w:trHeight w:val="215"/>
        </w:trPr>
        <w:tc>
          <w:tcPr>
            <w:tcW w:w="8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Commitments and contingencies - see Note H</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820" w:type="dxa"/>
            <w:vAlign w:val="bottom"/>
          </w:tcPr>
          <w:p>
            <w:pPr>
              <w:ind w:left="20"/>
              <w:spacing w:after="0"/>
              <w:rPr>
                <w:sz w:val="20"/>
                <w:szCs w:val="20"/>
                <w:color w:val="auto"/>
              </w:rPr>
            </w:pPr>
            <w:r>
              <w:rPr>
                <w:rFonts w:ascii="Arial" w:cs="Arial" w:eastAsia="Arial" w:hAnsi="Arial"/>
                <w:sz w:val="16"/>
                <w:szCs w:val="16"/>
                <w:color w:val="auto"/>
              </w:rPr>
              <w:t>Equity:</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8820" w:type="dxa"/>
            <w:vAlign w:val="bottom"/>
            <w:shd w:val="clear" w:color="auto" w:fill="CCEEFF"/>
          </w:tcPr>
          <w:p>
            <w:pPr>
              <w:ind w:left="140"/>
              <w:spacing w:after="0" w:line="165" w:lineRule="exact"/>
              <w:rPr>
                <w:sz w:val="20"/>
                <w:szCs w:val="20"/>
                <w:color w:val="auto"/>
              </w:rPr>
            </w:pPr>
            <w:r>
              <w:rPr>
                <w:rFonts w:ascii="Arial" w:cs="Arial" w:eastAsia="Arial" w:hAnsi="Arial"/>
                <w:sz w:val="16"/>
                <w:szCs w:val="16"/>
                <w:color w:val="auto"/>
                <w:w w:val="94"/>
              </w:rPr>
              <w:t>Cannae common stock, 0.0001 par value; authorized 115,000,000 shares as of June 30, 2023 and December 31, 2022; issued of</w:t>
            </w:r>
          </w:p>
        </w:tc>
        <w:tc>
          <w:tcPr>
            <w:tcW w:w="2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8820" w:type="dxa"/>
            <w:vAlign w:val="bottom"/>
            <w:shd w:val="clear" w:color="auto" w:fill="CCEEFF"/>
          </w:tcPr>
          <w:p>
            <w:pPr>
              <w:ind w:left="140"/>
              <w:spacing w:after="0" w:line="159" w:lineRule="exact"/>
              <w:rPr>
                <w:sz w:val="20"/>
                <w:szCs w:val="20"/>
                <w:color w:val="auto"/>
              </w:rPr>
            </w:pPr>
            <w:r>
              <w:rPr>
                <w:rFonts w:ascii="Arial" w:cs="Arial" w:eastAsia="Arial" w:hAnsi="Arial"/>
                <w:sz w:val="16"/>
                <w:szCs w:val="16"/>
                <w:color w:val="auto"/>
                <w:w w:val="94"/>
              </w:rPr>
              <w:t>92,820,862 and 92,583,280 shares as of June 30, 2023 and December 31, 2022, respectively and outstanding of 73,423,951 and</w:t>
            </w:r>
          </w:p>
        </w:tc>
        <w:tc>
          <w:tcPr>
            <w:tcW w:w="20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8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76,254,972 shares as of June 30, 2023 and December 31, 2022, respectively,</w:t>
            </w:r>
          </w:p>
        </w:tc>
        <w:tc>
          <w:tcPr>
            <w:tcW w:w="20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8820" w:type="dxa"/>
            <w:vAlign w:val="bottom"/>
          </w:tcPr>
          <w:p>
            <w:pPr>
              <w:ind w:left="140"/>
              <w:spacing w:after="0" w:line="163" w:lineRule="exact"/>
              <w:rPr>
                <w:sz w:val="20"/>
                <w:szCs w:val="20"/>
                <w:color w:val="auto"/>
              </w:rPr>
            </w:pPr>
            <w:r>
              <w:rPr>
                <w:rFonts w:ascii="Arial" w:cs="Arial" w:eastAsia="Arial" w:hAnsi="Arial"/>
                <w:sz w:val="16"/>
                <w:szCs w:val="16"/>
                <w:color w:val="auto"/>
                <w:w w:val="90"/>
              </w:rPr>
              <w:t>Preferred stock, 0.0001 par value; authorized 10,000,000 shares; issued and outstanding, none as of June 30, 2023 and December 31,</w:t>
            </w:r>
          </w:p>
        </w:tc>
        <w:tc>
          <w:tcPr>
            <w:tcW w:w="200" w:type="dxa"/>
            <w:vAlign w:val="bottom"/>
          </w:tcPr>
          <w:p>
            <w:pPr>
              <w:spacing w:after="0"/>
              <w:rPr>
                <w:sz w:val="14"/>
                <w:szCs w:val="14"/>
                <w:color w:val="auto"/>
              </w:rPr>
            </w:pPr>
          </w:p>
        </w:tc>
        <w:tc>
          <w:tcPr>
            <w:tcW w:w="960" w:type="dxa"/>
            <w:vAlign w:val="bottom"/>
            <w:vMerge w:val="restart"/>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8820" w:type="dxa"/>
            <w:vAlign w:val="bottom"/>
          </w:tcPr>
          <w:p>
            <w:pPr>
              <w:ind w:left="140"/>
              <w:spacing w:after="0"/>
              <w:rPr>
                <w:sz w:val="20"/>
                <w:szCs w:val="20"/>
                <w:color w:val="auto"/>
              </w:rPr>
            </w:pPr>
            <w:r>
              <w:rPr>
                <w:rFonts w:ascii="Arial" w:cs="Arial" w:eastAsia="Arial" w:hAnsi="Arial"/>
                <w:sz w:val="16"/>
                <w:szCs w:val="16"/>
                <w:color w:val="auto"/>
              </w:rPr>
              <w:t>2022</w:t>
            </w:r>
          </w:p>
        </w:tc>
        <w:tc>
          <w:tcPr>
            <w:tcW w:w="20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8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Retained earnings</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1,123.4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1,214.7</w:t>
            </w:r>
          </w:p>
        </w:tc>
        <w:tc>
          <w:tcPr>
            <w:tcW w:w="0" w:type="dxa"/>
            <w:vAlign w:val="bottom"/>
          </w:tcPr>
          <w:p>
            <w:pPr>
              <w:spacing w:after="0"/>
              <w:rPr>
                <w:sz w:val="1"/>
                <w:szCs w:val="1"/>
                <w:color w:val="auto"/>
              </w:rPr>
            </w:pPr>
          </w:p>
        </w:tc>
      </w:tr>
      <w:tr>
        <w:trPr>
          <w:trHeight w:val="210"/>
        </w:trPr>
        <w:tc>
          <w:tcPr>
            <w:tcW w:w="8820" w:type="dxa"/>
            <w:vAlign w:val="bottom"/>
          </w:tcPr>
          <w:p>
            <w:pPr>
              <w:ind w:left="140"/>
              <w:spacing w:after="0"/>
              <w:rPr>
                <w:sz w:val="20"/>
                <w:szCs w:val="20"/>
                <w:color w:val="auto"/>
              </w:rPr>
            </w:pPr>
            <w:r>
              <w:rPr>
                <w:rFonts w:ascii="Arial" w:cs="Arial" w:eastAsia="Arial" w:hAnsi="Arial"/>
                <w:sz w:val="16"/>
                <w:szCs w:val="16"/>
                <w:color w:val="auto"/>
              </w:rPr>
              <w:t>Additional paid-in capital</w:t>
            </w:r>
          </w:p>
        </w:tc>
        <w:tc>
          <w:tcPr>
            <w:tcW w:w="200" w:type="dxa"/>
            <w:vAlign w:val="bottom"/>
          </w:tcPr>
          <w:p>
            <w:pPr>
              <w:spacing w:after="0"/>
              <w:rPr>
                <w:sz w:val="18"/>
                <w:szCs w:val="18"/>
                <w:color w:val="auto"/>
              </w:rPr>
            </w:pP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1,957.0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1,936.2</w:t>
            </w:r>
          </w:p>
        </w:tc>
        <w:tc>
          <w:tcPr>
            <w:tcW w:w="0" w:type="dxa"/>
            <w:vAlign w:val="bottom"/>
          </w:tcPr>
          <w:p>
            <w:pPr>
              <w:spacing w:after="0"/>
              <w:rPr>
                <w:sz w:val="1"/>
                <w:szCs w:val="1"/>
                <w:color w:val="auto"/>
              </w:rPr>
            </w:pPr>
          </w:p>
        </w:tc>
      </w:tr>
      <w:tr>
        <w:trPr>
          <w:trHeight w:val="215"/>
        </w:trPr>
        <w:tc>
          <w:tcPr>
            <w:tcW w:w="882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8"/>
              </w:rPr>
              <w:t>Less: Treasury stock, 19,396,911 and 16,328,308 shares as of June 30, 2023 and December 31, 2022, respectively, at cost</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(474.5)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(414.0)</w:t>
            </w:r>
          </w:p>
        </w:tc>
        <w:tc>
          <w:tcPr>
            <w:tcW w:w="0" w:type="dxa"/>
            <w:vAlign w:val="bottom"/>
          </w:tcPr>
          <w:p>
            <w:pPr>
              <w:spacing w:after="0"/>
              <w:rPr>
                <w:sz w:val="1"/>
                <w:szCs w:val="1"/>
                <w:color w:val="auto"/>
              </w:rPr>
            </w:pPr>
          </w:p>
        </w:tc>
      </w:tr>
      <w:tr>
        <w:trPr>
          <w:trHeight w:val="210"/>
        </w:trPr>
        <w:tc>
          <w:tcPr>
            <w:tcW w:w="88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Accumulated other comprehensive loss</w:t>
            </w: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(18.1)</w:t>
            </w:r>
          </w:p>
        </w:tc>
        <w:tc>
          <w:tcPr>
            <w:tcW w:w="0" w:type="dxa"/>
            <w:vAlign w:val="bottom"/>
          </w:tcPr>
          <w:p>
            <w:pPr>
              <w:spacing w:after="0"/>
              <w:rPr>
                <w:sz w:val="1"/>
                <w:szCs w:val="1"/>
                <w:color w:val="auto"/>
              </w:rPr>
            </w:pPr>
          </w:p>
        </w:tc>
      </w:tr>
      <w:tr>
        <w:trPr>
          <w:trHeight w:val="208"/>
        </w:trPr>
        <w:tc>
          <w:tcPr>
            <w:tcW w:w="88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Cannae shareholders' equity</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2,592.0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2,718.8</w:t>
            </w:r>
          </w:p>
        </w:tc>
        <w:tc>
          <w:tcPr>
            <w:tcW w:w="0" w:type="dxa"/>
            <w:vAlign w:val="bottom"/>
          </w:tcPr>
          <w:p>
            <w:pPr>
              <w:spacing w:after="0"/>
              <w:rPr>
                <w:sz w:val="1"/>
                <w:szCs w:val="1"/>
                <w:color w:val="auto"/>
              </w:rPr>
            </w:pPr>
          </w:p>
        </w:tc>
      </w:tr>
      <w:tr>
        <w:trPr>
          <w:trHeight w:val="210"/>
        </w:trPr>
        <w:tc>
          <w:tcPr>
            <w:tcW w:w="88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Noncontrolling interests</w:t>
            </w: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06"/>
        </w:trPr>
        <w:tc>
          <w:tcPr>
            <w:tcW w:w="88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equity</w:t>
            </w:r>
          </w:p>
        </w:tc>
        <w:tc>
          <w:tcPr>
            <w:tcW w:w="2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2,582.0</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2,714.9</w:t>
            </w:r>
          </w:p>
        </w:tc>
        <w:tc>
          <w:tcPr>
            <w:tcW w:w="0" w:type="dxa"/>
            <w:vAlign w:val="bottom"/>
          </w:tcPr>
          <w:p>
            <w:pPr>
              <w:spacing w:after="0"/>
              <w:rPr>
                <w:sz w:val="1"/>
                <w:szCs w:val="1"/>
                <w:color w:val="auto"/>
              </w:rPr>
            </w:pPr>
          </w:p>
        </w:tc>
      </w:tr>
      <w:tr>
        <w:trPr>
          <w:trHeight w:val="208"/>
        </w:trPr>
        <w:tc>
          <w:tcPr>
            <w:tcW w:w="8820" w:type="dxa"/>
            <w:vAlign w:val="bottom"/>
          </w:tcPr>
          <w:p>
            <w:pPr>
              <w:ind w:left="540"/>
              <w:spacing w:after="0"/>
              <w:rPr>
                <w:sz w:val="20"/>
                <w:szCs w:val="20"/>
                <w:color w:val="auto"/>
              </w:rPr>
            </w:pPr>
            <w:r>
              <w:rPr>
                <w:rFonts w:ascii="Arial" w:cs="Arial" w:eastAsia="Arial" w:hAnsi="Arial"/>
                <w:sz w:val="16"/>
                <w:szCs w:val="16"/>
                <w:color w:val="auto"/>
              </w:rPr>
              <w:t>Total liabilities and equity</w:t>
            </w:r>
          </w:p>
        </w:tc>
        <w:tc>
          <w:tcPr>
            <w:tcW w:w="200" w:type="dxa"/>
            <w:vAlign w:val="bottom"/>
          </w:tcPr>
          <w:p>
            <w:pPr>
              <w:jc w:val="right"/>
              <w:ind w:right="20"/>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2,995.6</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3,125.5</w:t>
            </w:r>
          </w:p>
        </w:tc>
        <w:tc>
          <w:tcPr>
            <w:tcW w:w="0" w:type="dxa"/>
            <w:vAlign w:val="bottom"/>
          </w:tcPr>
          <w:p>
            <w:pPr>
              <w:spacing w:after="0"/>
              <w:rPr>
                <w:sz w:val="1"/>
                <w:szCs w:val="1"/>
                <w:color w:val="auto"/>
              </w:rPr>
            </w:pPr>
          </w:p>
        </w:tc>
      </w:tr>
      <w:tr>
        <w:trPr>
          <w:trHeight w:val="20"/>
        </w:trPr>
        <w:tc>
          <w:tcPr>
            <w:tcW w:w="8820" w:type="dxa"/>
            <w:vAlign w:val="bottom"/>
            <w:vMerge w:val="restart"/>
          </w:tcPr>
          <w:p>
            <w:pPr>
              <w:jc w:val="center"/>
              <w:ind w:left="2341"/>
              <w:spacing w:after="0"/>
              <w:rPr>
                <w:sz w:val="20"/>
                <w:szCs w:val="20"/>
                <w:color w:val="auto"/>
              </w:rPr>
            </w:pPr>
            <w:r>
              <w:rPr>
                <w:rFonts w:ascii="Arial" w:cs="Arial" w:eastAsia="Arial" w:hAnsi="Arial"/>
                <w:sz w:val="16"/>
                <w:szCs w:val="16"/>
                <w:color w:val="auto"/>
                <w:w w:val="88"/>
              </w:rPr>
              <w:t>See Notes to Condensed Consolidated Financial Statements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7"/>
        </w:trPr>
        <w:tc>
          <w:tcPr>
            <w:tcW w:w="8820" w:type="dxa"/>
            <w:vAlign w:val="bottom"/>
            <w:vMerge w:val="continue"/>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CANNAE HOLDINGS,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CONDENSED CONSOLIDATED STATEMENTS OF OPERATIONS</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millions, except per share data)</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ectPr>
          <w:pgSz w:w="11900" w:h="16838" w:orient="portrait"/>
          <w:cols w:equalWidth="0" w:num="1">
            <w:col w:w="11220"/>
          </w:cols>
          <w:pgMar w:left="320" w:top="121" w:right="359" w:bottom="1440" w:gutter="0" w:footer="0" w:header="0"/>
        </w:sectPr>
      </w:pPr>
    </w:p>
    <w:p>
      <w:pPr>
        <w:spacing w:after="0" w:line="24" w:lineRule="exact"/>
        <w:rPr>
          <w:sz w:val="20"/>
          <w:szCs w:val="20"/>
          <w:color w:val="auto"/>
        </w:rPr>
      </w:pPr>
    </w:p>
    <w:p>
      <w:pPr>
        <w:jc w:val="center"/>
        <w:ind w:left="7000"/>
        <w:spacing w:after="0"/>
        <w:rPr>
          <w:sz w:val="20"/>
          <w:szCs w:val="20"/>
          <w:color w:val="auto"/>
        </w:rPr>
      </w:pPr>
      <w:r>
        <w:rPr>
          <w:rFonts w:ascii="Arial" w:cs="Arial" w:eastAsia="Arial" w:hAnsi="Arial"/>
          <w:sz w:val="12"/>
          <w:szCs w:val="12"/>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4249420</wp:posOffset>
            </wp:positionH>
            <wp:positionV relativeFrom="paragraph">
              <wp:posOffset>44450</wp:posOffset>
            </wp:positionV>
            <wp:extent cx="15246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24635" cy="8255"/>
                    </a:xfrm>
                    <a:prstGeom prst="rect">
                      <a:avLst/>
                    </a:prstGeom>
                    <a:noFill/>
                  </pic:spPr>
                </pic:pic>
              </a:graphicData>
            </a:graphic>
          </wp:anchor>
        </w:drawing>
      </w:r>
    </w:p>
    <w:p>
      <w:pPr>
        <w:spacing w:after="0" w:line="54" w:lineRule="exact"/>
        <w:rPr>
          <w:sz w:val="20"/>
          <w:szCs w:val="20"/>
          <w:color w:val="auto"/>
        </w:rPr>
      </w:pPr>
    </w:p>
    <w:p>
      <w:pPr>
        <w:ind w:left="7120"/>
        <w:spacing w:after="0"/>
        <w:tabs>
          <w:tab w:leader="none" w:pos="8340" w:val="left"/>
        </w:tabs>
        <w:rPr>
          <w:sz w:val="20"/>
          <w:szCs w:val="20"/>
          <w:color w:val="auto"/>
        </w:rPr>
      </w:pPr>
      <w:r>
        <w:rPr>
          <w:rFonts w:ascii="Arial" w:cs="Arial" w:eastAsia="Arial" w:hAnsi="Arial"/>
          <w:sz w:val="14"/>
          <w:szCs w:val="14"/>
          <w:b w:val="1"/>
          <w:bCs w:val="1"/>
          <w:color w:val="auto"/>
        </w:rPr>
        <w:t>2023</w:t>
      </w:r>
      <w:r>
        <w:rPr>
          <w:sz w:val="20"/>
          <w:szCs w:val="20"/>
          <w:color w:val="auto"/>
        </w:rPr>
        <w:tab/>
      </w:r>
      <w:r>
        <w:rPr>
          <w:rFonts w:ascii="Arial" w:cs="Arial" w:eastAsia="Arial" w:hAnsi="Arial"/>
          <w:sz w:val="14"/>
          <w:szCs w:val="14"/>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4249420</wp:posOffset>
            </wp:positionH>
            <wp:positionV relativeFrom="paragraph">
              <wp:posOffset>21590</wp:posOffset>
            </wp:positionV>
            <wp:extent cx="15246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2463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jc w:val="center"/>
        <w:ind w:right="200"/>
        <w:spacing w:after="0"/>
        <w:rPr>
          <w:sz w:val="20"/>
          <w:szCs w:val="20"/>
          <w:color w:val="auto"/>
        </w:rPr>
      </w:pPr>
      <w:r>
        <w:rPr>
          <w:rFonts w:ascii="Arial" w:cs="Arial" w:eastAsia="Arial" w:hAnsi="Arial"/>
          <w:sz w:val="12"/>
          <w:szCs w:val="12"/>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-135255</wp:posOffset>
            </wp:positionH>
            <wp:positionV relativeFrom="paragraph">
              <wp:posOffset>44450</wp:posOffset>
            </wp:positionV>
            <wp:extent cx="129730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97305" cy="8255"/>
                    </a:xfrm>
                    <a:prstGeom prst="rect">
                      <a:avLst/>
                    </a:prstGeom>
                    <a:noFill/>
                  </pic:spPr>
                </pic:pic>
              </a:graphicData>
            </a:graphic>
          </wp:anchor>
        </w:drawing>
      </w:r>
    </w:p>
    <w:p>
      <w:pPr>
        <w:spacing w:after="0" w:line="54" w:lineRule="exact"/>
        <w:rPr>
          <w:sz w:val="20"/>
          <w:szCs w:val="20"/>
          <w:color w:val="auto"/>
        </w:rPr>
      </w:pPr>
    </w:p>
    <w:p>
      <w:pPr>
        <w:ind w:left="140"/>
        <w:spacing w:after="0"/>
        <w:tabs>
          <w:tab w:leader="none" w:pos="1180" w:val="left"/>
        </w:tabs>
        <w:rPr>
          <w:sz w:val="20"/>
          <w:szCs w:val="20"/>
          <w:color w:val="auto"/>
        </w:rPr>
      </w:pPr>
      <w:r>
        <w:rPr>
          <w:rFonts w:ascii="Arial" w:cs="Arial" w:eastAsia="Arial" w:hAnsi="Arial"/>
          <w:sz w:val="14"/>
          <w:szCs w:val="14"/>
          <w:b w:val="1"/>
          <w:bCs w:val="1"/>
          <w:color w:val="auto"/>
        </w:rPr>
        <w:t>2023</w:t>
      </w:r>
      <w:r>
        <w:rPr>
          <w:sz w:val="20"/>
          <w:szCs w:val="20"/>
          <w:color w:val="auto"/>
        </w:rPr>
        <w:tab/>
      </w:r>
      <w:r>
        <w:rPr>
          <w:rFonts w:ascii="Arial" w:cs="Arial" w:eastAsia="Arial" w:hAnsi="Arial"/>
          <w:sz w:val="14"/>
          <w:szCs w:val="14"/>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-135255</wp:posOffset>
            </wp:positionH>
            <wp:positionV relativeFrom="paragraph">
              <wp:posOffset>21590</wp:posOffset>
            </wp:positionV>
            <wp:extent cx="129730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9730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780" w:space="620"/>
            <w:col w:w="1820"/>
          </w:cols>
          <w:pgMar w:left="320" w:top="121" w:right="359" w:bottom="1440" w:gutter="0" w:footer="0" w:header="0"/>
          <w:type w:val="continuous"/>
        </w:sectPr>
      </w:pPr>
    </w:p>
    <w:p>
      <w:pPr>
        <w:spacing w:after="0" w:line="60"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6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80" w:type="dxa"/>
            <w:vAlign w:val="bottom"/>
          </w:tcPr>
          <w:p>
            <w:pPr>
              <w:ind w:left="220"/>
              <w:spacing w:after="0"/>
              <w:rPr>
                <w:sz w:val="20"/>
                <w:szCs w:val="20"/>
                <w:color w:val="auto"/>
              </w:rPr>
            </w:pPr>
            <w:r>
              <w:rPr>
                <w:rFonts w:ascii="Arial" w:cs="Arial" w:eastAsia="Arial" w:hAnsi="Arial"/>
                <w:sz w:val="16"/>
                <w:szCs w:val="16"/>
                <w:color w:val="auto"/>
              </w:rPr>
              <w:t>Restaurant revenue</w:t>
            </w:r>
          </w:p>
        </w:tc>
        <w:tc>
          <w:tcPr>
            <w:tcW w:w="400" w:type="dxa"/>
            <w:vAlign w:val="bottom"/>
          </w:tcPr>
          <w:p>
            <w:pPr>
              <w:jc w:val="right"/>
              <w:ind w:right="246"/>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145.2</w:t>
            </w:r>
          </w:p>
        </w:tc>
        <w:tc>
          <w:tcPr>
            <w:tcW w:w="4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166.7</w:t>
            </w:r>
          </w:p>
        </w:tc>
        <w:tc>
          <w:tcPr>
            <w:tcW w:w="4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293.7</w:t>
            </w:r>
          </w:p>
        </w:tc>
        <w:tc>
          <w:tcPr>
            <w:tcW w:w="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328.8</w:t>
            </w:r>
          </w:p>
        </w:tc>
        <w:tc>
          <w:tcPr>
            <w:tcW w:w="0" w:type="dxa"/>
            <w:vAlign w:val="bottom"/>
          </w:tcPr>
          <w:p>
            <w:pPr>
              <w:spacing w:after="0"/>
              <w:rPr>
                <w:sz w:val="1"/>
                <w:szCs w:val="1"/>
                <w:color w:val="auto"/>
              </w:rPr>
            </w:pPr>
          </w:p>
        </w:tc>
      </w:tr>
      <w:tr>
        <w:trPr>
          <w:trHeight w:val="215"/>
        </w:trPr>
        <w:tc>
          <w:tcPr>
            <w:tcW w:w="66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operating revenue</w:t>
            </w:r>
          </w:p>
        </w:tc>
        <w:tc>
          <w:tcPr>
            <w:tcW w:w="4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w:t>
            </w:r>
          </w:p>
        </w:tc>
        <w:tc>
          <w:tcPr>
            <w:tcW w:w="0" w:type="dxa"/>
            <w:vAlign w:val="bottom"/>
          </w:tcPr>
          <w:p>
            <w:pPr>
              <w:spacing w:after="0"/>
              <w:rPr>
                <w:sz w:val="1"/>
                <w:szCs w:val="1"/>
                <w:color w:val="auto"/>
              </w:rPr>
            </w:pPr>
          </w:p>
        </w:tc>
      </w:tr>
      <w:tr>
        <w:trPr>
          <w:trHeight w:val="203"/>
        </w:trPr>
        <w:tc>
          <w:tcPr>
            <w:tcW w:w="6680" w:type="dxa"/>
            <w:vAlign w:val="bottom"/>
          </w:tcPr>
          <w:p>
            <w:pPr>
              <w:ind w:left="440"/>
              <w:spacing w:after="0"/>
              <w:rPr>
                <w:sz w:val="20"/>
                <w:szCs w:val="20"/>
                <w:color w:val="auto"/>
              </w:rPr>
            </w:pPr>
            <w:r>
              <w:rPr>
                <w:rFonts w:ascii="Arial" w:cs="Arial" w:eastAsia="Arial" w:hAnsi="Arial"/>
                <w:sz w:val="16"/>
                <w:szCs w:val="16"/>
                <w:color w:val="auto"/>
              </w:rPr>
              <w:t>Total operating revenues</w:t>
            </w:r>
          </w:p>
        </w:tc>
        <w:tc>
          <w:tcPr>
            <w:tcW w:w="4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152.8</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174.5</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307.1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341.9</w:t>
            </w:r>
          </w:p>
        </w:tc>
        <w:tc>
          <w:tcPr>
            <w:tcW w:w="0" w:type="dxa"/>
            <w:vAlign w:val="bottom"/>
          </w:tcPr>
          <w:p>
            <w:pPr>
              <w:spacing w:after="0"/>
              <w:rPr>
                <w:sz w:val="1"/>
                <w:szCs w:val="1"/>
                <w:color w:val="auto"/>
              </w:rPr>
            </w:pPr>
          </w:p>
        </w:tc>
      </w:tr>
      <w:tr>
        <w:trPr>
          <w:trHeight w:val="215"/>
        </w:trPr>
        <w:tc>
          <w:tcPr>
            <w:tcW w:w="6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expenses:</w:t>
            </w: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80" w:type="dxa"/>
            <w:vAlign w:val="bottom"/>
          </w:tcPr>
          <w:p>
            <w:pPr>
              <w:ind w:left="220"/>
              <w:spacing w:after="0"/>
              <w:rPr>
                <w:sz w:val="20"/>
                <w:szCs w:val="20"/>
                <w:color w:val="auto"/>
              </w:rPr>
            </w:pPr>
            <w:r>
              <w:rPr>
                <w:rFonts w:ascii="Arial" w:cs="Arial" w:eastAsia="Arial" w:hAnsi="Arial"/>
                <w:sz w:val="16"/>
                <w:szCs w:val="16"/>
                <w:color w:val="auto"/>
              </w:rPr>
              <w:t>Cost of restaurant revenue</w:t>
            </w: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128.3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147.9</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259.9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293.3</w:t>
            </w:r>
          </w:p>
        </w:tc>
        <w:tc>
          <w:tcPr>
            <w:tcW w:w="0" w:type="dxa"/>
            <w:vAlign w:val="bottom"/>
          </w:tcPr>
          <w:p>
            <w:pPr>
              <w:spacing w:after="0"/>
              <w:rPr>
                <w:sz w:val="1"/>
                <w:szCs w:val="1"/>
                <w:color w:val="auto"/>
              </w:rPr>
            </w:pPr>
          </w:p>
        </w:tc>
      </w:tr>
      <w:tr>
        <w:trPr>
          <w:trHeight w:val="215"/>
        </w:trPr>
        <w:tc>
          <w:tcPr>
            <w:tcW w:w="66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Personnel costs</w:t>
            </w: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37.1</w:t>
            </w:r>
          </w:p>
        </w:tc>
        <w:tc>
          <w:tcPr>
            <w:tcW w:w="0" w:type="dxa"/>
            <w:vAlign w:val="bottom"/>
          </w:tcPr>
          <w:p>
            <w:pPr>
              <w:spacing w:after="0"/>
              <w:rPr>
                <w:sz w:val="1"/>
                <w:szCs w:val="1"/>
                <w:color w:val="auto"/>
              </w:rPr>
            </w:pPr>
          </w:p>
        </w:tc>
      </w:tr>
      <w:tr>
        <w:trPr>
          <w:trHeight w:val="210"/>
        </w:trPr>
        <w:tc>
          <w:tcPr>
            <w:tcW w:w="668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9.7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12.0</w:t>
            </w:r>
          </w:p>
        </w:tc>
        <w:tc>
          <w:tcPr>
            <w:tcW w:w="0" w:type="dxa"/>
            <w:vAlign w:val="bottom"/>
          </w:tcPr>
          <w:p>
            <w:pPr>
              <w:spacing w:after="0"/>
              <w:rPr>
                <w:sz w:val="1"/>
                <w:szCs w:val="1"/>
                <w:color w:val="auto"/>
              </w:rPr>
            </w:pPr>
          </w:p>
        </w:tc>
      </w:tr>
      <w:tr>
        <w:trPr>
          <w:trHeight w:val="202"/>
        </w:trPr>
        <w:tc>
          <w:tcPr>
            <w:tcW w:w="66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Other operating expenses</w:t>
            </w:r>
          </w:p>
        </w:tc>
        <w:tc>
          <w:tcPr>
            <w:tcW w:w="4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28.2</w:t>
            </w: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31.4</w:t>
            </w: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52.9</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102.1</w:t>
            </w:r>
          </w:p>
        </w:tc>
        <w:tc>
          <w:tcPr>
            <w:tcW w:w="0" w:type="dxa"/>
            <w:vAlign w:val="bottom"/>
          </w:tcPr>
          <w:p>
            <w:pPr>
              <w:spacing w:after="0"/>
              <w:rPr>
                <w:sz w:val="1"/>
                <w:szCs w:val="1"/>
                <w:color w:val="auto"/>
              </w:rPr>
            </w:pPr>
          </w:p>
        </w:tc>
      </w:tr>
      <w:tr>
        <w:trPr>
          <w:trHeight w:val="206"/>
        </w:trPr>
        <w:tc>
          <w:tcPr>
            <w:tcW w:w="6680" w:type="dxa"/>
            <w:vAlign w:val="bottom"/>
          </w:tcPr>
          <w:p>
            <w:pPr>
              <w:ind w:left="440"/>
              <w:spacing w:after="0"/>
              <w:rPr>
                <w:sz w:val="20"/>
                <w:szCs w:val="20"/>
                <w:color w:val="auto"/>
              </w:rPr>
            </w:pPr>
            <w:r>
              <w:rPr>
                <w:rFonts w:ascii="Arial" w:cs="Arial" w:eastAsia="Arial" w:hAnsi="Arial"/>
                <w:sz w:val="16"/>
                <w:szCs w:val="16"/>
                <w:color w:val="auto"/>
              </w:rPr>
              <w:t>Total operating expenses</w:t>
            </w:r>
          </w:p>
        </w:tc>
        <w:tc>
          <w:tcPr>
            <w:tcW w:w="4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172.4</w:t>
            </w: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201.5</w:t>
            </w:r>
          </w:p>
        </w:tc>
        <w:tc>
          <w:tcPr>
            <w:tcW w:w="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349.4</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444.5</w:t>
            </w:r>
          </w:p>
        </w:tc>
        <w:tc>
          <w:tcPr>
            <w:tcW w:w="0" w:type="dxa"/>
            <w:vAlign w:val="bottom"/>
          </w:tcPr>
          <w:p>
            <w:pPr>
              <w:spacing w:after="0"/>
              <w:rPr>
                <w:sz w:val="1"/>
                <w:szCs w:val="1"/>
                <w:color w:val="auto"/>
              </w:rPr>
            </w:pPr>
          </w:p>
        </w:tc>
      </w:tr>
      <w:tr>
        <w:trPr>
          <w:trHeight w:val="206"/>
        </w:trPr>
        <w:tc>
          <w:tcPr>
            <w:tcW w:w="66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Operating loss</w:t>
            </w:r>
          </w:p>
        </w:tc>
        <w:tc>
          <w:tcPr>
            <w:tcW w:w="4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(19.6)</w:t>
            </w: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(27.0)</w:t>
            </w: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(42.3)</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(102.6)</w:t>
            </w:r>
          </w:p>
        </w:tc>
        <w:tc>
          <w:tcPr>
            <w:tcW w:w="0" w:type="dxa"/>
            <w:vAlign w:val="bottom"/>
          </w:tcPr>
          <w:p>
            <w:pPr>
              <w:spacing w:after="0"/>
              <w:rPr>
                <w:sz w:val="1"/>
                <w:szCs w:val="1"/>
                <w:color w:val="auto"/>
              </w:rPr>
            </w:pPr>
          </w:p>
        </w:tc>
      </w:tr>
      <w:tr>
        <w:trPr>
          <w:trHeight w:val="203"/>
        </w:trPr>
        <w:tc>
          <w:tcPr>
            <w:tcW w:w="6680" w:type="dxa"/>
            <w:vAlign w:val="bottom"/>
          </w:tcPr>
          <w:p>
            <w:pPr>
              <w:ind w:left="20"/>
              <w:spacing w:after="0"/>
              <w:rPr>
                <w:sz w:val="20"/>
                <w:szCs w:val="20"/>
                <w:color w:val="auto"/>
              </w:rPr>
            </w:pPr>
            <w:r>
              <w:rPr>
                <w:rFonts w:ascii="Arial" w:cs="Arial" w:eastAsia="Arial" w:hAnsi="Arial"/>
                <w:sz w:val="16"/>
                <w:szCs w:val="16"/>
                <w:color w:val="auto"/>
              </w:rPr>
              <w:t>Other income (expense):</w:t>
            </w: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66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Interest, investment and other income</w:t>
            </w: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10"/>
        </w:trPr>
        <w:tc>
          <w:tcPr>
            <w:tcW w:w="6680" w:type="dxa"/>
            <w:vAlign w:val="bottom"/>
          </w:tcPr>
          <w:p>
            <w:pPr>
              <w:ind w:left="220"/>
              <w:spacing w:after="0"/>
              <w:rPr>
                <w:sz w:val="20"/>
                <w:szCs w:val="20"/>
                <w:color w:val="auto"/>
              </w:rPr>
            </w:pPr>
            <w:r>
              <w:rPr>
                <w:rFonts w:ascii="Arial" w:cs="Arial" w:eastAsia="Arial" w:hAnsi="Arial"/>
                <w:sz w:val="16"/>
                <w:szCs w:val="16"/>
                <w:color w:val="auto"/>
              </w:rPr>
              <w:t>Interest expense</w:t>
            </w: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(8.4)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215"/>
        </w:trPr>
        <w:tc>
          <w:tcPr>
            <w:tcW w:w="66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Recognized (losses) gains, net</w:t>
            </w:r>
          </w:p>
        </w:tc>
        <w:tc>
          <w:tcPr>
            <w:tcW w:w="4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(42.2)</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(193.6)</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(458.8)</w:t>
            </w:r>
          </w:p>
        </w:tc>
        <w:tc>
          <w:tcPr>
            <w:tcW w:w="0" w:type="dxa"/>
            <w:vAlign w:val="bottom"/>
          </w:tcPr>
          <w:p>
            <w:pPr>
              <w:spacing w:after="0"/>
              <w:rPr>
                <w:sz w:val="1"/>
                <w:szCs w:val="1"/>
                <w:color w:val="auto"/>
              </w:rPr>
            </w:pPr>
          </w:p>
        </w:tc>
      </w:tr>
      <w:tr>
        <w:trPr>
          <w:trHeight w:val="203"/>
        </w:trPr>
        <w:tc>
          <w:tcPr>
            <w:tcW w:w="6680" w:type="dxa"/>
            <w:vAlign w:val="bottom"/>
            <w:tcBorders>
              <w:bottom w:val="single" w:sz="8" w:color="CCEEFF"/>
            </w:tcBorders>
          </w:tcPr>
          <w:p>
            <w:pPr>
              <w:ind w:left="440"/>
              <w:spacing w:after="0"/>
              <w:rPr>
                <w:sz w:val="20"/>
                <w:szCs w:val="20"/>
                <w:color w:val="auto"/>
              </w:rPr>
            </w:pPr>
            <w:r>
              <w:rPr>
                <w:rFonts w:ascii="Arial" w:cs="Arial" w:eastAsia="Arial" w:hAnsi="Arial"/>
                <w:sz w:val="16"/>
                <w:szCs w:val="16"/>
                <w:color w:val="auto"/>
              </w:rPr>
              <w:t>Total other (expense) income</w:t>
            </w:r>
          </w:p>
        </w:tc>
        <w:tc>
          <w:tcPr>
            <w:tcW w:w="4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(43.5)</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(196.1)</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(463.7)</w:t>
            </w:r>
          </w:p>
        </w:tc>
        <w:tc>
          <w:tcPr>
            <w:tcW w:w="0" w:type="dxa"/>
            <w:vAlign w:val="bottom"/>
          </w:tcPr>
          <w:p>
            <w:pPr>
              <w:spacing w:after="0"/>
              <w:rPr>
                <w:sz w:val="1"/>
                <w:szCs w:val="1"/>
                <w:color w:val="auto"/>
              </w:rPr>
            </w:pPr>
          </w:p>
        </w:tc>
      </w:tr>
      <w:tr>
        <w:trPr>
          <w:trHeight w:val="208"/>
        </w:trPr>
        <w:tc>
          <w:tcPr>
            <w:tcW w:w="6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before income taxes and equity in losses of unconsolidated affiliates</w:t>
            </w: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(223.1)</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(566.3)</w:t>
            </w:r>
          </w:p>
        </w:tc>
        <w:tc>
          <w:tcPr>
            <w:tcW w:w="0" w:type="dxa"/>
            <w:vAlign w:val="bottom"/>
          </w:tcPr>
          <w:p>
            <w:pPr>
              <w:spacing w:after="0"/>
              <w:rPr>
                <w:sz w:val="1"/>
                <w:szCs w:val="1"/>
                <w:color w:val="auto"/>
              </w:rPr>
            </w:pPr>
          </w:p>
        </w:tc>
      </w:tr>
      <w:tr>
        <w:trPr>
          <w:trHeight w:val="210"/>
        </w:trPr>
        <w:tc>
          <w:tcPr>
            <w:tcW w:w="66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tax benefit</w:t>
            </w:r>
          </w:p>
        </w:tc>
        <w:tc>
          <w:tcPr>
            <w:tcW w:w="4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(21.8)</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(66.5)</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(19.2)</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(128.4)</w:t>
            </w:r>
          </w:p>
        </w:tc>
        <w:tc>
          <w:tcPr>
            <w:tcW w:w="0" w:type="dxa"/>
            <w:vAlign w:val="bottom"/>
          </w:tcPr>
          <w:p>
            <w:pPr>
              <w:spacing w:after="0"/>
              <w:rPr>
                <w:sz w:val="1"/>
                <w:szCs w:val="1"/>
                <w:color w:val="auto"/>
              </w:rPr>
            </w:pPr>
          </w:p>
        </w:tc>
      </w:tr>
      <w:tr>
        <w:trPr>
          <w:trHeight w:val="208"/>
        </w:trPr>
        <w:tc>
          <w:tcPr>
            <w:tcW w:w="6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before equity in losses of unconsolidated affiliates</w:t>
            </w: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(156.6)</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(437.9)</w:t>
            </w:r>
          </w:p>
        </w:tc>
        <w:tc>
          <w:tcPr>
            <w:tcW w:w="0" w:type="dxa"/>
            <w:vAlign w:val="bottom"/>
          </w:tcPr>
          <w:p>
            <w:pPr>
              <w:spacing w:after="0"/>
              <w:rPr>
                <w:sz w:val="1"/>
                <w:szCs w:val="1"/>
                <w:color w:val="auto"/>
              </w:rPr>
            </w:pPr>
          </w:p>
        </w:tc>
      </w:tr>
      <w:tr>
        <w:trPr>
          <w:trHeight w:val="199"/>
        </w:trPr>
        <w:tc>
          <w:tcPr>
            <w:tcW w:w="6680" w:type="dxa"/>
            <w:vAlign w:val="bottom"/>
          </w:tcPr>
          <w:p>
            <w:pPr>
              <w:ind w:left="20"/>
              <w:spacing w:after="0"/>
              <w:rPr>
                <w:sz w:val="20"/>
                <w:szCs w:val="20"/>
                <w:color w:val="auto"/>
              </w:rPr>
            </w:pPr>
            <w:r>
              <w:rPr>
                <w:rFonts w:ascii="Arial" w:cs="Arial" w:eastAsia="Arial" w:hAnsi="Arial"/>
                <w:sz w:val="16"/>
                <w:szCs w:val="16"/>
                <w:color w:val="auto"/>
              </w:rPr>
              <w:t>Equity in losses of unconsolidated affiliates</w:t>
            </w:r>
          </w:p>
        </w:tc>
        <w:tc>
          <w:tcPr>
            <w:tcW w:w="4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(49.1)</w:t>
            </w: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(108.0)</w:t>
            </w:r>
          </w:p>
        </w:tc>
        <w:tc>
          <w:tcPr>
            <w:tcW w:w="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(81.2)</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(76.1)</w:t>
            </w:r>
          </w:p>
        </w:tc>
        <w:tc>
          <w:tcPr>
            <w:tcW w:w="0" w:type="dxa"/>
            <w:vAlign w:val="bottom"/>
          </w:tcPr>
          <w:p>
            <w:pPr>
              <w:spacing w:after="0"/>
              <w:rPr>
                <w:sz w:val="1"/>
                <w:szCs w:val="1"/>
                <w:color w:val="auto"/>
              </w:rPr>
            </w:pPr>
          </w:p>
        </w:tc>
      </w:tr>
      <w:tr>
        <w:trPr>
          <w:trHeight w:val="206"/>
        </w:trPr>
        <w:tc>
          <w:tcPr>
            <w:tcW w:w="6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(90.4)</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(264.6)</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(97.3)</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(514.0)</w:t>
            </w:r>
          </w:p>
        </w:tc>
        <w:tc>
          <w:tcPr>
            <w:tcW w:w="0" w:type="dxa"/>
            <w:vAlign w:val="bottom"/>
          </w:tcPr>
          <w:p>
            <w:pPr>
              <w:spacing w:after="0"/>
              <w:rPr>
                <w:sz w:val="1"/>
                <w:szCs w:val="1"/>
                <w:color w:val="auto"/>
              </w:rPr>
            </w:pPr>
          </w:p>
        </w:tc>
      </w:tr>
      <w:tr>
        <w:trPr>
          <w:trHeight w:val="212"/>
        </w:trPr>
        <w:tc>
          <w:tcPr>
            <w:tcW w:w="6680" w:type="dxa"/>
            <w:vAlign w:val="bottom"/>
          </w:tcPr>
          <w:p>
            <w:pPr>
              <w:ind w:left="20"/>
              <w:spacing w:after="0"/>
              <w:rPr>
                <w:sz w:val="20"/>
                <w:szCs w:val="20"/>
                <w:color w:val="auto"/>
              </w:rPr>
            </w:pPr>
            <w:r>
              <w:rPr>
                <w:rFonts w:ascii="Arial" w:cs="Arial" w:eastAsia="Arial" w:hAnsi="Arial"/>
                <w:sz w:val="16"/>
                <w:szCs w:val="16"/>
                <w:color w:val="auto"/>
              </w:rPr>
              <w:t>Less: Net loss attributable to noncontrolling interests</w:t>
            </w:r>
          </w:p>
        </w:tc>
        <w:tc>
          <w:tcPr>
            <w:tcW w:w="4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199"/>
        </w:trPr>
        <w:tc>
          <w:tcPr>
            <w:tcW w:w="6680" w:type="dxa"/>
            <w:vAlign w:val="bottom"/>
            <w:shd w:val="clear" w:color="auto" w:fill="CCEEFF"/>
          </w:tcPr>
          <w:p>
            <w:pPr>
              <w:ind w:left="20"/>
              <w:spacing w:after="0" w:line="179" w:lineRule="exact"/>
              <w:rPr>
                <w:sz w:val="20"/>
                <w:szCs w:val="20"/>
                <w:color w:val="auto"/>
              </w:rPr>
            </w:pPr>
            <w:r>
              <w:rPr>
                <w:rFonts w:ascii="Arial" w:cs="Arial" w:eastAsia="Arial" w:hAnsi="Arial"/>
                <w:sz w:val="16"/>
                <w:szCs w:val="16"/>
                <w:color w:val="auto"/>
              </w:rPr>
              <w:t>Net loss attributable to Cannae Holdings, Inc. common shareholders</w:t>
            </w:r>
          </w:p>
        </w:tc>
        <w:tc>
          <w:tcPr>
            <w:tcW w:w="400" w:type="dxa"/>
            <w:vAlign w:val="bottom"/>
            <w:shd w:val="clear" w:color="auto" w:fill="CCEEFF"/>
          </w:tcPr>
          <w:p>
            <w:pPr>
              <w:jc w:val="right"/>
              <w:ind w:right="246"/>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line="179" w:lineRule="exact"/>
              <w:rPr>
                <w:sz w:val="20"/>
                <w:szCs w:val="20"/>
                <w:color w:val="auto"/>
              </w:rPr>
            </w:pPr>
            <w:r>
              <w:rPr>
                <w:rFonts w:ascii="Arial" w:cs="Arial" w:eastAsia="Arial" w:hAnsi="Arial"/>
                <w:sz w:val="16"/>
                <w:szCs w:val="16"/>
                <w:color w:val="auto"/>
              </w:rPr>
              <w:t>(87.2)</w:t>
            </w:r>
          </w:p>
        </w:tc>
        <w:tc>
          <w:tcPr>
            <w:tcW w:w="480" w:type="dxa"/>
            <w:vAlign w:val="bottom"/>
            <w:gridSpan w:val="2"/>
            <w:shd w:val="clear" w:color="auto" w:fill="CCEEFF"/>
          </w:tcPr>
          <w:p>
            <w:pPr>
              <w:jc w:val="right"/>
              <w:ind w:right="280"/>
              <w:spacing w:after="0" w:line="179" w:lineRule="exact"/>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line="179" w:lineRule="exact"/>
              <w:rPr>
                <w:sz w:val="20"/>
                <w:szCs w:val="20"/>
                <w:color w:val="auto"/>
              </w:rPr>
            </w:pPr>
            <w:r>
              <w:rPr>
                <w:rFonts w:ascii="Arial" w:cs="Arial" w:eastAsia="Arial" w:hAnsi="Arial"/>
                <w:sz w:val="16"/>
                <w:szCs w:val="16"/>
                <w:color w:val="auto"/>
              </w:rPr>
              <w:t>(263.3)</w:t>
            </w:r>
          </w:p>
        </w:tc>
        <w:tc>
          <w:tcPr>
            <w:tcW w:w="420" w:type="dxa"/>
            <w:vAlign w:val="bottom"/>
            <w:gridSpan w:val="2"/>
            <w:shd w:val="clear" w:color="auto" w:fill="CCEEFF"/>
          </w:tcPr>
          <w:p>
            <w:pPr>
              <w:jc w:val="right"/>
              <w:ind w:right="240"/>
              <w:spacing w:after="0" w:line="179" w:lineRule="exact"/>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line="179" w:lineRule="exact"/>
              <w:rPr>
                <w:sz w:val="20"/>
                <w:szCs w:val="20"/>
                <w:color w:val="auto"/>
              </w:rPr>
            </w:pPr>
            <w:r>
              <w:rPr>
                <w:rFonts w:ascii="Arial" w:cs="Arial" w:eastAsia="Arial" w:hAnsi="Arial"/>
                <w:sz w:val="16"/>
                <w:szCs w:val="16"/>
                <w:color w:val="auto"/>
              </w:rPr>
              <w:t>(91.3)</w:t>
            </w:r>
          </w:p>
        </w:tc>
        <w:tc>
          <w:tcPr>
            <w:tcW w:w="400" w:type="dxa"/>
            <w:vAlign w:val="bottom"/>
            <w:gridSpan w:val="2"/>
            <w:shd w:val="clear" w:color="auto" w:fill="CCEEFF"/>
          </w:tcPr>
          <w:p>
            <w:pPr>
              <w:jc w:val="right"/>
              <w:ind w:right="200"/>
              <w:spacing w:after="0" w:line="179" w:lineRule="exact"/>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line="179" w:lineRule="exact"/>
              <w:rPr>
                <w:sz w:val="20"/>
                <w:szCs w:val="20"/>
                <w:color w:val="auto"/>
              </w:rPr>
            </w:pPr>
            <w:r>
              <w:rPr>
                <w:rFonts w:ascii="Arial" w:cs="Arial" w:eastAsia="Arial" w:hAnsi="Arial"/>
                <w:sz w:val="16"/>
                <w:szCs w:val="16"/>
                <w:color w:val="auto"/>
              </w:rPr>
              <w:t>(510.9)</w:t>
            </w:r>
          </w:p>
        </w:tc>
        <w:tc>
          <w:tcPr>
            <w:tcW w:w="0" w:type="dxa"/>
            <w:vAlign w:val="bottom"/>
          </w:tcPr>
          <w:p>
            <w:pPr>
              <w:spacing w:after="0"/>
              <w:rPr>
                <w:sz w:val="1"/>
                <w:szCs w:val="1"/>
                <w:color w:val="auto"/>
              </w:rPr>
            </w:pPr>
          </w:p>
        </w:tc>
      </w:tr>
      <w:tr>
        <w:trPr>
          <w:trHeight w:val="20"/>
        </w:trPr>
        <w:tc>
          <w:tcPr>
            <w:tcW w:w="66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Earnings per share</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680" w:type="dxa"/>
            <w:vAlign w:val="bottom"/>
            <w:vMerge w:val="continue"/>
          </w:tcPr>
          <w:p>
            <w:pPr>
              <w:spacing w:after="0"/>
              <w:rPr>
                <w:sz w:val="13"/>
                <w:szCs w:val="13"/>
                <w:color w:val="auto"/>
              </w:rPr>
            </w:pPr>
          </w:p>
        </w:tc>
        <w:tc>
          <w:tcPr>
            <w:tcW w:w="4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668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Basic</w:t>
            </w: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680" w:type="dxa"/>
            <w:vAlign w:val="bottom"/>
          </w:tcPr>
          <w:p>
            <w:pPr>
              <w:ind w:left="20"/>
              <w:spacing w:after="0"/>
              <w:rPr>
                <w:sz w:val="20"/>
                <w:szCs w:val="20"/>
                <w:color w:val="auto"/>
              </w:rPr>
            </w:pPr>
            <w:r>
              <w:rPr>
                <w:rFonts w:ascii="Arial" w:cs="Arial" w:eastAsia="Arial" w:hAnsi="Arial"/>
                <w:sz w:val="16"/>
                <w:szCs w:val="16"/>
                <w:color w:val="auto"/>
              </w:rPr>
              <w:t>Net loss per share</w:t>
            </w:r>
          </w:p>
        </w:tc>
        <w:tc>
          <w:tcPr>
            <w:tcW w:w="400" w:type="dxa"/>
            <w:vAlign w:val="bottom"/>
          </w:tcPr>
          <w:p>
            <w:pPr>
              <w:jc w:val="right"/>
              <w:ind w:right="246"/>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(1.16)</w:t>
            </w:r>
          </w:p>
        </w:tc>
        <w:tc>
          <w:tcPr>
            <w:tcW w:w="4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(3.15)</w:t>
            </w:r>
          </w:p>
        </w:tc>
        <w:tc>
          <w:tcPr>
            <w:tcW w:w="4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(1.21)</w:t>
            </w:r>
          </w:p>
        </w:tc>
        <w:tc>
          <w:tcPr>
            <w:tcW w:w="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(6.03)</w:t>
            </w:r>
          </w:p>
        </w:tc>
        <w:tc>
          <w:tcPr>
            <w:tcW w:w="0" w:type="dxa"/>
            <w:vAlign w:val="bottom"/>
          </w:tcPr>
          <w:p>
            <w:pPr>
              <w:spacing w:after="0"/>
              <w:rPr>
                <w:sz w:val="1"/>
                <w:szCs w:val="1"/>
                <w:color w:val="auto"/>
              </w:rPr>
            </w:pPr>
          </w:p>
        </w:tc>
      </w:tr>
      <w:tr>
        <w:trPr>
          <w:trHeight w:val="20"/>
        </w:trPr>
        <w:tc>
          <w:tcPr>
            <w:tcW w:w="6680" w:type="dxa"/>
            <w:vAlign w:val="bottom"/>
            <w:tcBorders>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6680" w:type="dxa"/>
            <w:vAlign w:val="bottom"/>
            <w:shd w:val="clear" w:color="auto" w:fill="CCEEFF"/>
          </w:tcPr>
          <w:p>
            <w:pPr>
              <w:ind w:left="20"/>
              <w:spacing w:after="0" w:line="179" w:lineRule="exact"/>
              <w:rPr>
                <w:sz w:val="20"/>
                <w:szCs w:val="20"/>
                <w:color w:val="auto"/>
              </w:rPr>
            </w:pPr>
            <w:r>
              <w:rPr>
                <w:rFonts w:ascii="Arial" w:cs="Arial" w:eastAsia="Arial" w:hAnsi="Arial"/>
                <w:sz w:val="16"/>
                <w:szCs w:val="16"/>
                <w:i w:val="1"/>
                <w:iCs w:val="1"/>
                <w:color w:val="auto"/>
              </w:rPr>
              <w:t>Diluted</w:t>
            </w:r>
          </w:p>
        </w:tc>
        <w:tc>
          <w:tcPr>
            <w:tcW w:w="4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6680" w:type="dxa"/>
            <w:vAlign w:val="bottom"/>
          </w:tcPr>
          <w:p>
            <w:pPr>
              <w:ind w:left="20"/>
              <w:spacing w:after="0"/>
              <w:rPr>
                <w:sz w:val="20"/>
                <w:szCs w:val="20"/>
                <w:color w:val="auto"/>
              </w:rPr>
            </w:pPr>
            <w:r>
              <w:rPr>
                <w:rFonts w:ascii="Arial" w:cs="Arial" w:eastAsia="Arial" w:hAnsi="Arial"/>
                <w:sz w:val="16"/>
                <w:szCs w:val="16"/>
                <w:color w:val="auto"/>
              </w:rPr>
              <w:t>Net loss per share</w:t>
            </w:r>
          </w:p>
        </w:tc>
        <w:tc>
          <w:tcPr>
            <w:tcW w:w="400" w:type="dxa"/>
            <w:vAlign w:val="bottom"/>
          </w:tcPr>
          <w:p>
            <w:pPr>
              <w:jc w:val="right"/>
              <w:ind w:right="246"/>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(1.16)</w:t>
            </w:r>
          </w:p>
        </w:tc>
        <w:tc>
          <w:tcPr>
            <w:tcW w:w="4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(3.15)</w:t>
            </w:r>
          </w:p>
        </w:tc>
        <w:tc>
          <w:tcPr>
            <w:tcW w:w="4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(1.21)</w:t>
            </w:r>
          </w:p>
        </w:tc>
        <w:tc>
          <w:tcPr>
            <w:tcW w:w="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(6.03)</w:t>
            </w:r>
          </w:p>
        </w:tc>
        <w:tc>
          <w:tcPr>
            <w:tcW w:w="0" w:type="dxa"/>
            <w:vAlign w:val="bottom"/>
          </w:tcPr>
          <w:p>
            <w:pPr>
              <w:spacing w:after="0"/>
              <w:rPr>
                <w:sz w:val="1"/>
                <w:szCs w:val="1"/>
                <w:color w:val="auto"/>
              </w:rPr>
            </w:pPr>
          </w:p>
        </w:tc>
      </w:tr>
      <w:tr>
        <w:trPr>
          <w:trHeight w:val="20"/>
        </w:trPr>
        <w:tc>
          <w:tcPr>
            <w:tcW w:w="6680" w:type="dxa"/>
            <w:vAlign w:val="bottom"/>
            <w:tcBorders>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6680" w:type="dxa"/>
            <w:vAlign w:val="bottom"/>
            <w:shd w:val="clear" w:color="auto" w:fill="CCEEFF"/>
          </w:tcPr>
          <w:p>
            <w:pPr>
              <w:ind w:left="20"/>
              <w:spacing w:after="0" w:line="179" w:lineRule="exact"/>
              <w:rPr>
                <w:sz w:val="20"/>
                <w:szCs w:val="20"/>
                <w:color w:val="auto"/>
              </w:rPr>
            </w:pPr>
            <w:r>
              <w:rPr>
                <w:rFonts w:ascii="Arial" w:cs="Arial" w:eastAsia="Arial" w:hAnsi="Arial"/>
                <w:sz w:val="16"/>
                <w:szCs w:val="16"/>
                <w:i w:val="1"/>
                <w:iCs w:val="1"/>
                <w:color w:val="auto"/>
              </w:rPr>
              <w:t>Weighted Average Shares Outstanding</w:t>
            </w:r>
          </w:p>
        </w:tc>
        <w:tc>
          <w:tcPr>
            <w:tcW w:w="4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6680" w:type="dxa"/>
            <w:vAlign w:val="bottom"/>
          </w:tcPr>
          <w:p>
            <w:pPr>
              <w:ind w:left="20"/>
              <w:spacing w:after="0"/>
              <w:rPr>
                <w:sz w:val="20"/>
                <w:szCs w:val="20"/>
                <w:color w:val="auto"/>
              </w:rPr>
            </w:pPr>
            <w:r>
              <w:rPr>
                <w:rFonts w:ascii="Arial" w:cs="Arial" w:eastAsia="Arial" w:hAnsi="Arial"/>
                <w:sz w:val="16"/>
                <w:szCs w:val="16"/>
                <w:color w:val="auto"/>
              </w:rPr>
              <w:t>Weighted average shares outstanding Cannae Holdings common stock, basic basis</w:t>
            </w:r>
          </w:p>
        </w:tc>
        <w:tc>
          <w:tcPr>
            <w:tcW w:w="4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75.4</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83.5</w:t>
            </w: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75.7</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84.7</w:t>
            </w:r>
          </w:p>
        </w:tc>
        <w:tc>
          <w:tcPr>
            <w:tcW w:w="0" w:type="dxa"/>
            <w:vAlign w:val="bottom"/>
          </w:tcPr>
          <w:p>
            <w:pPr>
              <w:spacing w:after="0"/>
              <w:rPr>
                <w:sz w:val="1"/>
                <w:szCs w:val="1"/>
                <w:color w:val="auto"/>
              </w:rPr>
            </w:pPr>
          </w:p>
        </w:tc>
      </w:tr>
      <w:tr>
        <w:trPr>
          <w:trHeight w:val="20"/>
        </w:trPr>
        <w:tc>
          <w:tcPr>
            <w:tcW w:w="66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Weighted average shares outstanding Cannae Holdings common stock, diluted basis</w:t>
            </w:r>
          </w:p>
        </w:tc>
        <w:tc>
          <w:tcPr>
            <w:tcW w:w="4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75.4</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83.5</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75.7</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84.7</w:t>
            </w:r>
          </w:p>
        </w:tc>
        <w:tc>
          <w:tcPr>
            <w:tcW w:w="0" w:type="dxa"/>
            <w:vAlign w:val="bottom"/>
          </w:tcPr>
          <w:p>
            <w:pPr>
              <w:spacing w:after="0"/>
              <w:rPr>
                <w:sz w:val="1"/>
                <w:szCs w:val="1"/>
                <w:color w:val="auto"/>
              </w:rPr>
            </w:pPr>
          </w:p>
        </w:tc>
      </w:tr>
      <w:tr>
        <w:trPr>
          <w:trHeight w:val="20"/>
        </w:trPr>
        <w:tc>
          <w:tcPr>
            <w:tcW w:w="66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 EARNINGS</w:t>
      </w:r>
    </w:p>
    <w:p>
      <w:pPr>
        <w:spacing w:after="0" w:line="5"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(In millions)</w:t>
      </w:r>
    </w:p>
    <w:p>
      <w:pPr>
        <w:spacing w:after="0" w:line="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(Unaudited)</w:t>
      </w:r>
    </w:p>
    <w:p>
      <w:pPr>
        <w:spacing w:after="0" w:line="37"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6460" w:type="dxa"/>
            <w:vAlign w:val="bottom"/>
          </w:tcPr>
          <w:p>
            <w:pPr>
              <w:spacing w:after="0"/>
              <w:rPr>
                <w:sz w:val="16"/>
                <w:szCs w:val="16"/>
                <w:color w:val="auto"/>
              </w:rPr>
            </w:pPr>
          </w:p>
        </w:tc>
        <w:tc>
          <w:tcPr>
            <w:tcW w:w="2320" w:type="dxa"/>
            <w:vAlign w:val="bottom"/>
            <w:gridSpan w:val="5"/>
          </w:tcPr>
          <w:p>
            <w:pPr>
              <w:jc w:val="right"/>
              <w:ind w:right="202"/>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00" w:type="dxa"/>
            <w:vAlign w:val="bottom"/>
            <w:gridSpan w:val="4"/>
          </w:tcPr>
          <w:p>
            <w:pPr>
              <w:jc w:val="right"/>
              <w:ind w:right="282"/>
              <w:spacing w:after="0"/>
              <w:rPr>
                <w:sz w:val="20"/>
                <w:szCs w:val="20"/>
                <w:color w:val="auto"/>
              </w:rPr>
            </w:pPr>
            <w:r>
              <w:rPr>
                <w:rFonts w:ascii="Arial" w:cs="Arial" w:eastAsia="Arial" w:hAnsi="Arial"/>
                <w:sz w:val="14"/>
                <w:szCs w:val="14"/>
                <w:b w:val="1"/>
                <w:bCs w:val="1"/>
                <w:color w:val="auto"/>
                <w:w w:val="95"/>
              </w:rPr>
              <w:t>Six months ended June 30,</w:t>
            </w:r>
          </w:p>
        </w:tc>
      </w:tr>
      <w:tr>
        <w:trPr>
          <w:trHeight w:val="24"/>
        </w:trPr>
        <w:tc>
          <w:tcPr>
            <w:tcW w:w="646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86"/>
        </w:trPr>
        <w:tc>
          <w:tcPr>
            <w:tcW w:w="6460" w:type="dxa"/>
            <w:vAlign w:val="bottom"/>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4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23"/>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2022</w:t>
            </w:r>
          </w:p>
        </w:tc>
      </w:tr>
      <w:tr>
        <w:trPr>
          <w:trHeight w:val="462"/>
        </w:trPr>
        <w:tc>
          <w:tcPr>
            <w:tcW w:w="6460" w:type="dxa"/>
            <w:vAlign w:val="bottom"/>
          </w:tcPr>
          <w:p>
            <w:pPr>
              <w:ind w:left="20"/>
              <w:spacing w:after="0"/>
              <w:rPr>
                <w:sz w:val="20"/>
                <w:szCs w:val="20"/>
                <w:color w:val="auto"/>
              </w:rPr>
            </w:pPr>
            <w:r>
              <w:rPr>
                <w:rFonts w:ascii="Arial" w:cs="Arial" w:eastAsia="Arial" w:hAnsi="Arial"/>
                <w:sz w:val="16"/>
                <w:szCs w:val="16"/>
                <w:color w:val="auto"/>
              </w:rPr>
              <w:t>Net loss</w:t>
            </w:r>
          </w:p>
        </w:tc>
        <w:tc>
          <w:tcPr>
            <w:tcW w:w="700" w:type="dxa"/>
            <w:vAlign w:val="bottom"/>
          </w:tcPr>
          <w:p>
            <w:pPr>
              <w:jc w:val="right"/>
              <w:ind w:right="525"/>
              <w:spacing w:after="0"/>
              <w:rPr>
                <w:sz w:val="20"/>
                <w:szCs w:val="20"/>
                <w:color w:val="auto"/>
              </w:rPr>
            </w:pPr>
            <w:r>
              <w:rPr>
                <w:rFonts w:ascii="Arial" w:cs="Arial" w:eastAsia="Arial" w:hAnsi="Arial"/>
                <w:sz w:val="16"/>
                <w:szCs w:val="16"/>
                <w:color w:val="auto"/>
                <w:w w:val="89"/>
              </w:rPr>
              <w:t>$</w:t>
            </w:r>
          </w:p>
        </w:tc>
        <w:tc>
          <w:tcPr>
            <w:tcW w:w="420" w:type="dxa"/>
            <w:vAlign w:val="bottom"/>
          </w:tcPr>
          <w:p>
            <w:pPr>
              <w:jc w:val="right"/>
              <w:spacing w:after="0"/>
              <w:rPr>
                <w:sz w:val="20"/>
                <w:szCs w:val="20"/>
                <w:color w:val="auto"/>
              </w:rPr>
            </w:pPr>
            <w:r>
              <w:rPr>
                <w:rFonts w:ascii="Arial" w:cs="Arial" w:eastAsia="Arial" w:hAnsi="Arial"/>
                <w:sz w:val="16"/>
                <w:szCs w:val="16"/>
                <w:color w:val="auto"/>
                <w:w w:val="86"/>
              </w:rPr>
              <w:t>(90.4)</w:t>
            </w:r>
          </w:p>
        </w:tc>
        <w:tc>
          <w:tcPr>
            <w:tcW w:w="3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(264.6)</w:t>
            </w:r>
          </w:p>
        </w:tc>
        <w:tc>
          <w:tcPr>
            <w:tcW w:w="3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(97.3)</w:t>
            </w:r>
          </w:p>
        </w:tc>
        <w:tc>
          <w:tcPr>
            <w:tcW w:w="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(514.0)</w:t>
            </w:r>
          </w:p>
        </w:tc>
      </w:tr>
      <w:tr>
        <w:trPr>
          <w:trHeight w:val="215"/>
        </w:trPr>
        <w:tc>
          <w:tcPr>
            <w:tcW w:w="6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earnings (loss), net of tax:</w:t>
            </w: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2"/>
        </w:trPr>
        <w:tc>
          <w:tcPr>
            <w:tcW w:w="6460" w:type="dxa"/>
            <w:vAlign w:val="bottom"/>
            <w:tcBorders>
              <w:bottom w:val="single" w:sz="8" w:color="CCEEFF"/>
            </w:tcBorders>
          </w:tcPr>
          <w:p>
            <w:pPr>
              <w:ind w:left="220"/>
              <w:spacing w:after="0" w:line="212" w:lineRule="exact"/>
              <w:rPr>
                <w:sz w:val="20"/>
                <w:szCs w:val="20"/>
                <w:color w:val="auto"/>
              </w:rPr>
            </w:pPr>
            <w:r>
              <w:rPr>
                <w:rFonts w:ascii="Arial" w:cs="Arial" w:eastAsia="Arial" w:hAnsi="Arial"/>
                <w:sz w:val="16"/>
                <w:szCs w:val="16"/>
                <w:color w:val="auto"/>
              </w:rPr>
              <w:t xml:space="preserve">Unrealized earnings (loss) of investments in unconsolidated affiliates </w:t>
            </w:r>
            <w:r>
              <w:rPr>
                <w:rFonts w:ascii="Arial" w:cs="Arial" w:eastAsia="Arial" w:hAnsi="Arial"/>
                <w:sz w:val="20"/>
                <w:szCs w:val="20"/>
                <w:color w:val="auto"/>
                <w:vertAlign w:val="superscript"/>
              </w:rPr>
              <w:t>(1)</w:t>
            </w:r>
          </w:p>
        </w:tc>
        <w:tc>
          <w:tcPr>
            <w:tcW w:w="7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w:t>
            </w:r>
          </w:p>
        </w:tc>
      </w:tr>
      <w:tr>
        <w:trPr>
          <w:trHeight w:val="206"/>
        </w:trPr>
        <w:tc>
          <w:tcPr>
            <w:tcW w:w="6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Comprehensive loss</w:t>
            </w:r>
          </w:p>
        </w:tc>
        <w:tc>
          <w:tcPr>
            <w:tcW w:w="70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6"/>
              </w:rPr>
              <w:t>(87.4)</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(271.0)</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(93.1)</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(521.6)</w:t>
            </w:r>
          </w:p>
        </w:tc>
      </w:tr>
      <w:tr>
        <w:trPr>
          <w:trHeight w:val="210"/>
        </w:trPr>
        <w:tc>
          <w:tcPr>
            <w:tcW w:w="64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Comprehensive loss attributable to noncontrolling interests</w:t>
            </w:r>
          </w:p>
        </w:tc>
        <w:tc>
          <w:tcPr>
            <w:tcW w:w="7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w:t>
            </w:r>
          </w:p>
        </w:tc>
      </w:tr>
      <w:tr>
        <w:trPr>
          <w:trHeight w:val="228"/>
        </w:trPr>
        <w:tc>
          <w:tcPr>
            <w:tcW w:w="6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Comprehensive loss attributable to Cannae Holdings, Inc. common shareholders</w:t>
            </w:r>
          </w:p>
        </w:tc>
        <w:tc>
          <w:tcPr>
            <w:tcW w:w="700" w:type="dxa"/>
            <w:vAlign w:val="bottom"/>
            <w:shd w:val="clear" w:color="auto" w:fill="CCEEFF"/>
          </w:tcPr>
          <w:p>
            <w:pPr>
              <w:jc w:val="right"/>
              <w:ind w:right="525"/>
              <w:spacing w:after="0"/>
              <w:rPr>
                <w:sz w:val="20"/>
                <w:szCs w:val="20"/>
                <w:color w:val="auto"/>
              </w:rPr>
            </w:pPr>
            <w:r>
              <w:rPr>
                <w:rFonts w:ascii="Arial" w:cs="Arial" w:eastAsia="Arial" w:hAnsi="Arial"/>
                <w:sz w:val="16"/>
                <w:szCs w:val="16"/>
                <w:color w:val="auto"/>
                <w:w w:val="8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6"/>
              </w:rPr>
              <w:t>(84.2)</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(269.7)</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(87.1)</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(518.5)</w:t>
            </w: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w:t>
      </w:r>
    </w:p>
    <w:p>
      <w:pPr>
        <w:spacing w:after="0" w:line="74" w:lineRule="exact"/>
        <w:rPr>
          <w:sz w:val="20"/>
          <w:szCs w:val="20"/>
          <w:color w:val="auto"/>
        </w:rPr>
      </w:pPr>
    </w:p>
    <w:p>
      <w:pPr>
        <w:ind w:left="480" w:hanging="474"/>
        <w:spacing w:after="0" w:line="285" w:lineRule="auto"/>
        <w:tabs>
          <w:tab w:leader="none" w:pos="480" w:val="left"/>
        </w:tabs>
        <w:numPr>
          <w:ilvl w:val="0"/>
          <w:numId w:val="4"/>
        </w:numPr>
        <w:rPr>
          <w:rFonts w:ascii="Arial" w:cs="Arial" w:eastAsia="Arial" w:hAnsi="Arial"/>
          <w:sz w:val="16"/>
          <w:szCs w:val="16"/>
          <w:color w:val="auto"/>
        </w:rPr>
      </w:pPr>
      <w:r>
        <w:rPr>
          <w:rFonts w:ascii="Arial" w:cs="Arial" w:eastAsia="Arial" w:hAnsi="Arial"/>
          <w:sz w:val="16"/>
          <w:szCs w:val="16"/>
          <w:color w:val="auto"/>
        </w:rPr>
        <w:t>Net of income tax expense (benefit) of $0.8 million and $(1.7) million for the three months ended June 30, 2023 and 2022, respectively, and $1.1 million and $(2.0) million for the six months ended June 30, 2023 and 2022, respectively.</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EQUITY</w:t>
      </w:r>
    </w:p>
    <w:p>
      <w:pPr>
        <w:spacing w:after="0" w:line="5"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(In millions)</w:t>
      </w:r>
    </w:p>
    <w:p>
      <w:pPr>
        <w:spacing w:after="0" w:line="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(Unaudited)</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3980" w:type="dxa"/>
            <w:vAlign w:val="bottom"/>
          </w:tcPr>
          <w:p>
            <w:pPr>
              <w:spacing w:after="0"/>
              <w:rPr>
                <w:sz w:val="13"/>
                <w:szCs w:val="13"/>
                <w:color w:val="auto"/>
              </w:rPr>
            </w:pPr>
          </w:p>
        </w:tc>
        <w:tc>
          <w:tcPr>
            <w:tcW w:w="1100" w:type="dxa"/>
            <w:vAlign w:val="bottom"/>
            <w:gridSpan w:val="4"/>
          </w:tcPr>
          <w:p>
            <w:pPr>
              <w:ind w:left="140"/>
              <w:spacing w:after="0"/>
              <w:rPr>
                <w:sz w:val="20"/>
                <w:szCs w:val="20"/>
                <w:color w:val="auto"/>
              </w:rPr>
            </w:pPr>
            <w:r>
              <w:rPr>
                <w:rFonts w:ascii="Arial" w:cs="Arial" w:eastAsia="Arial" w:hAnsi="Arial"/>
                <w:sz w:val="12"/>
                <w:szCs w:val="12"/>
                <w:b w:val="1"/>
                <w:bCs w:val="1"/>
                <w:color w:val="auto"/>
              </w:rPr>
              <w:t>Common Stock</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vMerge w:val="restart"/>
          </w:tcPr>
          <w:p>
            <w:pPr>
              <w:jc w:val="right"/>
              <w:ind w:right="51"/>
              <w:spacing w:after="0"/>
              <w:rPr>
                <w:sz w:val="20"/>
                <w:szCs w:val="20"/>
                <w:color w:val="auto"/>
              </w:rPr>
            </w:pPr>
            <w:r>
              <w:rPr>
                <w:rFonts w:ascii="Arial" w:cs="Arial" w:eastAsia="Arial" w:hAnsi="Arial"/>
                <w:sz w:val="12"/>
                <w:szCs w:val="12"/>
                <w:b w:val="1"/>
                <w:bCs w:val="1"/>
                <w:color w:val="auto"/>
                <w:w w:val="95"/>
              </w:rPr>
              <w:t>Additional</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Accumulated</w:t>
            </w:r>
          </w:p>
        </w:tc>
        <w:tc>
          <w:tcPr>
            <w:tcW w:w="1420" w:type="dxa"/>
            <w:vAlign w:val="bottom"/>
            <w:gridSpan w:val="4"/>
          </w:tcPr>
          <w:p>
            <w:pPr>
              <w:jc w:val="right"/>
              <w:ind w:right="249"/>
              <w:spacing w:after="0"/>
              <w:rPr>
                <w:sz w:val="20"/>
                <w:szCs w:val="20"/>
                <w:color w:val="auto"/>
              </w:rPr>
            </w:pPr>
            <w:r>
              <w:rPr>
                <w:rFonts w:ascii="Arial" w:cs="Arial" w:eastAsia="Arial" w:hAnsi="Arial"/>
                <w:sz w:val="12"/>
                <w:szCs w:val="12"/>
                <w:b w:val="1"/>
                <w:bCs w:val="1"/>
                <w:color w:val="auto"/>
              </w:rPr>
              <w:t>Treasury Stock</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vMerge w:val="restart"/>
          </w:tcPr>
          <w:p>
            <w:pPr>
              <w:jc w:val="center"/>
              <w:ind w:right="51"/>
              <w:spacing w:after="0"/>
              <w:rPr>
                <w:sz w:val="20"/>
                <w:szCs w:val="20"/>
                <w:color w:val="auto"/>
              </w:rPr>
            </w:pPr>
            <w:r>
              <w:rPr>
                <w:rFonts w:ascii="Arial" w:cs="Arial" w:eastAsia="Arial" w:hAnsi="Arial"/>
                <w:sz w:val="12"/>
                <w:szCs w:val="12"/>
                <w:b w:val="1"/>
                <w:bCs w:val="1"/>
                <w:color w:val="auto"/>
                <w:w w:val="94"/>
              </w:rPr>
              <w:t>Non-</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
        </w:trPr>
        <w:tc>
          <w:tcPr>
            <w:tcW w:w="398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vMerge w:val="restart"/>
          </w:tcPr>
          <w:p>
            <w:pPr>
              <w:jc w:val="right"/>
              <w:ind w:right="110"/>
              <w:spacing w:after="0"/>
              <w:rPr>
                <w:sz w:val="20"/>
                <w:szCs w:val="20"/>
                <w:color w:val="auto"/>
              </w:rPr>
            </w:pPr>
            <w:r>
              <w:rPr>
                <w:rFonts w:ascii="Arial" w:cs="Arial" w:eastAsia="Arial" w:hAnsi="Arial"/>
                <w:sz w:val="12"/>
                <w:szCs w:val="12"/>
                <w:b w:val="1"/>
                <w:bCs w:val="1"/>
                <w:color w:val="auto"/>
                <w:w w:val="94"/>
              </w:rPr>
              <w:t>Retained</w:t>
            </w: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gridSpan w:val="2"/>
            <w:vMerge w:val="continue"/>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vMerge w:val="restart"/>
          </w:tcPr>
          <w:p>
            <w:pPr>
              <w:jc w:val="right"/>
              <w:ind w:right="210"/>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13"/>
        </w:trPr>
        <w:tc>
          <w:tcPr>
            <w:tcW w:w="3980" w:type="dxa"/>
            <w:vAlign w:val="bottom"/>
          </w:tcPr>
          <w:p>
            <w:pPr>
              <w:spacing w:after="0"/>
              <w:rPr>
                <w:sz w:val="9"/>
                <w:szCs w:val="9"/>
                <w:color w:val="auto"/>
              </w:rPr>
            </w:pPr>
          </w:p>
        </w:tc>
        <w:tc>
          <w:tcPr>
            <w:tcW w:w="520" w:type="dxa"/>
            <w:vAlign w:val="bottom"/>
            <w:vMerge w:val="restart"/>
          </w:tcPr>
          <w:p>
            <w:pPr>
              <w:jc w:val="right"/>
              <w:ind w:right="1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jc w:val="right"/>
              <w:ind w:right="131"/>
              <w:spacing w:after="0" w:line="113" w:lineRule="exact"/>
              <w:rPr>
                <w:sz w:val="20"/>
                <w:szCs w:val="20"/>
                <w:color w:val="auto"/>
              </w:rPr>
            </w:pPr>
            <w:r>
              <w:rPr>
                <w:rFonts w:ascii="Arial" w:cs="Arial" w:eastAsia="Arial" w:hAnsi="Arial"/>
                <w:sz w:val="12"/>
                <w:szCs w:val="12"/>
                <w:b w:val="1"/>
                <w:bCs w:val="1"/>
                <w:color w:val="auto"/>
              </w:rPr>
              <w:t>Paid-in</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gridSpan w:val="2"/>
          </w:tcPr>
          <w:p>
            <w:pPr>
              <w:ind w:left="20"/>
              <w:spacing w:after="0" w:line="113" w:lineRule="exact"/>
              <w:rPr>
                <w:sz w:val="20"/>
                <w:szCs w:val="20"/>
                <w:color w:val="auto"/>
              </w:rPr>
            </w:pPr>
            <w:r>
              <w:rPr>
                <w:rFonts w:ascii="Arial" w:cs="Arial" w:eastAsia="Arial" w:hAnsi="Arial"/>
                <w:sz w:val="12"/>
                <w:szCs w:val="12"/>
                <w:b w:val="1"/>
                <w:bCs w:val="1"/>
                <w:color w:val="auto"/>
              </w:rPr>
              <w:t>Other Comp</w:t>
            </w:r>
          </w:p>
        </w:tc>
        <w:tc>
          <w:tcPr>
            <w:tcW w:w="660" w:type="dxa"/>
            <w:vAlign w:val="bottom"/>
            <w:vMerge w:val="restart"/>
          </w:tcPr>
          <w:p>
            <w:pPr>
              <w:jc w:val="right"/>
              <w:ind w:right="7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vMerge w:val="restart"/>
          </w:tcPr>
          <w:p>
            <w:pPr>
              <w:jc w:val="right"/>
              <w:ind w:right="229"/>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jc w:val="center"/>
              <w:ind w:right="31"/>
              <w:spacing w:after="0" w:line="113" w:lineRule="exact"/>
              <w:rPr>
                <w:sz w:val="20"/>
                <w:szCs w:val="20"/>
                <w:color w:val="auto"/>
              </w:rPr>
            </w:pPr>
            <w:r>
              <w:rPr>
                <w:rFonts w:ascii="Arial" w:cs="Arial" w:eastAsia="Arial" w:hAnsi="Arial"/>
                <w:sz w:val="12"/>
                <w:szCs w:val="12"/>
                <w:b w:val="1"/>
                <w:bCs w:val="1"/>
                <w:color w:val="auto"/>
                <w:w w:val="90"/>
              </w:rPr>
              <w:t>controlling</w:t>
            </w: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1"/>
        </w:trPr>
        <w:tc>
          <w:tcPr>
            <w:tcW w:w="398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ind w:right="131"/>
              <w:spacing w:after="0"/>
              <w:rPr>
                <w:sz w:val="20"/>
                <w:szCs w:val="20"/>
                <w:color w:val="auto"/>
              </w:rPr>
            </w:pPr>
            <w:r>
              <w:rPr>
                <w:rFonts w:ascii="Arial" w:cs="Arial" w:eastAsia="Arial" w:hAnsi="Arial"/>
                <w:sz w:val="12"/>
                <w:szCs w:val="12"/>
                <w:b w:val="1"/>
                <w:bCs w:val="1"/>
                <w:color w:val="auto"/>
              </w:rPr>
              <w:t>Capital</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ind w:right="110"/>
              <w:spacing w:after="0"/>
              <w:rPr>
                <w:sz w:val="20"/>
                <w:szCs w:val="20"/>
                <w:color w:val="auto"/>
              </w:rPr>
            </w:pPr>
            <w:r>
              <w:rPr>
                <w:rFonts w:ascii="Arial" w:cs="Arial" w:eastAsia="Arial" w:hAnsi="Arial"/>
                <w:sz w:val="12"/>
                <w:szCs w:val="12"/>
                <w:b w:val="1"/>
                <w:bCs w:val="1"/>
                <w:color w:val="auto"/>
                <w:w w:val="93"/>
              </w:rPr>
              <w:t>Earnings</w:t>
            </w:r>
          </w:p>
        </w:tc>
        <w:tc>
          <w:tcPr>
            <w:tcW w:w="100" w:type="dxa"/>
            <w:vAlign w:val="bottom"/>
          </w:tcPr>
          <w:p>
            <w:pPr>
              <w:spacing w:after="0"/>
              <w:rPr>
                <w:sz w:val="14"/>
                <w:szCs w:val="14"/>
                <w:color w:val="auto"/>
              </w:rPr>
            </w:pPr>
          </w:p>
        </w:tc>
        <w:tc>
          <w:tcPr>
            <w:tcW w:w="1000" w:type="dxa"/>
            <w:vAlign w:val="bottom"/>
            <w:gridSpan w:val="3"/>
          </w:tcPr>
          <w:p>
            <w:pPr>
              <w:ind w:left="20"/>
              <w:spacing w:after="0"/>
              <w:rPr>
                <w:sz w:val="20"/>
                <w:szCs w:val="20"/>
                <w:color w:val="auto"/>
              </w:rPr>
            </w:pPr>
            <w:r>
              <w:rPr>
                <w:rFonts w:ascii="Arial" w:cs="Arial" w:eastAsia="Arial" w:hAnsi="Arial"/>
                <w:sz w:val="12"/>
                <w:szCs w:val="12"/>
                <w:b w:val="1"/>
                <w:bCs w:val="1"/>
                <w:color w:val="auto"/>
              </w:rPr>
              <w:t>(Loss) Earnings</w:t>
            </w:r>
          </w:p>
        </w:tc>
        <w:tc>
          <w:tcPr>
            <w:tcW w:w="6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center"/>
              <w:ind w:right="51"/>
              <w:spacing w:after="0"/>
              <w:rPr>
                <w:sz w:val="20"/>
                <w:szCs w:val="20"/>
                <w:color w:val="auto"/>
              </w:rPr>
            </w:pPr>
            <w:r>
              <w:rPr>
                <w:rFonts w:ascii="Arial" w:cs="Arial" w:eastAsia="Arial" w:hAnsi="Arial"/>
                <w:sz w:val="12"/>
                <w:szCs w:val="12"/>
                <w:b w:val="1"/>
                <w:bCs w:val="1"/>
                <w:color w:val="auto"/>
                <w:w w:val="91"/>
              </w:rPr>
              <w:t>Interests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ind w:right="150"/>
              <w:spacing w:after="0"/>
              <w:rPr>
                <w:sz w:val="20"/>
                <w:szCs w:val="20"/>
                <w:color w:val="auto"/>
              </w:rPr>
            </w:pPr>
            <w:r>
              <w:rPr>
                <w:rFonts w:ascii="Arial" w:cs="Arial" w:eastAsia="Arial" w:hAnsi="Arial"/>
                <w:sz w:val="12"/>
                <w:szCs w:val="12"/>
                <w:b w:val="1"/>
                <w:bCs w:val="1"/>
                <w:color w:val="auto"/>
              </w:rPr>
              <w:t>Equity</w:t>
            </w:r>
          </w:p>
        </w:tc>
        <w:tc>
          <w:tcPr>
            <w:tcW w:w="0" w:type="dxa"/>
            <w:vAlign w:val="bottom"/>
          </w:tcPr>
          <w:p>
            <w:pPr>
              <w:spacing w:after="0"/>
              <w:rPr>
                <w:sz w:val="1"/>
                <w:szCs w:val="1"/>
                <w:color w:val="auto"/>
              </w:rPr>
            </w:pPr>
          </w:p>
        </w:tc>
      </w:tr>
      <w:tr>
        <w:trPr>
          <w:trHeight w:val="24"/>
        </w:trPr>
        <w:tc>
          <w:tcPr>
            <w:tcW w:w="398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39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3980" w:type="dxa"/>
            <w:vAlign w:val="bottom"/>
            <w:shd w:val="clear" w:color="auto" w:fill="CCEEFF"/>
          </w:tcPr>
          <w:p>
            <w:pPr>
              <w:ind w:left="20"/>
              <w:spacing w:after="0"/>
              <w:rPr>
                <w:sz w:val="20"/>
                <w:szCs w:val="20"/>
                <w:color w:val="auto"/>
              </w:rPr>
            </w:pPr>
            <w:r>
              <w:rPr>
                <w:rFonts w:ascii="Arial" w:cs="Arial" w:eastAsia="Arial" w:hAnsi="Arial"/>
                <w:sz w:val="12"/>
                <w:szCs w:val="12"/>
                <w:color w:val="auto"/>
              </w:rPr>
              <w:t>Balance, March 31, 2022</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1,894.4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1,395.2</w:t>
            </w:r>
          </w:p>
        </w:tc>
        <w:tc>
          <w:tcPr>
            <w:tcW w:w="1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(242.5)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3,042.7</w:t>
            </w:r>
          </w:p>
        </w:tc>
        <w:tc>
          <w:tcPr>
            <w:tcW w:w="0" w:type="dxa"/>
            <w:vAlign w:val="bottom"/>
          </w:tcPr>
          <w:p>
            <w:pPr>
              <w:spacing w:after="0"/>
              <w:rPr>
                <w:sz w:val="1"/>
                <w:szCs w:val="1"/>
                <w:color w:val="auto"/>
              </w:rPr>
            </w:pPr>
          </w:p>
        </w:tc>
      </w:tr>
      <w:tr>
        <w:trPr>
          <w:trHeight w:val="132"/>
        </w:trPr>
        <w:tc>
          <w:tcPr>
            <w:tcW w:w="3980" w:type="dxa"/>
            <w:vAlign w:val="bottom"/>
          </w:tcPr>
          <w:p>
            <w:pPr>
              <w:ind w:left="140"/>
              <w:spacing w:after="0" w:line="132" w:lineRule="exact"/>
              <w:rPr>
                <w:sz w:val="20"/>
                <w:szCs w:val="20"/>
                <w:color w:val="auto"/>
              </w:rPr>
            </w:pPr>
            <w:r>
              <w:rPr>
                <w:rFonts w:ascii="Arial" w:cs="Arial" w:eastAsia="Arial" w:hAnsi="Arial"/>
                <w:sz w:val="12"/>
                <w:szCs w:val="12"/>
                <w:color w:val="auto"/>
              </w:rPr>
              <w:t>Other comprehensive earnings — unrealized losses of investments in</w:t>
            </w: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vMerge w:val="restart"/>
          </w:tcPr>
          <w:p>
            <w:pPr>
              <w:ind w:lef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vMerge w:val="restart"/>
          </w:tcPr>
          <w:p>
            <w:pPr>
              <w:jc w:val="right"/>
              <w:ind w:right="1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(6.4)</w:t>
            </w:r>
          </w:p>
        </w:tc>
        <w:tc>
          <w:tcPr>
            <w:tcW w:w="12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165"/>
        </w:trPr>
        <w:tc>
          <w:tcPr>
            <w:tcW w:w="3980" w:type="dxa"/>
            <w:vAlign w:val="bottom"/>
          </w:tcPr>
          <w:p>
            <w:pPr>
              <w:ind w:left="140"/>
              <w:spacing w:after="0"/>
              <w:rPr>
                <w:sz w:val="20"/>
                <w:szCs w:val="20"/>
                <w:color w:val="auto"/>
              </w:rPr>
            </w:pPr>
            <w:r>
              <w:rPr>
                <w:rFonts w:ascii="Arial" w:cs="Arial" w:eastAsia="Arial" w:hAnsi="Arial"/>
                <w:sz w:val="12"/>
                <w:szCs w:val="12"/>
                <w:color w:val="auto"/>
              </w:rPr>
              <w:t>unconsolidated affiliates, net of tax</w:t>
            </w:r>
          </w:p>
        </w:tc>
        <w:tc>
          <w:tcPr>
            <w:tcW w:w="5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3980" w:type="dxa"/>
            <w:vAlign w:val="bottom"/>
            <w:shd w:val="clear" w:color="auto" w:fill="CCEEFF"/>
          </w:tcPr>
          <w:p>
            <w:pPr>
              <w:ind w:left="140"/>
              <w:spacing w:after="0"/>
              <w:rPr>
                <w:sz w:val="20"/>
                <w:szCs w:val="20"/>
                <w:color w:val="auto"/>
              </w:rPr>
            </w:pPr>
            <w:r>
              <w:rPr>
                <w:rFonts w:ascii="Arial" w:cs="Arial" w:eastAsia="Arial" w:hAnsi="Arial"/>
                <w:sz w:val="12"/>
                <w:szCs w:val="12"/>
                <w:color w:val="auto"/>
              </w:rPr>
              <w:t>Treasury stock repurchases</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(84.7)</w:t>
            </w:r>
          </w:p>
        </w:tc>
        <w:tc>
          <w:tcPr>
            <w:tcW w:w="0" w:type="dxa"/>
            <w:vAlign w:val="bottom"/>
          </w:tcPr>
          <w:p>
            <w:pPr>
              <w:spacing w:after="0"/>
              <w:rPr>
                <w:sz w:val="1"/>
                <w:szCs w:val="1"/>
                <w:color w:val="auto"/>
              </w:rPr>
            </w:pPr>
          </w:p>
        </w:tc>
      </w:tr>
      <w:tr>
        <w:trPr>
          <w:trHeight w:val="183"/>
        </w:trPr>
        <w:tc>
          <w:tcPr>
            <w:tcW w:w="3980" w:type="dxa"/>
            <w:vAlign w:val="bottom"/>
          </w:tcPr>
          <w:p>
            <w:pPr>
              <w:ind w:left="140"/>
              <w:spacing w:after="0"/>
              <w:rPr>
                <w:sz w:val="20"/>
                <w:szCs w:val="20"/>
                <w:color w:val="auto"/>
              </w:rPr>
            </w:pPr>
            <w:r>
              <w:rPr>
                <w:rFonts w:ascii="Arial" w:cs="Arial" w:eastAsia="Arial" w:hAnsi="Arial"/>
                <w:sz w:val="12"/>
                <w:szCs w:val="12"/>
                <w:color w:val="auto"/>
              </w:rPr>
              <w:t>Stock-based compensation, consolidated subsidiaries</w:t>
            </w: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ind w:lef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0.4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202"/>
        </w:trPr>
        <w:tc>
          <w:tcPr>
            <w:tcW w:w="3980" w:type="dxa"/>
            <w:vAlign w:val="bottom"/>
            <w:shd w:val="clear" w:color="auto" w:fill="CCEEFF"/>
          </w:tcPr>
          <w:p>
            <w:pPr>
              <w:ind w:left="140"/>
              <w:spacing w:after="0"/>
              <w:rPr>
                <w:sz w:val="20"/>
                <w:szCs w:val="20"/>
                <w:color w:val="auto"/>
              </w:rPr>
            </w:pPr>
            <w:r>
              <w:rPr>
                <w:rFonts w:ascii="Arial" w:cs="Arial" w:eastAsia="Arial" w:hAnsi="Arial"/>
                <w:sz w:val="12"/>
                <w:szCs w:val="12"/>
                <w:color w:val="auto"/>
              </w:rPr>
              <w:t>Stock-based compensation, unconsolidated affiliates</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w:t>
            </w:r>
          </w:p>
        </w:tc>
        <w:tc>
          <w:tcPr>
            <w:tcW w:w="0" w:type="dxa"/>
            <w:vAlign w:val="bottom"/>
          </w:tcPr>
          <w:p>
            <w:pPr>
              <w:spacing w:after="0"/>
              <w:rPr>
                <w:sz w:val="1"/>
                <w:szCs w:val="1"/>
                <w:color w:val="auto"/>
              </w:rPr>
            </w:pPr>
          </w:p>
        </w:tc>
      </w:tr>
      <w:tr>
        <w:trPr>
          <w:trHeight w:val="192"/>
        </w:trPr>
        <w:tc>
          <w:tcPr>
            <w:tcW w:w="3980" w:type="dxa"/>
            <w:vAlign w:val="bottom"/>
          </w:tcPr>
          <w:p>
            <w:pPr>
              <w:ind w:left="140"/>
              <w:spacing w:after="0"/>
              <w:rPr>
                <w:sz w:val="20"/>
                <w:szCs w:val="20"/>
                <w:color w:val="auto"/>
              </w:rPr>
            </w:pPr>
            <w:r>
              <w:rPr>
                <w:rFonts w:ascii="Arial" w:cs="Arial" w:eastAsia="Arial" w:hAnsi="Arial"/>
                <w:sz w:val="12"/>
                <w:szCs w:val="12"/>
                <w:color w:val="auto"/>
              </w:rPr>
              <w:t>Net loss</w:t>
            </w: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ind w:lef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(263.3)</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(264.6)</w:t>
            </w:r>
          </w:p>
        </w:tc>
        <w:tc>
          <w:tcPr>
            <w:tcW w:w="0" w:type="dxa"/>
            <w:vAlign w:val="bottom"/>
          </w:tcPr>
          <w:p>
            <w:pPr>
              <w:spacing w:after="0"/>
              <w:rPr>
                <w:sz w:val="1"/>
                <w:szCs w:val="1"/>
                <w:color w:val="auto"/>
              </w:rPr>
            </w:pPr>
          </w:p>
        </w:tc>
      </w:tr>
      <w:tr>
        <w:trPr>
          <w:trHeight w:val="211"/>
        </w:trPr>
        <w:tc>
          <w:tcPr>
            <w:tcW w:w="3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Balance, June 30, 2022</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20" w:type="dxa"/>
            <w:vAlign w:val="bottom"/>
            <w:tcBorders>
              <w:top w:val="single" w:sz="8" w:color="auto"/>
              <w:bottom w:val="single" w:sz="8" w:color="auto"/>
            </w:tcBorders>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1,913.5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1,131.9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(14.8)</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9"/>
              </w:rPr>
              <w:t>(327.2)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2,706.1</w:t>
            </w:r>
          </w:p>
        </w:tc>
        <w:tc>
          <w:tcPr>
            <w:tcW w:w="0" w:type="dxa"/>
            <w:vAlign w:val="bottom"/>
          </w:tcPr>
          <w:p>
            <w:pPr>
              <w:spacing w:after="0"/>
              <w:rPr>
                <w:sz w:val="1"/>
                <w:szCs w:val="1"/>
                <w:color w:val="auto"/>
              </w:rPr>
            </w:pP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39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3980" w:type="dxa"/>
            <w:vAlign w:val="bottom"/>
            <w:shd w:val="clear" w:color="auto" w:fill="CCEEFF"/>
          </w:tcPr>
          <w:p>
            <w:pPr>
              <w:ind w:left="20"/>
              <w:spacing w:after="0"/>
              <w:rPr>
                <w:sz w:val="20"/>
                <w:szCs w:val="20"/>
                <w:color w:val="auto"/>
              </w:rPr>
            </w:pPr>
            <w:r>
              <w:rPr>
                <w:rFonts w:ascii="Arial" w:cs="Arial" w:eastAsia="Arial" w:hAnsi="Arial"/>
                <w:sz w:val="12"/>
                <w:szCs w:val="12"/>
                <w:color w:val="auto"/>
              </w:rPr>
              <w:t>Balance, March 31, 2023</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1,945.8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1,210.6</w:t>
            </w:r>
          </w:p>
        </w:tc>
        <w:tc>
          <w:tcPr>
            <w:tcW w:w="1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(414.1)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2,718.6</w:t>
            </w:r>
          </w:p>
        </w:tc>
        <w:tc>
          <w:tcPr>
            <w:tcW w:w="0" w:type="dxa"/>
            <w:vAlign w:val="bottom"/>
          </w:tcPr>
          <w:p>
            <w:pPr>
              <w:spacing w:after="0"/>
              <w:rPr>
                <w:sz w:val="1"/>
                <w:szCs w:val="1"/>
                <w:color w:val="auto"/>
              </w:rPr>
            </w:pPr>
          </w:p>
        </w:tc>
      </w:tr>
      <w:tr>
        <w:trPr>
          <w:trHeight w:val="119"/>
        </w:trPr>
        <w:tc>
          <w:tcPr>
            <w:tcW w:w="3980" w:type="dxa"/>
            <w:vAlign w:val="bottom"/>
          </w:tcPr>
          <w:p>
            <w:pPr>
              <w:ind w:left="140"/>
              <w:spacing w:after="0" w:line="120" w:lineRule="exact"/>
              <w:rPr>
                <w:sz w:val="20"/>
                <w:szCs w:val="20"/>
                <w:color w:val="auto"/>
              </w:rPr>
            </w:pPr>
            <w:r>
              <w:rPr>
                <w:rFonts w:ascii="Arial" w:cs="Arial" w:eastAsia="Arial" w:hAnsi="Arial"/>
                <w:sz w:val="12"/>
                <w:szCs w:val="12"/>
                <w:color w:val="auto"/>
              </w:rPr>
              <w:t>Other comprehensive earnings — unrealized earnings of investments in</w:t>
            </w: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20" w:type="dxa"/>
            <w:vAlign w:val="bottom"/>
            <w:vMerge w:val="restart"/>
          </w:tcPr>
          <w:p>
            <w:pPr>
              <w:ind w:lef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vMerge w:val="restart"/>
          </w:tcPr>
          <w:p>
            <w:pPr>
              <w:jc w:val="right"/>
              <w:ind w:right="1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61"/>
        </w:trPr>
        <w:tc>
          <w:tcPr>
            <w:tcW w:w="3980" w:type="dxa"/>
            <w:vAlign w:val="bottom"/>
          </w:tcPr>
          <w:p>
            <w:pPr>
              <w:ind w:left="140"/>
              <w:spacing w:after="0"/>
              <w:rPr>
                <w:sz w:val="20"/>
                <w:szCs w:val="20"/>
                <w:color w:val="auto"/>
              </w:rPr>
            </w:pPr>
            <w:r>
              <w:rPr>
                <w:rFonts w:ascii="Arial" w:cs="Arial" w:eastAsia="Arial" w:hAnsi="Arial"/>
                <w:sz w:val="12"/>
                <w:szCs w:val="12"/>
                <w:color w:val="auto"/>
              </w:rPr>
              <w:t>unconsolidated affiliates, net of tax</w:t>
            </w:r>
          </w:p>
        </w:tc>
        <w:tc>
          <w:tcPr>
            <w:tcW w:w="5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
        </w:trPr>
        <w:tc>
          <w:tcPr>
            <w:tcW w:w="3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3980" w:type="dxa"/>
            <w:vAlign w:val="bottom"/>
            <w:shd w:val="clear" w:color="auto" w:fill="CCEEFF"/>
          </w:tcPr>
          <w:p>
            <w:pPr>
              <w:ind w:left="140"/>
              <w:spacing w:after="0"/>
              <w:rPr>
                <w:sz w:val="20"/>
                <w:szCs w:val="20"/>
                <w:color w:val="auto"/>
              </w:rPr>
            </w:pPr>
            <w:r>
              <w:rPr>
                <w:rFonts w:ascii="Arial" w:cs="Arial" w:eastAsia="Arial" w:hAnsi="Arial"/>
                <w:sz w:val="12"/>
                <w:szCs w:val="12"/>
                <w:color w:val="auto"/>
              </w:rPr>
              <w:t>Treasury stock repurchases</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(60.4)</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(60.4)</w:t>
            </w:r>
          </w:p>
        </w:tc>
        <w:tc>
          <w:tcPr>
            <w:tcW w:w="0" w:type="dxa"/>
            <w:vAlign w:val="bottom"/>
          </w:tcPr>
          <w:p>
            <w:pPr>
              <w:spacing w:after="0"/>
              <w:rPr>
                <w:sz w:val="1"/>
                <w:szCs w:val="1"/>
                <w:color w:val="auto"/>
              </w:rPr>
            </w:pPr>
          </w:p>
        </w:tc>
      </w:tr>
      <w:tr>
        <w:trPr>
          <w:trHeight w:val="190"/>
        </w:trPr>
        <w:tc>
          <w:tcPr>
            <w:tcW w:w="3980" w:type="dxa"/>
            <w:vAlign w:val="bottom"/>
          </w:tcPr>
          <w:p>
            <w:pPr>
              <w:ind w:left="140"/>
              <w:spacing w:after="0"/>
              <w:rPr>
                <w:sz w:val="20"/>
                <w:szCs w:val="20"/>
                <w:color w:val="auto"/>
              </w:rPr>
            </w:pPr>
            <w:r>
              <w:rPr>
                <w:rFonts w:ascii="Arial" w:cs="Arial" w:eastAsia="Arial" w:hAnsi="Arial"/>
                <w:sz w:val="12"/>
                <w:szCs w:val="12"/>
                <w:color w:val="auto"/>
              </w:rPr>
              <w:t>Stock-based compensation, consolidated subsidiaries</w:t>
            </w: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ind w:lef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0.9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208"/>
        </w:trPr>
        <w:tc>
          <w:tcPr>
            <w:tcW w:w="3980" w:type="dxa"/>
            <w:vAlign w:val="bottom"/>
            <w:shd w:val="clear" w:color="auto" w:fill="CCEEFF"/>
          </w:tcPr>
          <w:p>
            <w:pPr>
              <w:ind w:left="140"/>
              <w:spacing w:after="0"/>
              <w:rPr>
                <w:sz w:val="20"/>
                <w:szCs w:val="20"/>
                <w:color w:val="auto"/>
              </w:rPr>
            </w:pPr>
            <w:r>
              <w:rPr>
                <w:rFonts w:ascii="Arial" w:cs="Arial" w:eastAsia="Arial" w:hAnsi="Arial"/>
                <w:sz w:val="12"/>
                <w:szCs w:val="12"/>
                <w:color w:val="auto"/>
              </w:rPr>
              <w:t>Stock-based compensation, unconsolidated affiliates</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w:t>
            </w:r>
          </w:p>
        </w:tc>
        <w:tc>
          <w:tcPr>
            <w:tcW w:w="0" w:type="dxa"/>
            <w:vAlign w:val="bottom"/>
          </w:tcPr>
          <w:p>
            <w:pPr>
              <w:spacing w:after="0"/>
              <w:rPr>
                <w:sz w:val="1"/>
                <w:szCs w:val="1"/>
                <w:color w:val="auto"/>
              </w:rPr>
            </w:pPr>
          </w:p>
        </w:tc>
      </w:tr>
      <w:tr>
        <w:trPr>
          <w:trHeight w:val="183"/>
        </w:trPr>
        <w:tc>
          <w:tcPr>
            <w:tcW w:w="3980" w:type="dxa"/>
            <w:vAlign w:val="bottom"/>
          </w:tcPr>
          <w:p>
            <w:pPr>
              <w:ind w:left="140"/>
              <w:spacing w:after="0"/>
              <w:rPr>
                <w:sz w:val="20"/>
                <w:szCs w:val="20"/>
                <w:color w:val="auto"/>
              </w:rPr>
            </w:pPr>
            <w:r>
              <w:rPr>
                <w:rFonts w:ascii="Arial" w:cs="Arial" w:eastAsia="Arial" w:hAnsi="Arial"/>
                <w:sz w:val="12"/>
                <w:szCs w:val="12"/>
                <w:color w:val="auto"/>
              </w:rPr>
              <w:t>Net loss</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(87.2)</w:t>
            </w:r>
          </w:p>
        </w:tc>
        <w:tc>
          <w:tcPr>
            <w:tcW w:w="1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(90.4)</w:t>
            </w:r>
          </w:p>
        </w:tc>
        <w:tc>
          <w:tcPr>
            <w:tcW w:w="0" w:type="dxa"/>
            <w:vAlign w:val="bottom"/>
          </w:tcPr>
          <w:p>
            <w:pPr>
              <w:spacing w:after="0"/>
              <w:rPr>
                <w:sz w:val="1"/>
                <w:szCs w:val="1"/>
                <w:color w:val="auto"/>
              </w:rPr>
            </w:pPr>
          </w:p>
        </w:tc>
      </w:tr>
      <w:tr>
        <w:trPr>
          <w:trHeight w:val="215"/>
        </w:trPr>
        <w:tc>
          <w:tcPr>
            <w:tcW w:w="3980" w:type="dxa"/>
            <w:vAlign w:val="bottom"/>
            <w:shd w:val="clear" w:color="auto" w:fill="CCEEFF"/>
          </w:tcPr>
          <w:p>
            <w:pPr>
              <w:ind w:left="20"/>
              <w:spacing w:after="0"/>
              <w:rPr>
                <w:sz w:val="20"/>
                <w:szCs w:val="20"/>
                <w:color w:val="auto"/>
              </w:rPr>
            </w:pPr>
            <w:r>
              <w:rPr>
                <w:rFonts w:ascii="Arial" w:cs="Arial" w:eastAsia="Arial" w:hAnsi="Arial"/>
                <w:sz w:val="12"/>
                <w:szCs w:val="12"/>
                <w:color w:val="auto"/>
              </w:rPr>
              <w:t>Balance, June 30, 2023</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1,957.0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1,123.4</w:t>
            </w:r>
          </w:p>
        </w:tc>
        <w:tc>
          <w:tcPr>
            <w:tcW w:w="1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(474.5)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2,582.0</w:t>
            </w:r>
          </w:p>
        </w:tc>
        <w:tc>
          <w:tcPr>
            <w:tcW w:w="0" w:type="dxa"/>
            <w:vAlign w:val="bottom"/>
          </w:tcPr>
          <w:p>
            <w:pPr>
              <w:spacing w:after="0"/>
              <w:rPr>
                <w:sz w:val="1"/>
                <w:szCs w:val="1"/>
                <w:color w:val="auto"/>
              </w:rPr>
            </w:pP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See Notes to Condensed Consolidated Financial Statements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EQUITY - CONTINUED</w:t>
      </w:r>
    </w:p>
    <w:p>
      <w:pPr>
        <w:spacing w:after="0" w:line="5"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(In millions)</w:t>
      </w:r>
    </w:p>
    <w:p>
      <w:pPr>
        <w:spacing w:after="0" w:line="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(Unaudited)</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3980" w:type="dxa"/>
            <w:vAlign w:val="bottom"/>
          </w:tcPr>
          <w:p>
            <w:pPr>
              <w:spacing w:after="0"/>
              <w:rPr>
                <w:sz w:val="13"/>
                <w:szCs w:val="13"/>
                <w:color w:val="auto"/>
              </w:rPr>
            </w:pPr>
          </w:p>
        </w:tc>
        <w:tc>
          <w:tcPr>
            <w:tcW w:w="1100" w:type="dxa"/>
            <w:vAlign w:val="bottom"/>
            <w:gridSpan w:val="4"/>
          </w:tcPr>
          <w:p>
            <w:pPr>
              <w:ind w:left="140"/>
              <w:spacing w:after="0"/>
              <w:rPr>
                <w:sz w:val="20"/>
                <w:szCs w:val="20"/>
                <w:color w:val="auto"/>
              </w:rPr>
            </w:pPr>
            <w:r>
              <w:rPr>
                <w:rFonts w:ascii="Arial" w:cs="Arial" w:eastAsia="Arial" w:hAnsi="Arial"/>
                <w:sz w:val="12"/>
                <w:szCs w:val="12"/>
                <w:b w:val="1"/>
                <w:bCs w:val="1"/>
                <w:color w:val="auto"/>
              </w:rPr>
              <w:t>Common Stock</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vMerge w:val="restart"/>
          </w:tcPr>
          <w:p>
            <w:pPr>
              <w:jc w:val="right"/>
              <w:ind w:right="51"/>
              <w:spacing w:after="0"/>
              <w:rPr>
                <w:sz w:val="20"/>
                <w:szCs w:val="20"/>
                <w:color w:val="auto"/>
              </w:rPr>
            </w:pPr>
            <w:r>
              <w:rPr>
                <w:rFonts w:ascii="Arial" w:cs="Arial" w:eastAsia="Arial" w:hAnsi="Arial"/>
                <w:sz w:val="12"/>
                <w:szCs w:val="12"/>
                <w:b w:val="1"/>
                <w:bCs w:val="1"/>
                <w:color w:val="auto"/>
                <w:w w:val="95"/>
              </w:rPr>
              <w:t>Additional</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Accumulated</w:t>
            </w:r>
          </w:p>
        </w:tc>
        <w:tc>
          <w:tcPr>
            <w:tcW w:w="1420" w:type="dxa"/>
            <w:vAlign w:val="bottom"/>
            <w:gridSpan w:val="4"/>
          </w:tcPr>
          <w:p>
            <w:pPr>
              <w:jc w:val="right"/>
              <w:ind w:right="249"/>
              <w:spacing w:after="0"/>
              <w:rPr>
                <w:sz w:val="20"/>
                <w:szCs w:val="20"/>
                <w:color w:val="auto"/>
              </w:rPr>
            </w:pPr>
            <w:r>
              <w:rPr>
                <w:rFonts w:ascii="Arial" w:cs="Arial" w:eastAsia="Arial" w:hAnsi="Arial"/>
                <w:sz w:val="12"/>
                <w:szCs w:val="12"/>
                <w:b w:val="1"/>
                <w:bCs w:val="1"/>
                <w:color w:val="auto"/>
              </w:rPr>
              <w:t>Treasury Stock</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vMerge w:val="restart"/>
          </w:tcPr>
          <w:p>
            <w:pPr>
              <w:jc w:val="center"/>
              <w:ind w:right="51"/>
              <w:spacing w:after="0"/>
              <w:rPr>
                <w:sz w:val="20"/>
                <w:szCs w:val="20"/>
                <w:color w:val="auto"/>
              </w:rPr>
            </w:pPr>
            <w:r>
              <w:rPr>
                <w:rFonts w:ascii="Arial" w:cs="Arial" w:eastAsia="Arial" w:hAnsi="Arial"/>
                <w:sz w:val="12"/>
                <w:szCs w:val="12"/>
                <w:b w:val="1"/>
                <w:bCs w:val="1"/>
                <w:color w:val="auto"/>
                <w:w w:val="94"/>
              </w:rPr>
              <w:t>Non-</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
        </w:trPr>
        <w:tc>
          <w:tcPr>
            <w:tcW w:w="398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vMerge w:val="restart"/>
          </w:tcPr>
          <w:p>
            <w:pPr>
              <w:jc w:val="right"/>
              <w:ind w:right="110"/>
              <w:spacing w:after="0"/>
              <w:rPr>
                <w:sz w:val="20"/>
                <w:szCs w:val="20"/>
                <w:color w:val="auto"/>
              </w:rPr>
            </w:pPr>
            <w:r>
              <w:rPr>
                <w:rFonts w:ascii="Arial" w:cs="Arial" w:eastAsia="Arial" w:hAnsi="Arial"/>
                <w:sz w:val="12"/>
                <w:szCs w:val="12"/>
                <w:b w:val="1"/>
                <w:bCs w:val="1"/>
                <w:color w:val="auto"/>
                <w:w w:val="94"/>
              </w:rPr>
              <w:t>Retained</w:t>
            </w: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gridSpan w:val="2"/>
            <w:vMerge w:val="continue"/>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vMerge w:val="restart"/>
          </w:tcPr>
          <w:p>
            <w:pPr>
              <w:jc w:val="right"/>
              <w:ind w:right="210"/>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13"/>
        </w:trPr>
        <w:tc>
          <w:tcPr>
            <w:tcW w:w="3980" w:type="dxa"/>
            <w:vAlign w:val="bottom"/>
          </w:tcPr>
          <w:p>
            <w:pPr>
              <w:spacing w:after="0"/>
              <w:rPr>
                <w:sz w:val="9"/>
                <w:szCs w:val="9"/>
                <w:color w:val="auto"/>
              </w:rPr>
            </w:pPr>
          </w:p>
        </w:tc>
        <w:tc>
          <w:tcPr>
            <w:tcW w:w="520" w:type="dxa"/>
            <w:vAlign w:val="bottom"/>
            <w:vMerge w:val="restart"/>
          </w:tcPr>
          <w:p>
            <w:pPr>
              <w:jc w:val="right"/>
              <w:ind w:right="1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jc w:val="right"/>
              <w:ind w:right="131"/>
              <w:spacing w:after="0" w:line="113" w:lineRule="exact"/>
              <w:rPr>
                <w:sz w:val="20"/>
                <w:szCs w:val="20"/>
                <w:color w:val="auto"/>
              </w:rPr>
            </w:pPr>
            <w:r>
              <w:rPr>
                <w:rFonts w:ascii="Arial" w:cs="Arial" w:eastAsia="Arial" w:hAnsi="Arial"/>
                <w:sz w:val="12"/>
                <w:szCs w:val="12"/>
                <w:b w:val="1"/>
                <w:bCs w:val="1"/>
                <w:color w:val="auto"/>
              </w:rPr>
              <w:t>Paid-in</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gridSpan w:val="2"/>
          </w:tcPr>
          <w:p>
            <w:pPr>
              <w:ind w:left="20"/>
              <w:spacing w:after="0" w:line="113" w:lineRule="exact"/>
              <w:rPr>
                <w:sz w:val="20"/>
                <w:szCs w:val="20"/>
                <w:color w:val="auto"/>
              </w:rPr>
            </w:pPr>
            <w:r>
              <w:rPr>
                <w:rFonts w:ascii="Arial" w:cs="Arial" w:eastAsia="Arial" w:hAnsi="Arial"/>
                <w:sz w:val="12"/>
                <w:szCs w:val="12"/>
                <w:b w:val="1"/>
                <w:bCs w:val="1"/>
                <w:color w:val="auto"/>
              </w:rPr>
              <w:t>Other Comp</w:t>
            </w:r>
          </w:p>
        </w:tc>
        <w:tc>
          <w:tcPr>
            <w:tcW w:w="660" w:type="dxa"/>
            <w:vAlign w:val="bottom"/>
            <w:vMerge w:val="restart"/>
          </w:tcPr>
          <w:p>
            <w:pPr>
              <w:jc w:val="right"/>
              <w:ind w:right="7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vMerge w:val="restart"/>
          </w:tcPr>
          <w:p>
            <w:pPr>
              <w:jc w:val="right"/>
              <w:ind w:right="229"/>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jc w:val="center"/>
              <w:ind w:right="31"/>
              <w:spacing w:after="0" w:line="113" w:lineRule="exact"/>
              <w:rPr>
                <w:sz w:val="20"/>
                <w:szCs w:val="20"/>
                <w:color w:val="auto"/>
              </w:rPr>
            </w:pPr>
            <w:r>
              <w:rPr>
                <w:rFonts w:ascii="Arial" w:cs="Arial" w:eastAsia="Arial" w:hAnsi="Arial"/>
                <w:sz w:val="12"/>
                <w:szCs w:val="12"/>
                <w:b w:val="1"/>
                <w:bCs w:val="1"/>
                <w:color w:val="auto"/>
                <w:w w:val="90"/>
              </w:rPr>
              <w:t>controlling</w:t>
            </w: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1"/>
        </w:trPr>
        <w:tc>
          <w:tcPr>
            <w:tcW w:w="398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ind w:right="131"/>
              <w:spacing w:after="0"/>
              <w:rPr>
                <w:sz w:val="20"/>
                <w:szCs w:val="20"/>
                <w:color w:val="auto"/>
              </w:rPr>
            </w:pPr>
            <w:r>
              <w:rPr>
                <w:rFonts w:ascii="Arial" w:cs="Arial" w:eastAsia="Arial" w:hAnsi="Arial"/>
                <w:sz w:val="12"/>
                <w:szCs w:val="12"/>
                <w:b w:val="1"/>
                <w:bCs w:val="1"/>
                <w:color w:val="auto"/>
              </w:rPr>
              <w:t>Capital</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ind w:right="110"/>
              <w:spacing w:after="0"/>
              <w:rPr>
                <w:sz w:val="20"/>
                <w:szCs w:val="20"/>
                <w:color w:val="auto"/>
              </w:rPr>
            </w:pPr>
            <w:r>
              <w:rPr>
                <w:rFonts w:ascii="Arial" w:cs="Arial" w:eastAsia="Arial" w:hAnsi="Arial"/>
                <w:sz w:val="12"/>
                <w:szCs w:val="12"/>
                <w:b w:val="1"/>
                <w:bCs w:val="1"/>
                <w:color w:val="auto"/>
                <w:w w:val="93"/>
              </w:rPr>
              <w:t>Earnings</w:t>
            </w:r>
          </w:p>
        </w:tc>
        <w:tc>
          <w:tcPr>
            <w:tcW w:w="100" w:type="dxa"/>
            <w:vAlign w:val="bottom"/>
          </w:tcPr>
          <w:p>
            <w:pPr>
              <w:spacing w:after="0"/>
              <w:rPr>
                <w:sz w:val="14"/>
                <w:szCs w:val="14"/>
                <w:color w:val="auto"/>
              </w:rPr>
            </w:pPr>
          </w:p>
        </w:tc>
        <w:tc>
          <w:tcPr>
            <w:tcW w:w="1000" w:type="dxa"/>
            <w:vAlign w:val="bottom"/>
            <w:gridSpan w:val="3"/>
          </w:tcPr>
          <w:p>
            <w:pPr>
              <w:ind w:left="20"/>
              <w:spacing w:after="0"/>
              <w:rPr>
                <w:sz w:val="20"/>
                <w:szCs w:val="20"/>
                <w:color w:val="auto"/>
              </w:rPr>
            </w:pPr>
            <w:r>
              <w:rPr>
                <w:rFonts w:ascii="Arial" w:cs="Arial" w:eastAsia="Arial" w:hAnsi="Arial"/>
                <w:sz w:val="12"/>
                <w:szCs w:val="12"/>
                <w:b w:val="1"/>
                <w:bCs w:val="1"/>
                <w:color w:val="auto"/>
              </w:rPr>
              <w:t>(Loss) Earnings</w:t>
            </w:r>
          </w:p>
        </w:tc>
        <w:tc>
          <w:tcPr>
            <w:tcW w:w="6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center"/>
              <w:ind w:right="51"/>
              <w:spacing w:after="0"/>
              <w:rPr>
                <w:sz w:val="20"/>
                <w:szCs w:val="20"/>
                <w:color w:val="auto"/>
              </w:rPr>
            </w:pPr>
            <w:r>
              <w:rPr>
                <w:rFonts w:ascii="Arial" w:cs="Arial" w:eastAsia="Arial" w:hAnsi="Arial"/>
                <w:sz w:val="12"/>
                <w:szCs w:val="12"/>
                <w:b w:val="1"/>
                <w:bCs w:val="1"/>
                <w:color w:val="auto"/>
                <w:w w:val="91"/>
              </w:rPr>
              <w:t>Interests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ind w:right="150"/>
              <w:spacing w:after="0"/>
              <w:rPr>
                <w:sz w:val="20"/>
                <w:szCs w:val="20"/>
                <w:color w:val="auto"/>
              </w:rPr>
            </w:pPr>
            <w:r>
              <w:rPr>
                <w:rFonts w:ascii="Arial" w:cs="Arial" w:eastAsia="Arial" w:hAnsi="Arial"/>
                <w:sz w:val="12"/>
                <w:szCs w:val="12"/>
                <w:b w:val="1"/>
                <w:bCs w:val="1"/>
                <w:color w:val="auto"/>
              </w:rPr>
              <w:t>Equity</w:t>
            </w:r>
          </w:p>
        </w:tc>
        <w:tc>
          <w:tcPr>
            <w:tcW w:w="0" w:type="dxa"/>
            <w:vAlign w:val="bottom"/>
          </w:tcPr>
          <w:p>
            <w:pPr>
              <w:spacing w:after="0"/>
              <w:rPr>
                <w:sz w:val="1"/>
                <w:szCs w:val="1"/>
                <w:color w:val="auto"/>
              </w:rPr>
            </w:pPr>
          </w:p>
        </w:tc>
      </w:tr>
      <w:tr>
        <w:trPr>
          <w:trHeight w:val="24"/>
        </w:trPr>
        <w:tc>
          <w:tcPr>
            <w:tcW w:w="398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39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3980" w:type="dxa"/>
            <w:vAlign w:val="bottom"/>
            <w:shd w:val="clear" w:color="auto" w:fill="CCEEFF"/>
          </w:tcPr>
          <w:p>
            <w:pPr>
              <w:ind w:left="20"/>
              <w:spacing w:after="0"/>
              <w:rPr>
                <w:sz w:val="20"/>
                <w:szCs w:val="20"/>
                <w:color w:val="auto"/>
              </w:rPr>
            </w:pPr>
            <w:r>
              <w:rPr>
                <w:rFonts w:ascii="Arial" w:cs="Arial" w:eastAsia="Arial" w:hAnsi="Arial"/>
                <w:sz w:val="12"/>
                <w:szCs w:val="12"/>
                <w:color w:val="auto"/>
              </w:rPr>
              <w:t>Balance, December 31, 2021</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1,888.3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1,642.8</w:t>
            </w:r>
          </w:p>
        </w:tc>
        <w:tc>
          <w:tcPr>
            <w:tcW w:w="1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(188.6)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3,341.1</w:t>
            </w:r>
          </w:p>
        </w:tc>
        <w:tc>
          <w:tcPr>
            <w:tcW w:w="0" w:type="dxa"/>
            <w:vAlign w:val="bottom"/>
          </w:tcPr>
          <w:p>
            <w:pPr>
              <w:spacing w:after="0"/>
              <w:rPr>
                <w:sz w:val="1"/>
                <w:szCs w:val="1"/>
                <w:color w:val="auto"/>
              </w:rPr>
            </w:pPr>
          </w:p>
        </w:tc>
      </w:tr>
      <w:tr>
        <w:trPr>
          <w:trHeight w:val="132"/>
        </w:trPr>
        <w:tc>
          <w:tcPr>
            <w:tcW w:w="3980" w:type="dxa"/>
            <w:vAlign w:val="bottom"/>
          </w:tcPr>
          <w:p>
            <w:pPr>
              <w:ind w:left="140"/>
              <w:spacing w:after="0" w:line="132" w:lineRule="exact"/>
              <w:rPr>
                <w:sz w:val="20"/>
                <w:szCs w:val="20"/>
                <w:color w:val="auto"/>
              </w:rPr>
            </w:pPr>
            <w:r>
              <w:rPr>
                <w:rFonts w:ascii="Arial" w:cs="Arial" w:eastAsia="Arial" w:hAnsi="Arial"/>
                <w:sz w:val="12"/>
                <w:szCs w:val="12"/>
                <w:color w:val="auto"/>
              </w:rPr>
              <w:t>Other comprehensive earnings — unrealized losses of investments in</w:t>
            </w: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vMerge w:val="restart"/>
          </w:tcPr>
          <w:p>
            <w:pPr>
              <w:ind w:lef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vMerge w:val="restart"/>
          </w:tcPr>
          <w:p>
            <w:pPr>
              <w:jc w:val="right"/>
              <w:ind w:right="1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(7.6)</w:t>
            </w:r>
          </w:p>
        </w:tc>
        <w:tc>
          <w:tcPr>
            <w:tcW w:w="12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r>
        <w:trPr>
          <w:trHeight w:val="165"/>
        </w:trPr>
        <w:tc>
          <w:tcPr>
            <w:tcW w:w="3980" w:type="dxa"/>
            <w:vAlign w:val="bottom"/>
          </w:tcPr>
          <w:p>
            <w:pPr>
              <w:ind w:left="140"/>
              <w:spacing w:after="0"/>
              <w:rPr>
                <w:sz w:val="20"/>
                <w:szCs w:val="20"/>
                <w:color w:val="auto"/>
              </w:rPr>
            </w:pPr>
            <w:r>
              <w:rPr>
                <w:rFonts w:ascii="Arial" w:cs="Arial" w:eastAsia="Arial" w:hAnsi="Arial"/>
                <w:sz w:val="12"/>
                <w:szCs w:val="12"/>
                <w:color w:val="auto"/>
              </w:rPr>
              <w:t>unconsolidated affiliates, net of tax</w:t>
            </w:r>
          </w:p>
        </w:tc>
        <w:tc>
          <w:tcPr>
            <w:tcW w:w="5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3980" w:type="dxa"/>
            <w:vAlign w:val="bottom"/>
            <w:shd w:val="clear" w:color="auto" w:fill="CCEEFF"/>
          </w:tcPr>
          <w:p>
            <w:pPr>
              <w:ind w:left="140"/>
              <w:spacing w:after="0"/>
              <w:rPr>
                <w:sz w:val="20"/>
                <w:szCs w:val="20"/>
                <w:color w:val="auto"/>
              </w:rPr>
            </w:pPr>
            <w:r>
              <w:rPr>
                <w:rFonts w:ascii="Arial" w:cs="Arial" w:eastAsia="Arial" w:hAnsi="Arial"/>
                <w:sz w:val="12"/>
                <w:szCs w:val="12"/>
                <w:color w:val="auto"/>
              </w:rPr>
              <w:t>Treasury stock repurchases</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(138.6)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(138.6)</w:t>
            </w:r>
          </w:p>
        </w:tc>
        <w:tc>
          <w:tcPr>
            <w:tcW w:w="0" w:type="dxa"/>
            <w:vAlign w:val="bottom"/>
          </w:tcPr>
          <w:p>
            <w:pPr>
              <w:spacing w:after="0"/>
              <w:rPr>
                <w:sz w:val="1"/>
                <w:szCs w:val="1"/>
                <w:color w:val="auto"/>
              </w:rPr>
            </w:pPr>
          </w:p>
        </w:tc>
      </w:tr>
      <w:tr>
        <w:trPr>
          <w:trHeight w:val="183"/>
        </w:trPr>
        <w:tc>
          <w:tcPr>
            <w:tcW w:w="3980" w:type="dxa"/>
            <w:vAlign w:val="bottom"/>
          </w:tcPr>
          <w:p>
            <w:pPr>
              <w:ind w:left="140"/>
              <w:spacing w:after="0"/>
              <w:rPr>
                <w:sz w:val="20"/>
                <w:szCs w:val="20"/>
                <w:color w:val="auto"/>
              </w:rPr>
            </w:pPr>
            <w:r>
              <w:rPr>
                <w:rFonts w:ascii="Arial" w:cs="Arial" w:eastAsia="Arial" w:hAnsi="Arial"/>
                <w:sz w:val="12"/>
                <w:szCs w:val="12"/>
                <w:color w:val="auto"/>
              </w:rPr>
              <w:t>Stock-based compensation, consolidated subsidiaries</w:t>
            </w: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ind w:lef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0.7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202"/>
        </w:trPr>
        <w:tc>
          <w:tcPr>
            <w:tcW w:w="3980" w:type="dxa"/>
            <w:vAlign w:val="bottom"/>
            <w:shd w:val="clear" w:color="auto" w:fill="CCEEFF"/>
          </w:tcPr>
          <w:p>
            <w:pPr>
              <w:ind w:left="140"/>
              <w:spacing w:after="0"/>
              <w:rPr>
                <w:sz w:val="20"/>
                <w:szCs w:val="20"/>
                <w:color w:val="auto"/>
              </w:rPr>
            </w:pPr>
            <w:r>
              <w:rPr>
                <w:rFonts w:ascii="Arial" w:cs="Arial" w:eastAsia="Arial" w:hAnsi="Arial"/>
                <w:sz w:val="12"/>
                <w:szCs w:val="12"/>
                <w:color w:val="auto"/>
              </w:rPr>
              <w:t>Issuance of restricted stock</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980" w:type="dxa"/>
            <w:vAlign w:val="bottom"/>
          </w:tcPr>
          <w:p>
            <w:pPr>
              <w:ind w:left="140"/>
              <w:spacing w:after="0"/>
              <w:rPr>
                <w:sz w:val="20"/>
                <w:szCs w:val="20"/>
                <w:color w:val="auto"/>
              </w:rPr>
            </w:pPr>
            <w:r>
              <w:rPr>
                <w:rFonts w:ascii="Arial" w:cs="Arial" w:eastAsia="Arial" w:hAnsi="Arial"/>
                <w:sz w:val="12"/>
                <w:szCs w:val="12"/>
                <w:color w:val="auto"/>
              </w:rPr>
              <w:t>Stock-based compensation, unconsolidated affiliates</w:t>
            </w: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ind w:lef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24.5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24.5</w:t>
            </w:r>
          </w:p>
        </w:tc>
        <w:tc>
          <w:tcPr>
            <w:tcW w:w="0" w:type="dxa"/>
            <w:vAlign w:val="bottom"/>
          </w:tcPr>
          <w:p>
            <w:pPr>
              <w:spacing w:after="0"/>
              <w:rPr>
                <w:sz w:val="1"/>
                <w:szCs w:val="1"/>
                <w:color w:val="auto"/>
              </w:rPr>
            </w:pPr>
          </w:p>
        </w:tc>
      </w:tr>
      <w:tr>
        <w:trPr>
          <w:trHeight w:val="192"/>
        </w:trPr>
        <w:tc>
          <w:tcPr>
            <w:tcW w:w="39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2"/>
                <w:szCs w:val="12"/>
                <w:color w:val="auto"/>
              </w:rPr>
              <w:t>Net loss</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(510.9)</w:t>
            </w: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(514.0)</w:t>
            </w:r>
          </w:p>
        </w:tc>
        <w:tc>
          <w:tcPr>
            <w:tcW w:w="0" w:type="dxa"/>
            <w:vAlign w:val="bottom"/>
          </w:tcPr>
          <w:p>
            <w:pPr>
              <w:spacing w:after="0"/>
              <w:rPr>
                <w:sz w:val="1"/>
                <w:szCs w:val="1"/>
                <w:color w:val="auto"/>
              </w:rPr>
            </w:pPr>
          </w:p>
        </w:tc>
      </w:tr>
      <w:tr>
        <w:trPr>
          <w:trHeight w:val="195"/>
        </w:trPr>
        <w:tc>
          <w:tcPr>
            <w:tcW w:w="3980" w:type="dxa"/>
            <w:vAlign w:val="bottom"/>
          </w:tcPr>
          <w:p>
            <w:pPr>
              <w:ind w:left="20"/>
              <w:spacing w:after="0"/>
              <w:rPr>
                <w:sz w:val="20"/>
                <w:szCs w:val="20"/>
                <w:color w:val="auto"/>
              </w:rPr>
            </w:pPr>
            <w:r>
              <w:rPr>
                <w:rFonts w:ascii="Arial" w:cs="Arial" w:eastAsia="Arial" w:hAnsi="Arial"/>
                <w:sz w:val="12"/>
                <w:szCs w:val="12"/>
                <w:color w:val="auto"/>
              </w:rPr>
              <w:t>Balance, June 30, 2022</w:t>
            </w:r>
          </w:p>
        </w:tc>
        <w:tc>
          <w:tcPr>
            <w:tcW w:w="520" w:type="dxa"/>
            <w:vAlign w:val="bottom"/>
          </w:tcPr>
          <w:p>
            <w:pPr>
              <w:jc w:val="right"/>
              <w:spacing w:after="0"/>
              <w:rPr>
                <w:sz w:val="20"/>
                <w:szCs w:val="20"/>
                <w:color w:val="auto"/>
              </w:rPr>
            </w:pPr>
            <w:r>
              <w:rPr>
                <w:rFonts w:ascii="Arial" w:cs="Arial" w:eastAsia="Arial" w:hAnsi="Arial"/>
                <w:sz w:val="14"/>
                <w:szCs w:val="14"/>
                <w:color w:val="auto"/>
              </w:rPr>
              <w:t>92.5</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ind w:left="120"/>
              <w:spacing w:after="0"/>
              <w:rPr>
                <w:sz w:val="20"/>
                <w:szCs w:val="20"/>
                <w:color w:val="auto"/>
              </w:rPr>
            </w:pPr>
            <w:r>
              <w:rPr>
                <w:rFonts w:ascii="Arial" w:cs="Arial" w:eastAsia="Arial" w:hAnsi="Arial"/>
                <w:sz w:val="14"/>
                <w:szCs w:val="14"/>
                <w:color w:val="auto"/>
              </w:rPr>
              <w:t>—</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1,913.5</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10"/>
              <w:spacing w:after="0"/>
              <w:rPr>
                <w:sz w:val="20"/>
                <w:szCs w:val="20"/>
                <w:color w:val="auto"/>
              </w:rPr>
            </w:pPr>
            <w:r>
              <w:rPr>
                <w:rFonts w:ascii="Arial" w:cs="Arial" w:eastAsia="Arial" w:hAnsi="Arial"/>
                <w:sz w:val="14"/>
                <w:szCs w:val="14"/>
                <w:color w:val="auto"/>
              </w:rPr>
              <w:t>1,131.9</w:t>
            </w:r>
          </w:p>
        </w:tc>
        <w:tc>
          <w:tcPr>
            <w:tcW w:w="180" w:type="dxa"/>
            <w:vAlign w:val="bottom"/>
            <w:gridSpan w:val="2"/>
          </w:tcPr>
          <w:p>
            <w:pPr>
              <w:ind w:left="100"/>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(14.8)</w:t>
            </w: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12.4</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w w:val="99"/>
              </w:rPr>
              <w:t>(327.2)</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2.7</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2,706.1</w:t>
            </w:r>
          </w:p>
        </w:tc>
        <w:tc>
          <w:tcPr>
            <w:tcW w:w="0" w:type="dxa"/>
            <w:vAlign w:val="bottom"/>
          </w:tcPr>
          <w:p>
            <w:pPr>
              <w:spacing w:after="0"/>
              <w:rPr>
                <w:sz w:val="1"/>
                <w:szCs w:val="1"/>
                <w:color w:val="auto"/>
              </w:rPr>
            </w:pPr>
          </w:p>
        </w:tc>
      </w:tr>
      <w:tr>
        <w:trPr>
          <w:trHeight w:val="20"/>
        </w:trPr>
        <w:tc>
          <w:tcPr>
            <w:tcW w:w="3980" w:type="dxa"/>
            <w:vAlign w:val="bottom"/>
            <w:tcBorders>
              <w:bottom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39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980" w:type="dxa"/>
            <w:vAlign w:val="bottom"/>
          </w:tcPr>
          <w:p>
            <w:pPr>
              <w:ind w:left="20"/>
              <w:spacing w:after="0"/>
              <w:rPr>
                <w:sz w:val="20"/>
                <w:szCs w:val="20"/>
                <w:color w:val="auto"/>
              </w:rPr>
            </w:pPr>
            <w:r>
              <w:rPr>
                <w:rFonts w:ascii="Arial" w:cs="Arial" w:eastAsia="Arial" w:hAnsi="Arial"/>
                <w:sz w:val="12"/>
                <w:szCs w:val="12"/>
                <w:color w:val="auto"/>
              </w:rPr>
              <w:t>Balance, December 31, 2022</w:t>
            </w:r>
          </w:p>
        </w:tc>
        <w:tc>
          <w:tcPr>
            <w:tcW w:w="520" w:type="dxa"/>
            <w:vAlign w:val="bottom"/>
          </w:tcPr>
          <w:p>
            <w:pPr>
              <w:jc w:val="right"/>
              <w:spacing w:after="0"/>
              <w:rPr>
                <w:sz w:val="20"/>
                <w:szCs w:val="20"/>
                <w:color w:val="auto"/>
              </w:rPr>
            </w:pPr>
            <w:r>
              <w:rPr>
                <w:rFonts w:ascii="Arial" w:cs="Arial" w:eastAsia="Arial" w:hAnsi="Arial"/>
                <w:sz w:val="14"/>
                <w:szCs w:val="14"/>
                <w:color w:val="auto"/>
              </w:rPr>
              <w:t>92.5</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ind w:left="120"/>
              <w:spacing w:after="0"/>
              <w:rPr>
                <w:sz w:val="20"/>
                <w:szCs w:val="20"/>
                <w:color w:val="auto"/>
              </w:rPr>
            </w:pPr>
            <w:r>
              <w:rPr>
                <w:rFonts w:ascii="Arial" w:cs="Arial" w:eastAsia="Arial" w:hAnsi="Arial"/>
                <w:sz w:val="14"/>
                <w:szCs w:val="14"/>
                <w:color w:val="auto"/>
              </w:rPr>
              <w:t>—</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1,936.2</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10"/>
              <w:spacing w:after="0"/>
              <w:rPr>
                <w:sz w:val="20"/>
                <w:szCs w:val="20"/>
                <w:color w:val="auto"/>
              </w:rPr>
            </w:pPr>
            <w:r>
              <w:rPr>
                <w:rFonts w:ascii="Arial" w:cs="Arial" w:eastAsia="Arial" w:hAnsi="Arial"/>
                <w:sz w:val="14"/>
                <w:szCs w:val="14"/>
                <w:color w:val="auto"/>
              </w:rPr>
              <w:t>1,214.7</w:t>
            </w:r>
          </w:p>
        </w:tc>
        <w:tc>
          <w:tcPr>
            <w:tcW w:w="180" w:type="dxa"/>
            <w:vAlign w:val="bottom"/>
            <w:gridSpan w:val="2"/>
          </w:tcPr>
          <w:p>
            <w:pPr>
              <w:ind w:left="100"/>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(18.1)</w:t>
            </w: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16.3</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w w:val="99"/>
              </w:rPr>
              <w:t>(414.0)</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(3.9)</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2,714.9</w:t>
            </w:r>
          </w:p>
        </w:tc>
        <w:tc>
          <w:tcPr>
            <w:tcW w:w="0" w:type="dxa"/>
            <w:vAlign w:val="bottom"/>
          </w:tcPr>
          <w:p>
            <w:pPr>
              <w:spacing w:after="0"/>
              <w:rPr>
                <w:sz w:val="1"/>
                <w:szCs w:val="1"/>
                <w:color w:val="auto"/>
              </w:rPr>
            </w:pPr>
          </w:p>
        </w:tc>
      </w:tr>
      <w:tr>
        <w:trPr>
          <w:trHeight w:val="129"/>
        </w:trPr>
        <w:tc>
          <w:tcPr>
            <w:tcW w:w="3980" w:type="dxa"/>
            <w:vAlign w:val="bottom"/>
            <w:shd w:val="clear" w:color="auto" w:fill="CCEEFF"/>
          </w:tcPr>
          <w:p>
            <w:pPr>
              <w:ind w:left="140"/>
              <w:spacing w:after="0" w:line="129" w:lineRule="exact"/>
              <w:rPr>
                <w:sz w:val="20"/>
                <w:szCs w:val="20"/>
                <w:color w:val="auto"/>
              </w:rPr>
            </w:pPr>
            <w:r>
              <w:rPr>
                <w:rFonts w:ascii="Arial" w:cs="Arial" w:eastAsia="Arial" w:hAnsi="Arial"/>
                <w:sz w:val="12"/>
                <w:szCs w:val="12"/>
                <w:color w:val="auto"/>
              </w:rPr>
              <w:t>Other comprehensive earnings — unrealized losses of investments in</w:t>
            </w: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20" w:type="dxa"/>
            <w:vAlign w:val="bottom"/>
            <w:vMerge w:val="restart"/>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12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72"/>
        </w:trPr>
        <w:tc>
          <w:tcPr>
            <w:tcW w:w="3980" w:type="dxa"/>
            <w:vAlign w:val="bottom"/>
            <w:shd w:val="clear" w:color="auto" w:fill="CCEEFF"/>
          </w:tcPr>
          <w:p>
            <w:pPr>
              <w:ind w:left="140"/>
              <w:spacing w:after="0"/>
              <w:rPr>
                <w:sz w:val="20"/>
                <w:szCs w:val="20"/>
                <w:color w:val="auto"/>
              </w:rPr>
            </w:pPr>
            <w:r>
              <w:rPr>
                <w:rFonts w:ascii="Arial" w:cs="Arial" w:eastAsia="Arial" w:hAnsi="Arial"/>
                <w:sz w:val="12"/>
                <w:szCs w:val="12"/>
                <w:color w:val="auto"/>
              </w:rPr>
              <w:t>unconsolidated affiliates, net of tax</w:t>
            </w:r>
          </w:p>
        </w:tc>
        <w:tc>
          <w:tcPr>
            <w:tcW w:w="5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980" w:type="dxa"/>
            <w:vAlign w:val="bottom"/>
          </w:tcPr>
          <w:p>
            <w:pPr>
              <w:ind w:left="140"/>
              <w:spacing w:after="0"/>
              <w:rPr>
                <w:sz w:val="20"/>
                <w:szCs w:val="20"/>
                <w:color w:val="auto"/>
              </w:rPr>
            </w:pPr>
            <w:r>
              <w:rPr>
                <w:rFonts w:ascii="Arial" w:cs="Arial" w:eastAsia="Arial" w:hAnsi="Arial"/>
                <w:sz w:val="12"/>
                <w:szCs w:val="12"/>
                <w:color w:val="auto"/>
              </w:rPr>
              <w:t>Treasury stock repurchases</w:t>
            </w: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ind w:lef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(60.4)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(60.4)</w:t>
            </w:r>
          </w:p>
        </w:tc>
        <w:tc>
          <w:tcPr>
            <w:tcW w:w="0" w:type="dxa"/>
            <w:vAlign w:val="bottom"/>
          </w:tcPr>
          <w:p>
            <w:pPr>
              <w:spacing w:after="0"/>
              <w:rPr>
                <w:sz w:val="1"/>
                <w:szCs w:val="1"/>
                <w:color w:val="auto"/>
              </w:rPr>
            </w:pPr>
          </w:p>
        </w:tc>
      </w:tr>
      <w:tr>
        <w:trPr>
          <w:trHeight w:val="208"/>
        </w:trPr>
        <w:tc>
          <w:tcPr>
            <w:tcW w:w="3980" w:type="dxa"/>
            <w:vAlign w:val="bottom"/>
            <w:shd w:val="clear" w:color="auto" w:fill="CCEEFF"/>
          </w:tcPr>
          <w:p>
            <w:pPr>
              <w:ind w:left="140"/>
              <w:spacing w:after="0"/>
              <w:rPr>
                <w:sz w:val="20"/>
                <w:szCs w:val="20"/>
                <w:color w:val="auto"/>
              </w:rPr>
            </w:pPr>
            <w:r>
              <w:rPr>
                <w:rFonts w:ascii="Arial" w:cs="Arial" w:eastAsia="Arial" w:hAnsi="Arial"/>
                <w:sz w:val="12"/>
                <w:szCs w:val="12"/>
                <w:color w:val="auto"/>
              </w:rPr>
              <w:t>Issuance of restricted stock</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3980" w:type="dxa"/>
            <w:vAlign w:val="bottom"/>
          </w:tcPr>
          <w:p>
            <w:pPr>
              <w:ind w:left="140"/>
              <w:spacing w:after="0"/>
              <w:rPr>
                <w:sz w:val="20"/>
                <w:szCs w:val="20"/>
                <w:color w:val="auto"/>
              </w:rPr>
            </w:pPr>
            <w:r>
              <w:rPr>
                <w:rFonts w:ascii="Arial" w:cs="Arial" w:eastAsia="Arial" w:hAnsi="Arial"/>
                <w:sz w:val="12"/>
                <w:szCs w:val="12"/>
                <w:color w:val="auto"/>
              </w:rPr>
              <w:t>Payment for shares withheld for taxes and in treasury</w:t>
            </w: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ind w:lef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202"/>
        </w:trPr>
        <w:tc>
          <w:tcPr>
            <w:tcW w:w="3980" w:type="dxa"/>
            <w:vAlign w:val="bottom"/>
            <w:shd w:val="clear" w:color="auto" w:fill="CCEEFF"/>
          </w:tcPr>
          <w:p>
            <w:pPr>
              <w:ind w:left="140"/>
              <w:spacing w:after="0"/>
              <w:rPr>
                <w:sz w:val="20"/>
                <w:szCs w:val="20"/>
                <w:color w:val="auto"/>
              </w:rPr>
            </w:pPr>
            <w:r>
              <w:rPr>
                <w:rFonts w:ascii="Arial" w:cs="Arial" w:eastAsia="Arial" w:hAnsi="Arial"/>
                <w:sz w:val="12"/>
                <w:szCs w:val="12"/>
                <w:color w:val="auto"/>
              </w:rPr>
              <w:t>Stock-based compensation, consolidated subsidiaries</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89"/>
        </w:trPr>
        <w:tc>
          <w:tcPr>
            <w:tcW w:w="3980" w:type="dxa"/>
            <w:vAlign w:val="bottom"/>
          </w:tcPr>
          <w:p>
            <w:pPr>
              <w:ind w:left="140"/>
              <w:spacing w:after="0"/>
              <w:rPr>
                <w:sz w:val="20"/>
                <w:szCs w:val="20"/>
                <w:color w:val="auto"/>
              </w:rPr>
            </w:pPr>
            <w:r>
              <w:rPr>
                <w:rFonts w:ascii="Arial" w:cs="Arial" w:eastAsia="Arial" w:hAnsi="Arial"/>
                <w:sz w:val="12"/>
                <w:szCs w:val="12"/>
                <w:color w:val="auto"/>
              </w:rPr>
              <w:t>Stock-based compensation, unconsolidated affiliates</w:t>
            </w: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ind w:lef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19.3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19.3</w:t>
            </w:r>
          </w:p>
        </w:tc>
        <w:tc>
          <w:tcPr>
            <w:tcW w:w="0" w:type="dxa"/>
            <w:vAlign w:val="bottom"/>
          </w:tcPr>
          <w:p>
            <w:pPr>
              <w:spacing w:after="0"/>
              <w:rPr>
                <w:sz w:val="1"/>
                <w:szCs w:val="1"/>
                <w:color w:val="auto"/>
              </w:rPr>
            </w:pPr>
          </w:p>
        </w:tc>
      </w:tr>
      <w:tr>
        <w:trPr>
          <w:trHeight w:val="195"/>
        </w:trPr>
        <w:tc>
          <w:tcPr>
            <w:tcW w:w="3980" w:type="dxa"/>
            <w:vAlign w:val="bottom"/>
            <w:shd w:val="clear" w:color="auto" w:fill="CCEEFF"/>
          </w:tcPr>
          <w:p>
            <w:pPr>
              <w:ind w:left="140"/>
              <w:spacing w:after="0"/>
              <w:rPr>
                <w:sz w:val="20"/>
                <w:szCs w:val="20"/>
                <w:color w:val="auto"/>
              </w:rPr>
            </w:pPr>
            <w:r>
              <w:rPr>
                <w:rFonts w:ascii="Arial" w:cs="Arial" w:eastAsia="Arial" w:hAnsi="Arial"/>
                <w:sz w:val="12"/>
                <w:szCs w:val="12"/>
                <w:color w:val="auto"/>
              </w:rPr>
              <w:t>Subsidiary dividends paid to noncontrolling interests</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92"/>
        </w:trPr>
        <w:tc>
          <w:tcPr>
            <w:tcW w:w="3980" w:type="dxa"/>
            <w:vAlign w:val="bottom"/>
          </w:tcPr>
          <w:p>
            <w:pPr>
              <w:ind w:left="140"/>
              <w:spacing w:after="0"/>
              <w:rPr>
                <w:sz w:val="20"/>
                <w:szCs w:val="20"/>
                <w:color w:val="auto"/>
              </w:rPr>
            </w:pPr>
            <w:r>
              <w:rPr>
                <w:rFonts w:ascii="Arial" w:cs="Arial" w:eastAsia="Arial" w:hAnsi="Arial"/>
                <w:sz w:val="12"/>
                <w:szCs w:val="12"/>
                <w:color w:val="auto"/>
              </w:rPr>
              <w:t>Net loss</w:t>
            </w: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ind w:lef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(91.3)</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(97.3)</w:t>
            </w:r>
          </w:p>
        </w:tc>
        <w:tc>
          <w:tcPr>
            <w:tcW w:w="0" w:type="dxa"/>
            <w:vAlign w:val="bottom"/>
          </w:tcPr>
          <w:p>
            <w:pPr>
              <w:spacing w:after="0"/>
              <w:rPr>
                <w:sz w:val="1"/>
                <w:szCs w:val="1"/>
                <w:color w:val="auto"/>
              </w:rPr>
            </w:pPr>
          </w:p>
        </w:tc>
      </w:tr>
      <w:tr>
        <w:trPr>
          <w:trHeight w:val="211"/>
        </w:trPr>
        <w:tc>
          <w:tcPr>
            <w:tcW w:w="3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Balance, June 30, 2023</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20" w:type="dxa"/>
            <w:vAlign w:val="bottom"/>
            <w:tcBorders>
              <w:top w:val="single" w:sz="8" w:color="auto"/>
              <w:bottom w:val="single" w:sz="8" w:color="auto"/>
            </w:tcBorders>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1,957.0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1,123.4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(13.9)</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9"/>
              </w:rPr>
              <w:t>(474.5)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2,582.0</w:t>
            </w:r>
          </w:p>
        </w:tc>
        <w:tc>
          <w:tcPr>
            <w:tcW w:w="0" w:type="dxa"/>
            <w:vAlign w:val="bottom"/>
          </w:tcPr>
          <w:p>
            <w:pPr>
              <w:spacing w:after="0"/>
              <w:rPr>
                <w:sz w:val="1"/>
                <w:szCs w:val="1"/>
                <w:color w:val="auto"/>
              </w:rPr>
            </w:pP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5"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(In millions)</w:t>
      </w:r>
    </w:p>
    <w:p>
      <w:pPr>
        <w:spacing w:after="0" w:line="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(Unaudited)</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460" w:type="dxa"/>
            <w:vAlign w:val="bottom"/>
          </w:tcPr>
          <w:p>
            <w:pPr>
              <w:spacing w:after="0"/>
              <w:rPr>
                <w:sz w:val="16"/>
                <w:szCs w:val="16"/>
                <w:color w:val="auto"/>
              </w:rPr>
            </w:pPr>
          </w:p>
        </w:tc>
        <w:tc>
          <w:tcPr>
            <w:tcW w:w="230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rPr>
              <w:t>Six months ended June 30,</w:t>
            </w:r>
          </w:p>
        </w:tc>
        <w:tc>
          <w:tcPr>
            <w:tcW w:w="480" w:type="dxa"/>
            <w:vAlign w:val="bottom"/>
          </w:tcPr>
          <w:p>
            <w:pPr>
              <w:spacing w:after="0"/>
              <w:rPr>
                <w:sz w:val="16"/>
                <w:szCs w:val="16"/>
                <w:color w:val="auto"/>
              </w:rPr>
            </w:pPr>
          </w:p>
        </w:tc>
      </w:tr>
      <w:tr>
        <w:trPr>
          <w:trHeight w:val="205"/>
        </w:trPr>
        <w:tc>
          <w:tcPr>
            <w:tcW w:w="84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480" w:type="dxa"/>
            <w:vAlign w:val="bottom"/>
          </w:tcPr>
          <w:p>
            <w:pPr>
              <w:spacing w:after="0"/>
              <w:rPr>
                <w:sz w:val="17"/>
                <w:szCs w:val="17"/>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2022</w:t>
            </w:r>
          </w:p>
        </w:tc>
        <w:tc>
          <w:tcPr>
            <w:tcW w:w="480" w:type="dxa"/>
            <w:vAlign w:val="bottom"/>
          </w:tcPr>
          <w:p>
            <w:pPr>
              <w:spacing w:after="0"/>
              <w:rPr>
                <w:sz w:val="17"/>
                <w:szCs w:val="17"/>
                <w:color w:val="auto"/>
              </w:rPr>
            </w:pPr>
          </w:p>
        </w:tc>
      </w:tr>
      <w:tr>
        <w:trPr>
          <w:trHeight w:val="185"/>
        </w:trPr>
        <w:tc>
          <w:tcPr>
            <w:tcW w:w="8460" w:type="dxa"/>
            <w:vAlign w:val="bottom"/>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r>
      <w:tr>
        <w:trPr>
          <w:trHeight w:val="199"/>
        </w:trPr>
        <w:tc>
          <w:tcPr>
            <w:tcW w:w="8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flows from operating activities:</w:t>
            </w:r>
          </w:p>
        </w:tc>
        <w:tc>
          <w:tcPr>
            <w:tcW w:w="8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r>
      <w:tr>
        <w:trPr>
          <w:trHeight w:val="189"/>
        </w:trPr>
        <w:tc>
          <w:tcPr>
            <w:tcW w:w="8460" w:type="dxa"/>
            <w:vAlign w:val="bottom"/>
          </w:tcPr>
          <w:p>
            <w:pPr>
              <w:ind w:left="220"/>
              <w:spacing w:after="0"/>
              <w:rPr>
                <w:sz w:val="20"/>
                <w:szCs w:val="20"/>
                <w:color w:val="auto"/>
              </w:rPr>
            </w:pPr>
            <w:r>
              <w:rPr>
                <w:rFonts w:ascii="Arial" w:cs="Arial" w:eastAsia="Arial" w:hAnsi="Arial"/>
                <w:sz w:val="14"/>
                <w:szCs w:val="14"/>
                <w:color w:val="auto"/>
              </w:rPr>
              <w:t>Net loss</w:t>
            </w:r>
          </w:p>
        </w:tc>
        <w:tc>
          <w:tcPr>
            <w:tcW w:w="820" w:type="dxa"/>
            <w:vAlign w:val="bottom"/>
          </w:tcPr>
          <w:p>
            <w:pPr>
              <w:jc w:val="right"/>
              <w:ind w:right="669"/>
              <w:spacing w:after="0"/>
              <w:rPr>
                <w:sz w:val="20"/>
                <w:szCs w:val="20"/>
                <w:color w:val="auto"/>
              </w:rPr>
            </w:pPr>
            <w:r>
              <w:rPr>
                <w:rFonts w:ascii="Arial" w:cs="Arial" w:eastAsia="Arial" w:hAnsi="Arial"/>
                <w:sz w:val="14"/>
                <w:szCs w:val="14"/>
                <w:color w:val="auto"/>
                <w:w w:val="76"/>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(97.3)</w:t>
            </w:r>
          </w:p>
        </w:tc>
        <w:tc>
          <w:tcPr>
            <w:tcW w:w="1000" w:type="dxa"/>
            <w:vAlign w:val="bottom"/>
            <w:gridSpan w:val="2"/>
          </w:tcPr>
          <w:p>
            <w:pPr>
              <w:jc w:val="right"/>
              <w:ind w:right="760"/>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w w:val="99"/>
              </w:rPr>
              <w:t>(514.0)</w:t>
            </w:r>
          </w:p>
        </w:tc>
      </w:tr>
      <w:tr>
        <w:trPr>
          <w:trHeight w:val="195"/>
        </w:trPr>
        <w:tc>
          <w:tcPr>
            <w:tcW w:w="84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8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r>
      <w:tr>
        <w:trPr>
          <w:trHeight w:val="189"/>
        </w:trPr>
        <w:tc>
          <w:tcPr>
            <w:tcW w:w="8460" w:type="dxa"/>
            <w:vAlign w:val="bottom"/>
          </w:tcPr>
          <w:p>
            <w:pPr>
              <w:ind w:left="440"/>
              <w:spacing w:after="0"/>
              <w:rPr>
                <w:sz w:val="20"/>
                <w:szCs w:val="20"/>
                <w:color w:val="auto"/>
              </w:rPr>
            </w:pPr>
            <w:r>
              <w:rPr>
                <w:rFonts w:ascii="Arial" w:cs="Arial" w:eastAsia="Arial" w:hAnsi="Arial"/>
                <w:sz w:val="14"/>
                <w:szCs w:val="14"/>
                <w:color w:val="auto"/>
              </w:rPr>
              <w:t>Depreciation and amortization</w:t>
            </w:r>
          </w:p>
        </w:tc>
        <w:tc>
          <w:tcPr>
            <w:tcW w:w="8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9.7</w:t>
            </w: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12.0</w:t>
            </w:r>
          </w:p>
        </w:tc>
      </w:tr>
      <w:tr>
        <w:trPr>
          <w:trHeight w:val="208"/>
        </w:trPr>
        <w:tc>
          <w:tcPr>
            <w:tcW w:w="8460" w:type="dxa"/>
            <w:vAlign w:val="bottom"/>
            <w:shd w:val="clear" w:color="auto" w:fill="CCEEFF"/>
          </w:tcPr>
          <w:p>
            <w:pPr>
              <w:ind w:left="440"/>
              <w:spacing w:after="0"/>
              <w:rPr>
                <w:sz w:val="20"/>
                <w:szCs w:val="20"/>
                <w:color w:val="auto"/>
              </w:rPr>
            </w:pPr>
            <w:r>
              <w:rPr>
                <w:rFonts w:ascii="Arial" w:cs="Arial" w:eastAsia="Arial" w:hAnsi="Arial"/>
                <w:sz w:val="14"/>
                <w:szCs w:val="14"/>
                <w:color w:val="auto"/>
              </w:rPr>
              <w:t>Equity in losses of unconsolidated affiliates</w:t>
            </w:r>
          </w:p>
        </w:tc>
        <w:tc>
          <w:tcPr>
            <w:tcW w:w="8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81.2</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76.1</w:t>
            </w:r>
          </w:p>
        </w:tc>
      </w:tr>
      <w:tr>
        <w:trPr>
          <w:trHeight w:val="183"/>
        </w:trPr>
        <w:tc>
          <w:tcPr>
            <w:tcW w:w="8460" w:type="dxa"/>
            <w:vAlign w:val="bottom"/>
          </w:tcPr>
          <w:p>
            <w:pPr>
              <w:ind w:left="440"/>
              <w:spacing w:after="0"/>
              <w:rPr>
                <w:sz w:val="20"/>
                <w:szCs w:val="20"/>
                <w:color w:val="auto"/>
              </w:rPr>
            </w:pPr>
            <w:r>
              <w:rPr>
                <w:rFonts w:ascii="Arial" w:cs="Arial" w:eastAsia="Arial" w:hAnsi="Arial"/>
                <w:sz w:val="14"/>
                <w:szCs w:val="14"/>
                <w:color w:val="auto"/>
              </w:rPr>
              <w:t>Distributions from investments in unconsolidated affiliates</w:t>
            </w:r>
          </w:p>
        </w:tc>
        <w:tc>
          <w:tcPr>
            <w:tcW w:w="8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0.2</w:t>
            </w: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14.7</w:t>
            </w:r>
          </w:p>
        </w:tc>
      </w:tr>
      <w:tr>
        <w:trPr>
          <w:trHeight w:val="202"/>
        </w:trPr>
        <w:tc>
          <w:tcPr>
            <w:tcW w:w="8460" w:type="dxa"/>
            <w:vAlign w:val="bottom"/>
            <w:shd w:val="clear" w:color="auto" w:fill="CCEEFF"/>
          </w:tcPr>
          <w:p>
            <w:pPr>
              <w:ind w:left="440"/>
              <w:spacing w:after="0"/>
              <w:rPr>
                <w:sz w:val="20"/>
                <w:szCs w:val="20"/>
                <w:color w:val="auto"/>
              </w:rPr>
            </w:pPr>
            <w:r>
              <w:rPr>
                <w:rFonts w:ascii="Arial" w:cs="Arial" w:eastAsia="Arial" w:hAnsi="Arial"/>
                <w:sz w:val="14"/>
                <w:szCs w:val="14"/>
                <w:color w:val="auto"/>
              </w:rPr>
              <w:t>Recognized (gains) losses and asset impairments, net</w:t>
            </w:r>
          </w:p>
        </w:tc>
        <w:tc>
          <w:tcPr>
            <w:tcW w:w="82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w:t>
            </w: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459.8</w:t>
            </w:r>
          </w:p>
        </w:tc>
      </w:tr>
      <w:tr>
        <w:trPr>
          <w:trHeight w:val="189"/>
        </w:trPr>
        <w:tc>
          <w:tcPr>
            <w:tcW w:w="8460" w:type="dxa"/>
            <w:vAlign w:val="bottom"/>
          </w:tcPr>
          <w:p>
            <w:pPr>
              <w:ind w:left="440"/>
              <w:spacing w:after="0"/>
              <w:rPr>
                <w:sz w:val="20"/>
                <w:szCs w:val="20"/>
                <w:color w:val="auto"/>
              </w:rPr>
            </w:pPr>
            <w:r>
              <w:rPr>
                <w:rFonts w:ascii="Arial" w:cs="Arial" w:eastAsia="Arial" w:hAnsi="Arial"/>
                <w:sz w:val="14"/>
                <w:szCs w:val="14"/>
                <w:color w:val="auto"/>
              </w:rPr>
              <w:t>Lease asset amortization</w:t>
            </w:r>
          </w:p>
        </w:tc>
        <w:tc>
          <w:tcPr>
            <w:tcW w:w="8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9.7</w:t>
            </w: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10.3</w:t>
            </w:r>
          </w:p>
        </w:tc>
      </w:tr>
      <w:tr>
        <w:trPr>
          <w:trHeight w:val="195"/>
        </w:trPr>
        <w:tc>
          <w:tcPr>
            <w:tcW w:w="8460" w:type="dxa"/>
            <w:vAlign w:val="bottom"/>
            <w:shd w:val="clear" w:color="auto" w:fill="CCEEFF"/>
          </w:tcPr>
          <w:p>
            <w:pPr>
              <w:ind w:left="440"/>
              <w:spacing w:after="0"/>
              <w:rPr>
                <w:sz w:val="20"/>
                <w:szCs w:val="20"/>
                <w:color w:val="auto"/>
              </w:rPr>
            </w:pPr>
            <w:r>
              <w:rPr>
                <w:rFonts w:ascii="Arial" w:cs="Arial" w:eastAsia="Arial" w:hAnsi="Arial"/>
                <w:sz w:val="14"/>
                <w:szCs w:val="14"/>
                <w:color w:val="auto"/>
              </w:rPr>
              <w:t>Stock-based compensation expense</w:t>
            </w:r>
          </w:p>
        </w:tc>
        <w:tc>
          <w:tcPr>
            <w:tcW w:w="82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w:t>
            </w:r>
          </w:p>
        </w:tc>
      </w:tr>
      <w:tr>
        <w:trPr>
          <w:trHeight w:val="189"/>
        </w:trPr>
        <w:tc>
          <w:tcPr>
            <w:tcW w:w="8460" w:type="dxa"/>
            <w:vAlign w:val="bottom"/>
          </w:tcPr>
          <w:p>
            <w:pPr>
              <w:ind w:left="440"/>
              <w:spacing w:after="0"/>
              <w:rPr>
                <w:sz w:val="20"/>
                <w:szCs w:val="20"/>
                <w:color w:val="auto"/>
              </w:rPr>
            </w:pPr>
            <w:r>
              <w:rPr>
                <w:rFonts w:ascii="Arial" w:cs="Arial" w:eastAsia="Arial" w:hAnsi="Arial"/>
                <w:sz w:val="14"/>
                <w:szCs w:val="14"/>
                <w:color w:val="auto"/>
              </w:rPr>
              <w:t>Non-cash carried interest expense</w:t>
            </w:r>
          </w:p>
        </w:tc>
        <w:tc>
          <w:tcPr>
            <w:tcW w:w="8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31.8</w:t>
            </w:r>
          </w:p>
        </w:tc>
      </w:tr>
      <w:tr>
        <w:trPr>
          <w:trHeight w:val="208"/>
        </w:trPr>
        <w:tc>
          <w:tcPr>
            <w:tcW w:w="84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Changes in assets and liabilities, net of effects from acquisitions:</w:t>
            </w:r>
          </w:p>
        </w:tc>
        <w:tc>
          <w:tcPr>
            <w:tcW w:w="8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r>
      <w:tr>
        <w:trPr>
          <w:trHeight w:val="183"/>
        </w:trPr>
        <w:tc>
          <w:tcPr>
            <w:tcW w:w="8460" w:type="dxa"/>
            <w:vAlign w:val="bottom"/>
          </w:tcPr>
          <w:p>
            <w:pPr>
              <w:ind w:left="500"/>
              <w:spacing w:after="0"/>
              <w:rPr>
                <w:sz w:val="20"/>
                <w:szCs w:val="20"/>
                <w:color w:val="auto"/>
              </w:rPr>
            </w:pPr>
            <w:r>
              <w:rPr>
                <w:rFonts w:ascii="Arial" w:cs="Arial" w:eastAsia="Arial" w:hAnsi="Arial"/>
                <w:sz w:val="14"/>
                <w:szCs w:val="14"/>
                <w:color w:val="auto"/>
              </w:rPr>
              <w:t>Other assets</w:t>
            </w:r>
          </w:p>
        </w:tc>
        <w:tc>
          <w:tcPr>
            <w:tcW w:w="8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4.3</w:t>
            </w: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11.9</w:t>
            </w:r>
          </w:p>
        </w:tc>
      </w:tr>
      <w:tr>
        <w:trPr>
          <w:trHeight w:val="202"/>
        </w:trPr>
        <w:tc>
          <w:tcPr>
            <w:tcW w:w="8460" w:type="dxa"/>
            <w:vAlign w:val="bottom"/>
            <w:shd w:val="clear" w:color="auto" w:fill="CCEEFF"/>
          </w:tcPr>
          <w:p>
            <w:pPr>
              <w:ind w:left="500"/>
              <w:spacing w:after="0"/>
              <w:rPr>
                <w:sz w:val="20"/>
                <w:szCs w:val="20"/>
                <w:color w:val="auto"/>
              </w:rPr>
            </w:pPr>
            <w:r>
              <w:rPr>
                <w:rFonts w:ascii="Arial" w:cs="Arial" w:eastAsia="Arial" w:hAnsi="Arial"/>
                <w:sz w:val="14"/>
                <w:szCs w:val="14"/>
                <w:color w:val="auto"/>
              </w:rPr>
              <w:t>Lease liabilities</w:t>
            </w:r>
          </w:p>
        </w:tc>
        <w:tc>
          <w:tcPr>
            <w:tcW w:w="82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w:t>
            </w: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w:t>
            </w:r>
          </w:p>
        </w:tc>
      </w:tr>
      <w:tr>
        <w:trPr>
          <w:trHeight w:val="189"/>
        </w:trPr>
        <w:tc>
          <w:tcPr>
            <w:tcW w:w="8460" w:type="dxa"/>
            <w:vAlign w:val="bottom"/>
          </w:tcPr>
          <w:p>
            <w:pPr>
              <w:ind w:left="500"/>
              <w:spacing w:after="0"/>
              <w:rPr>
                <w:sz w:val="20"/>
                <w:szCs w:val="20"/>
                <w:color w:val="auto"/>
              </w:rPr>
            </w:pPr>
            <w:r>
              <w:rPr>
                <w:rFonts w:ascii="Arial" w:cs="Arial" w:eastAsia="Arial" w:hAnsi="Arial"/>
                <w:sz w:val="14"/>
                <w:szCs w:val="14"/>
                <w:color w:val="auto"/>
              </w:rPr>
              <w:t>Accounts payable, accrued liabilities, deferred revenue and other liabilities</w:t>
            </w:r>
          </w:p>
        </w:tc>
        <w:tc>
          <w:tcPr>
            <w:tcW w:w="8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(2.9)</w:t>
            </w: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(30.8)</w:t>
            </w:r>
          </w:p>
        </w:tc>
      </w:tr>
      <w:tr>
        <w:trPr>
          <w:trHeight w:val="192"/>
        </w:trPr>
        <w:tc>
          <w:tcPr>
            <w:tcW w:w="84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4"/>
                <w:szCs w:val="14"/>
                <w:color w:val="auto"/>
              </w:rPr>
              <w:t>Income taxes</w:t>
            </w:r>
          </w:p>
        </w:tc>
        <w:tc>
          <w:tcPr>
            <w:tcW w:w="82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(22.8)</w:t>
            </w:r>
          </w:p>
        </w:tc>
        <w:tc>
          <w:tcPr>
            <w:tcW w:w="14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9"/>
              </w:rPr>
              <w:t>(193.1)</w:t>
            </w:r>
          </w:p>
        </w:tc>
      </w:tr>
      <w:tr>
        <w:trPr>
          <w:trHeight w:val="190"/>
        </w:trPr>
        <w:tc>
          <w:tcPr>
            <w:tcW w:w="84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cash used in operating activities</w:t>
            </w:r>
          </w:p>
        </w:tc>
        <w:tc>
          <w:tcPr>
            <w:tcW w:w="8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(34.6)</w:t>
            </w:r>
          </w:p>
        </w:tc>
        <w:tc>
          <w:tcPr>
            <w:tcW w:w="14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9"/>
              </w:rPr>
              <w:t>(133.0)</w:t>
            </w:r>
          </w:p>
        </w:tc>
      </w:tr>
      <w:tr>
        <w:trPr>
          <w:trHeight w:val="178"/>
        </w:trPr>
        <w:tc>
          <w:tcPr>
            <w:tcW w:w="8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flows from investing activities:</w:t>
            </w:r>
          </w:p>
        </w:tc>
        <w:tc>
          <w:tcPr>
            <w:tcW w:w="82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spacing w:after="0"/>
              <w:rPr>
                <w:sz w:val="15"/>
                <w:szCs w:val="15"/>
                <w:color w:val="auto"/>
              </w:rPr>
            </w:pPr>
          </w:p>
        </w:tc>
      </w:tr>
      <w:tr>
        <w:trPr>
          <w:trHeight w:val="183"/>
        </w:trPr>
        <w:tc>
          <w:tcPr>
            <w:tcW w:w="8460" w:type="dxa"/>
            <w:vAlign w:val="bottom"/>
          </w:tcPr>
          <w:p>
            <w:pPr>
              <w:ind w:left="220"/>
              <w:spacing w:after="0"/>
              <w:rPr>
                <w:sz w:val="20"/>
                <w:szCs w:val="20"/>
                <w:color w:val="auto"/>
              </w:rPr>
            </w:pPr>
            <w:r>
              <w:rPr>
                <w:rFonts w:ascii="Arial" w:cs="Arial" w:eastAsia="Arial" w:hAnsi="Arial"/>
                <w:sz w:val="14"/>
                <w:szCs w:val="14"/>
                <w:color w:val="auto"/>
              </w:rPr>
              <w:t>Proceeds from sales of Ceridian shares</w:t>
            </w:r>
          </w:p>
        </w:tc>
        <w:tc>
          <w:tcPr>
            <w:tcW w:w="8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78.0</w:t>
            </w: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285.7</w:t>
            </w:r>
          </w:p>
        </w:tc>
      </w:tr>
      <w:tr>
        <w:trPr>
          <w:trHeight w:val="202"/>
        </w:trPr>
        <w:tc>
          <w:tcPr>
            <w:tcW w:w="84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Additions to property and equipment and other intangible assets</w:t>
            </w:r>
          </w:p>
        </w:tc>
        <w:tc>
          <w:tcPr>
            <w:tcW w:w="82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w:t>
            </w: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w:t>
            </w:r>
          </w:p>
        </w:tc>
      </w:tr>
      <w:tr>
        <w:trPr>
          <w:trHeight w:val="189"/>
        </w:trPr>
        <w:tc>
          <w:tcPr>
            <w:tcW w:w="8460" w:type="dxa"/>
            <w:vAlign w:val="bottom"/>
          </w:tcPr>
          <w:p>
            <w:pPr>
              <w:ind w:left="220"/>
              <w:spacing w:after="0"/>
              <w:rPr>
                <w:sz w:val="20"/>
                <w:szCs w:val="20"/>
                <w:color w:val="auto"/>
              </w:rPr>
            </w:pPr>
            <w:r>
              <w:rPr>
                <w:rFonts w:ascii="Arial" w:cs="Arial" w:eastAsia="Arial" w:hAnsi="Arial"/>
                <w:sz w:val="14"/>
                <w:szCs w:val="14"/>
                <w:color w:val="auto"/>
              </w:rPr>
              <w:t>Collections of notes receivable</w:t>
            </w:r>
          </w:p>
        </w:tc>
        <w:tc>
          <w:tcPr>
            <w:tcW w:w="8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0.9</w:t>
            </w:r>
          </w:p>
        </w:tc>
      </w:tr>
      <w:tr>
        <w:trPr>
          <w:trHeight w:val="195"/>
        </w:trPr>
        <w:tc>
          <w:tcPr>
            <w:tcW w:w="84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Proceeds from sale of investments in unconsolidated affiliates and other long term investments</w:t>
            </w:r>
          </w:p>
        </w:tc>
        <w:tc>
          <w:tcPr>
            <w:tcW w:w="82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172.6</w:t>
            </w:r>
          </w:p>
        </w:tc>
      </w:tr>
      <w:tr>
        <w:trPr>
          <w:trHeight w:val="189"/>
        </w:trPr>
        <w:tc>
          <w:tcPr>
            <w:tcW w:w="8460" w:type="dxa"/>
            <w:vAlign w:val="bottom"/>
          </w:tcPr>
          <w:p>
            <w:pPr>
              <w:ind w:left="220"/>
              <w:spacing w:after="0"/>
              <w:rPr>
                <w:sz w:val="20"/>
                <w:szCs w:val="20"/>
                <w:color w:val="auto"/>
              </w:rPr>
            </w:pPr>
            <w:r>
              <w:rPr>
                <w:rFonts w:ascii="Arial" w:cs="Arial" w:eastAsia="Arial" w:hAnsi="Arial"/>
                <w:sz w:val="14"/>
                <w:szCs w:val="14"/>
                <w:color w:val="auto"/>
              </w:rPr>
              <w:t>Investment in System1</w:t>
            </w:r>
          </w:p>
        </w:tc>
        <w:tc>
          <w:tcPr>
            <w:tcW w:w="8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w w:val="99"/>
              </w:rPr>
              <w:t>(246.5)</w:t>
            </w:r>
          </w:p>
        </w:tc>
      </w:tr>
      <w:tr>
        <w:trPr>
          <w:trHeight w:val="208"/>
        </w:trPr>
        <w:tc>
          <w:tcPr>
            <w:tcW w:w="84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Additional investments in unconsolidated affiliates</w:t>
            </w:r>
          </w:p>
        </w:tc>
        <w:tc>
          <w:tcPr>
            <w:tcW w:w="8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(96.1)</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3"/>
        </w:trPr>
        <w:tc>
          <w:tcPr>
            <w:tcW w:w="8460" w:type="dxa"/>
            <w:vAlign w:val="bottom"/>
          </w:tcPr>
          <w:p>
            <w:pPr>
              <w:ind w:left="220"/>
              <w:spacing w:after="0"/>
              <w:rPr>
                <w:sz w:val="20"/>
                <w:szCs w:val="20"/>
                <w:color w:val="auto"/>
              </w:rPr>
            </w:pPr>
            <w:r>
              <w:rPr>
                <w:rFonts w:ascii="Arial" w:cs="Arial" w:eastAsia="Arial" w:hAnsi="Arial"/>
                <w:sz w:val="14"/>
                <w:szCs w:val="14"/>
                <w:color w:val="auto"/>
              </w:rPr>
              <w:t>Purchases of other long term investments</w:t>
            </w:r>
          </w:p>
        </w:tc>
        <w:tc>
          <w:tcPr>
            <w:tcW w:w="8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(17.4)</w:t>
            </w: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(3.4)</w:t>
            </w:r>
          </w:p>
        </w:tc>
      </w:tr>
      <w:tr>
        <w:trPr>
          <w:trHeight w:val="202"/>
        </w:trPr>
        <w:tc>
          <w:tcPr>
            <w:tcW w:w="84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Distributions from investments in unconsolidated affiliates</w:t>
            </w:r>
          </w:p>
        </w:tc>
        <w:tc>
          <w:tcPr>
            <w:tcW w:w="82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w:t>
            </w: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8460" w:type="dxa"/>
            <w:vAlign w:val="bottom"/>
          </w:tcPr>
          <w:p>
            <w:pPr>
              <w:ind w:left="220"/>
              <w:spacing w:after="0"/>
              <w:rPr>
                <w:sz w:val="20"/>
                <w:szCs w:val="20"/>
                <w:color w:val="auto"/>
              </w:rPr>
            </w:pPr>
            <w:r>
              <w:rPr>
                <w:rFonts w:ascii="Arial" w:cs="Arial" w:eastAsia="Arial" w:hAnsi="Arial"/>
                <w:sz w:val="14"/>
                <w:szCs w:val="14"/>
                <w:color w:val="auto"/>
              </w:rPr>
              <w:t>Purchases of short-term investment securities</w:t>
            </w:r>
          </w:p>
        </w:tc>
        <w:tc>
          <w:tcPr>
            <w:tcW w:w="8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w w:val="99"/>
              </w:rPr>
              <w:t>(130.1)</w:t>
            </w: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5"/>
        </w:trPr>
        <w:tc>
          <w:tcPr>
            <w:tcW w:w="84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Proceeds from sale and maturity of short-term investment securities</w:t>
            </w:r>
          </w:p>
        </w:tc>
        <w:tc>
          <w:tcPr>
            <w:tcW w:w="82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111.4</w:t>
            </w:r>
          </w:p>
        </w:tc>
        <w:tc>
          <w:tcPr>
            <w:tcW w:w="140" w:type="dxa"/>
            <w:vAlign w:val="bottom"/>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76"/>
        </w:trPr>
        <w:tc>
          <w:tcPr>
            <w:tcW w:w="8460" w:type="dxa"/>
            <w:vAlign w:val="bottom"/>
          </w:tcPr>
          <w:p>
            <w:pPr>
              <w:ind w:left="20"/>
              <w:spacing w:after="0"/>
              <w:rPr>
                <w:sz w:val="20"/>
                <w:szCs w:val="20"/>
                <w:color w:val="auto"/>
              </w:rPr>
            </w:pPr>
            <w:r>
              <w:rPr>
                <w:rFonts w:ascii="Arial" w:cs="Arial" w:eastAsia="Arial" w:hAnsi="Arial"/>
                <w:sz w:val="14"/>
                <w:szCs w:val="14"/>
                <w:color w:val="auto"/>
              </w:rPr>
              <w:t>Net cash (used in) provided by investing activities</w:t>
            </w:r>
          </w:p>
        </w:tc>
        <w:tc>
          <w:tcPr>
            <w:tcW w:w="8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(51.0)</w:t>
            </w:r>
          </w:p>
        </w:tc>
        <w:tc>
          <w:tcPr>
            <w:tcW w:w="14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201.7</w:t>
            </w:r>
          </w:p>
        </w:tc>
      </w:tr>
      <w:tr>
        <w:trPr>
          <w:trHeight w:val="195"/>
        </w:trPr>
        <w:tc>
          <w:tcPr>
            <w:tcW w:w="8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flows from financing activities:</w:t>
            </w:r>
          </w:p>
        </w:tc>
        <w:tc>
          <w:tcPr>
            <w:tcW w:w="8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r>
      <w:tr>
        <w:trPr>
          <w:trHeight w:val="189"/>
        </w:trPr>
        <w:tc>
          <w:tcPr>
            <w:tcW w:w="8460" w:type="dxa"/>
            <w:vAlign w:val="bottom"/>
          </w:tcPr>
          <w:p>
            <w:pPr>
              <w:ind w:left="220"/>
              <w:spacing w:after="0"/>
              <w:rPr>
                <w:sz w:val="20"/>
                <w:szCs w:val="20"/>
                <w:color w:val="auto"/>
              </w:rPr>
            </w:pPr>
            <w:r>
              <w:rPr>
                <w:rFonts w:ascii="Arial" w:cs="Arial" w:eastAsia="Arial" w:hAnsi="Arial"/>
                <w:sz w:val="14"/>
                <w:szCs w:val="14"/>
                <w:color w:val="auto"/>
              </w:rPr>
              <w:t>Borrowings</w:t>
            </w:r>
          </w:p>
        </w:tc>
        <w:tc>
          <w:tcPr>
            <w:tcW w:w="8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7.8</w:t>
            </w: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305.7</w:t>
            </w:r>
          </w:p>
        </w:tc>
      </w:tr>
      <w:tr>
        <w:trPr>
          <w:trHeight w:val="195"/>
        </w:trPr>
        <w:tc>
          <w:tcPr>
            <w:tcW w:w="84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Debt service payments</w:t>
            </w:r>
          </w:p>
        </w:tc>
        <w:tc>
          <w:tcPr>
            <w:tcW w:w="82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(213.8)</w:t>
            </w:r>
          </w:p>
        </w:tc>
      </w:tr>
      <w:tr>
        <w:trPr>
          <w:trHeight w:val="189"/>
        </w:trPr>
        <w:tc>
          <w:tcPr>
            <w:tcW w:w="8460" w:type="dxa"/>
            <w:vAlign w:val="bottom"/>
          </w:tcPr>
          <w:p>
            <w:pPr>
              <w:ind w:left="220"/>
              <w:spacing w:after="0"/>
              <w:rPr>
                <w:sz w:val="20"/>
                <w:szCs w:val="20"/>
                <w:color w:val="auto"/>
              </w:rPr>
            </w:pPr>
            <w:r>
              <w:rPr>
                <w:rFonts w:ascii="Arial" w:cs="Arial" w:eastAsia="Arial" w:hAnsi="Arial"/>
                <w:sz w:val="14"/>
                <w:szCs w:val="14"/>
                <w:color w:val="auto"/>
              </w:rPr>
              <w:t>Payment for vested shares withheld for taxes and in treasury</w:t>
            </w:r>
          </w:p>
        </w:tc>
        <w:tc>
          <w:tcPr>
            <w:tcW w:w="8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(0.1)</w:t>
            </w: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84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Treasury stock repurchases</w:t>
            </w:r>
          </w:p>
        </w:tc>
        <w:tc>
          <w:tcPr>
            <w:tcW w:w="82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(55.1)</w:t>
            </w:r>
          </w:p>
        </w:tc>
        <w:tc>
          <w:tcPr>
            <w:tcW w:w="14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9"/>
              </w:rPr>
              <w:t>(145.8)</w:t>
            </w:r>
          </w:p>
        </w:tc>
      </w:tr>
      <w:tr>
        <w:trPr>
          <w:trHeight w:val="190"/>
        </w:trPr>
        <w:tc>
          <w:tcPr>
            <w:tcW w:w="84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cash used in financing activities</w:t>
            </w:r>
          </w:p>
        </w:tc>
        <w:tc>
          <w:tcPr>
            <w:tcW w:w="8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(49.4)</w:t>
            </w:r>
          </w:p>
        </w:tc>
        <w:tc>
          <w:tcPr>
            <w:tcW w:w="14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(53.9)</w:t>
            </w:r>
          </w:p>
        </w:tc>
      </w:tr>
      <w:tr>
        <w:trPr>
          <w:trHeight w:val="185"/>
        </w:trPr>
        <w:tc>
          <w:tcPr>
            <w:tcW w:w="8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(decrease) increase in cash and cash equivalents</w:t>
            </w:r>
          </w:p>
        </w:tc>
        <w:tc>
          <w:tcPr>
            <w:tcW w:w="82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(135.0)</w:t>
            </w: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w:t>
            </w:r>
          </w:p>
        </w:tc>
      </w:tr>
      <w:tr>
        <w:trPr>
          <w:trHeight w:val="193"/>
        </w:trPr>
        <w:tc>
          <w:tcPr>
            <w:tcW w:w="8460" w:type="dxa"/>
            <w:vAlign w:val="bottom"/>
          </w:tcPr>
          <w:p>
            <w:pPr>
              <w:ind w:left="20"/>
              <w:spacing w:after="0"/>
              <w:rPr>
                <w:sz w:val="20"/>
                <w:szCs w:val="20"/>
                <w:color w:val="auto"/>
              </w:rPr>
            </w:pPr>
            <w:r>
              <w:rPr>
                <w:rFonts w:ascii="Arial" w:cs="Arial" w:eastAsia="Arial" w:hAnsi="Arial"/>
                <w:sz w:val="14"/>
                <w:szCs w:val="14"/>
                <w:color w:val="auto"/>
              </w:rPr>
              <w:t>Cash and cash equivalents at beginning of period</w:t>
            </w:r>
          </w:p>
        </w:tc>
        <w:tc>
          <w:tcPr>
            <w:tcW w:w="8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247.7</w:t>
            </w:r>
          </w:p>
        </w:tc>
        <w:tc>
          <w:tcPr>
            <w:tcW w:w="14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85.8</w:t>
            </w:r>
          </w:p>
        </w:tc>
      </w:tr>
      <w:tr>
        <w:trPr>
          <w:trHeight w:val="218"/>
        </w:trPr>
        <w:tc>
          <w:tcPr>
            <w:tcW w:w="8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and cash equivalents at end of period</w:t>
            </w:r>
          </w:p>
        </w:tc>
        <w:tc>
          <w:tcPr>
            <w:tcW w:w="820" w:type="dxa"/>
            <w:vAlign w:val="bottom"/>
            <w:shd w:val="clear" w:color="auto" w:fill="CCEEFF"/>
          </w:tcPr>
          <w:p>
            <w:pPr>
              <w:jc w:val="right"/>
              <w:ind w:right="669"/>
              <w:spacing w:after="0"/>
              <w:rPr>
                <w:sz w:val="20"/>
                <w:szCs w:val="20"/>
                <w:color w:val="auto"/>
              </w:rPr>
            </w:pPr>
            <w:r>
              <w:rPr>
                <w:rFonts w:ascii="Arial" w:cs="Arial" w:eastAsia="Arial" w:hAnsi="Arial"/>
                <w:sz w:val="14"/>
                <w:szCs w:val="14"/>
                <w:color w:val="auto"/>
                <w:w w:val="76"/>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112.7</w:t>
            </w:r>
          </w:p>
        </w:tc>
        <w:tc>
          <w:tcPr>
            <w:tcW w:w="1000" w:type="dxa"/>
            <w:vAlign w:val="bottom"/>
            <w:gridSpan w:val="2"/>
            <w:shd w:val="clear" w:color="auto" w:fill="CCEEFF"/>
          </w:tcPr>
          <w:p>
            <w:pPr>
              <w:jc w:val="right"/>
              <w:ind w:right="76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100.6</w:t>
            </w:r>
          </w:p>
        </w:tc>
      </w:tr>
      <w:tr>
        <w:trPr>
          <w:trHeight w:val="20"/>
        </w:trPr>
        <w:tc>
          <w:tcPr>
            <w:tcW w:w="84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ee Notes to Condensed Consolidated Financial Statements</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 — Basis of Financial Statements</w:t>
      </w:r>
    </w:p>
    <w:p>
      <w:pPr>
        <w:spacing w:after="0" w:line="117" w:lineRule="exact"/>
        <w:rPr>
          <w:sz w:val="20"/>
          <w:szCs w:val="20"/>
          <w:color w:val="auto"/>
        </w:rPr>
      </w:pPr>
    </w:p>
    <w:p>
      <w:pPr>
        <w:jc w:val="both"/>
        <w:ind w:firstLine="318"/>
        <w:spacing w:after="0" w:line="295" w:lineRule="auto"/>
        <w:rPr>
          <w:sz w:val="20"/>
          <w:szCs w:val="20"/>
          <w:color w:val="auto"/>
        </w:rPr>
      </w:pPr>
      <w:r>
        <w:rPr>
          <w:rFonts w:ascii="Arial" w:cs="Arial" w:eastAsia="Arial" w:hAnsi="Arial"/>
          <w:sz w:val="17"/>
          <w:szCs w:val="17"/>
          <w:color w:val="auto"/>
        </w:rPr>
        <w:t>The following describes the significant accounting policies of Cannae Holdings, Inc. and its subsidiaries (collectively, "we," "us," "our,” "Cannae," "CNNE," or the "Company"), which have been followed in preparing the accompanying Condensed Consolidated Financial Statements.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the Business</w:t>
      </w:r>
    </w:p>
    <w:p>
      <w:pPr>
        <w:spacing w:after="0" w:line="111" w:lineRule="exact"/>
        <w:rPr>
          <w:sz w:val="20"/>
          <w:szCs w:val="20"/>
          <w:color w:val="auto"/>
        </w:rPr>
      </w:pPr>
    </w:p>
    <w:p>
      <w:pPr>
        <w:jc w:val="both"/>
        <w:ind w:firstLine="318"/>
        <w:spacing w:after="0" w:line="297" w:lineRule="auto"/>
        <w:rPr>
          <w:sz w:val="20"/>
          <w:szCs w:val="20"/>
          <w:color w:val="auto"/>
        </w:rPr>
      </w:pPr>
      <w:r>
        <w:rPr>
          <w:rFonts w:ascii="Arial" w:cs="Arial" w:eastAsia="Arial" w:hAnsi="Arial"/>
          <w:sz w:val="15"/>
          <w:szCs w:val="15"/>
          <w:color w:val="auto"/>
        </w:rPr>
        <w:t>We primarily acquire interests in operating companies and are engaged in actively managing and operating a core group of those companies, which we are committed to supporting for the long term. From time to time, we also seek to take meaningful equity ownership stakes where we have the ability to control or significantly influence quality companies, and we bring the strength of our operational expertise to each of our subsidiaries. We are a long-term owner that secures control and governance rights of other companies primarily to engage in their lines of business and we have no preset time constraints dictating when we sell or dispose of our businesses. We believe that our long-term ownership and active involvement in the management and operations of companies helps maximize the value of those businesses for our shareholders. Our primary assets as of June 30, 2023 include our ownership interests in Dun</w:t>
      </w:r>
    </w:p>
    <w:p>
      <w:pPr>
        <w:spacing w:after="0" w:line="4" w:lineRule="exact"/>
        <w:rPr>
          <w:sz w:val="20"/>
          <w:szCs w:val="20"/>
          <w:color w:val="auto"/>
        </w:rPr>
      </w:pPr>
    </w:p>
    <w:p>
      <w:pPr>
        <w:jc w:val="both"/>
        <w:ind w:firstLine="6"/>
        <w:spacing w:after="0" w:line="248" w:lineRule="auto"/>
        <w:tabs>
          <w:tab w:leader="none" w:pos="187" w:val="left"/>
        </w:tabs>
        <w:numPr>
          <w:ilvl w:val="0"/>
          <w:numId w:val="5"/>
        </w:numPr>
        <w:rPr>
          <w:rFonts w:ascii="Arial" w:cs="Arial" w:eastAsia="Arial" w:hAnsi="Arial"/>
          <w:sz w:val="18"/>
          <w:szCs w:val="18"/>
          <w:color w:val="auto"/>
        </w:rPr>
      </w:pPr>
      <w:r>
        <w:rPr>
          <w:rFonts w:ascii="Arial" w:cs="Arial" w:eastAsia="Arial" w:hAnsi="Arial"/>
          <w:sz w:val="18"/>
          <w:szCs w:val="18"/>
          <w:color w:val="auto"/>
        </w:rPr>
        <w:t>Bradstreet Holdings, Inc. ("Dun &amp; Bradstreet" or "D&amp;B"); Ceridian HCM Holding, Inc. ("Ceridian"); Alight, Inc. ("Alight"); Paysafe Limited ("Paysafe"); Sightline Payments Holdings, LLC ("Sightline"); System1, Inc. ("System1"); Black Knight Football and Entertainment, LP ("BKFE"); Computer Services, Inc. ("CSI"); AmeriLife Group, LLC ("AmeriLife"); O'Charley's Holdings, LLC ("O'Charley's"); 99 Restaurants Holdings, LLC ("99 Restaurants"); and various other controlled portfolio companies and minority equity ownership interests.</w:t>
      </w:r>
    </w:p>
    <w:p>
      <w:pPr>
        <w:spacing w:after="0" w:line="8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See Note E - </w:t>
      </w:r>
      <w:r>
        <w:rPr>
          <w:rFonts w:ascii="Arial" w:cs="Arial" w:eastAsia="Arial" w:hAnsi="Arial"/>
          <w:sz w:val="18"/>
          <w:szCs w:val="18"/>
          <w:i w:val="1"/>
          <w:iCs w:val="1"/>
          <w:color w:val="auto"/>
        </w:rPr>
        <w:t>Segment Information</w:t>
      </w:r>
      <w:r>
        <w:rPr>
          <w:rFonts w:ascii="Arial" w:cs="Arial" w:eastAsia="Arial" w:hAnsi="Arial"/>
          <w:sz w:val="18"/>
          <w:szCs w:val="18"/>
          <w:color w:val="auto"/>
        </w:rPr>
        <w:t xml:space="preserve"> for further discussion of the businesses comprising our reportable segments.</w:t>
      </w:r>
    </w:p>
    <w:p>
      <w:pPr>
        <w:spacing w:after="0" w:line="11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conduct our business through our wholly-owned subsidiary Cannae Holdings, LLC ("Cannae LLC"), a Delaware limited liability company. Our board of directors ("Board") oversees the management of the Company, Cannae LLC and its businesses, and the performance of our external manager, Trasimene Capital Management, LLC ("Trasimene" or our "Manager").</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 and Basis of Presentation</w:t>
      </w:r>
    </w:p>
    <w:p>
      <w:pPr>
        <w:spacing w:after="0" w:line="111"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The accompanying Condensed Consolidated Financial Statements are prepared in accordance with generally accepted accounting principles in the United States ("GAAP") and the instructions to Form 10-Q and Article 10 of Regulation S-X and include the historical accounts as well as wholly-owned and majority-owned subsidiaries of the Company. In the opinion of management, all adjustments considered necessary for a fair presentation have been included. All adjustments made were of a normal, recurring nature. This report should be read in conjunction with our Annual Report on Form 10-K (our "Annual Report") for the year ended December 31, 2022.</w:t>
      </w:r>
    </w:p>
    <w:p>
      <w:pPr>
        <w:spacing w:after="0" w:line="89"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All intercompany profits, transactions and balances have been eliminated. Our ownership interests in non-majority-owned partnerships and affiliates are accounted for under the equity method of accounting or as equity securities. Earnings attributable to noncontrolling interests recorded on the Condensed Consolidated Statements of Operations represents the portion of our majority-owned subsidiaries' net earnings or loss that is owned by noncontrolling shareholders of such subsidiaries. Noncontrolling interest recorded on the Condensed Consolidated Balance Sheets represents the portion of equity owned by noncontrolling shareholders in our consolidated subsidiaries.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 Estimates</w:t>
      </w:r>
    </w:p>
    <w:p>
      <w:pPr>
        <w:spacing w:after="0" w:line="111" w:lineRule="exact"/>
        <w:rPr>
          <w:sz w:val="20"/>
          <w:szCs w:val="20"/>
          <w:color w:val="auto"/>
        </w:rPr>
      </w:pPr>
    </w:p>
    <w:p>
      <w:pPr>
        <w:jc w:val="both"/>
        <w:ind w:firstLine="318"/>
        <w:spacing w:after="0" w:line="272" w:lineRule="auto"/>
        <w:rPr>
          <w:sz w:val="20"/>
          <w:szCs w:val="20"/>
          <w:color w:val="auto"/>
        </w:rPr>
      </w:pPr>
      <w:r>
        <w:rPr>
          <w:rFonts w:ascii="Arial" w:cs="Arial" w:eastAsia="Arial" w:hAnsi="Arial"/>
          <w:sz w:val="17"/>
          <w:szCs w:val="17"/>
          <w:color w:val="auto"/>
        </w:rPr>
        <w:t xml:space="preserve">The preparation of these Condensed Consolidated Financial Statements in conformity with GAAP requires management to make estimates and assumptions that affect the reported amounts of assets and liabilities and disclosure of contingent assets and liabilities at the date of the Condensed Consolidated Financial Statements and the reported amounts of revenues and expenses during the reporting period. Significant estimates made by management include the fair value measurements (See Note C - </w:t>
      </w:r>
      <w:r>
        <w:rPr>
          <w:rFonts w:ascii="Arial" w:cs="Arial" w:eastAsia="Arial" w:hAnsi="Arial"/>
          <w:sz w:val="17"/>
          <w:szCs w:val="17"/>
          <w:i w:val="1"/>
          <w:iCs w:val="1"/>
          <w:color w:val="auto"/>
        </w:rPr>
        <w:t>Fair Value Measurements</w:t>
      </w:r>
      <w:r>
        <w:rPr>
          <w:rFonts w:ascii="Arial" w:cs="Arial" w:eastAsia="Arial" w:hAnsi="Arial"/>
          <w:sz w:val="17"/>
          <w:szCs w:val="17"/>
          <w:color w:val="auto"/>
        </w:rPr>
        <w:t>). Actual results may differ from estimates.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Ceridian</w:t>
      </w:r>
    </w:p>
    <w:p>
      <w:pPr>
        <w:spacing w:after="0" w:line="111"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8"/>
          <w:szCs w:val="18"/>
          <w:color w:val="auto"/>
        </w:rPr>
        <w:t>In February 2023, we completed the sale of 1.0 million shares of common stock of Ceridian. In connection with the sale, we received proceeds of $78.0 million.</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CONDENSED CONSOLIDATED FINANCIAL STATEMENTS (UNAUDITED) — </w:t>
      </w:r>
      <w:r>
        <w:rPr>
          <w:rFonts w:ascii="Arial" w:cs="Arial" w:eastAsia="Arial" w:hAnsi="Arial"/>
          <w:sz w:val="16"/>
          <w:szCs w:val="16"/>
          <w:b w:val="1"/>
          <w:bCs w:val="1"/>
          <w:color w:val="auto"/>
        </w:rPr>
        <w:t>continued</w:t>
      </w:r>
    </w:p>
    <w:p>
      <w:pPr>
        <w:spacing w:after="0" w:line="200" w:lineRule="exact"/>
        <w:rPr>
          <w:sz w:val="20"/>
          <w:szCs w:val="20"/>
          <w:color w:val="auto"/>
        </w:rPr>
      </w:pPr>
    </w:p>
    <w:p>
      <w:pPr>
        <w:spacing w:after="0" w:line="378"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8"/>
          <w:szCs w:val="18"/>
          <w:color w:val="auto"/>
        </w:rPr>
        <w:t>We owned 5.0 million shares of Ceridian common stock as of June 30, 2023, which represented approximately 3.2% of its outstanding stock as of June 30, 2023.</w:t>
      </w:r>
    </w:p>
    <w:p>
      <w:pPr>
        <w:spacing w:after="0" w:line="74"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8"/>
          <w:szCs w:val="18"/>
          <w:color w:val="auto"/>
        </w:rPr>
        <w:t xml:space="preserve">Refer to Note B - </w:t>
      </w:r>
      <w:r>
        <w:rPr>
          <w:rFonts w:ascii="Arial" w:cs="Arial" w:eastAsia="Arial" w:hAnsi="Arial"/>
          <w:sz w:val="18"/>
          <w:szCs w:val="18"/>
          <w:i w:val="1"/>
          <w:iCs w:val="1"/>
          <w:color w:val="auto"/>
        </w:rPr>
        <w:t>Investments</w:t>
      </w:r>
      <w:r>
        <w:rPr>
          <w:rFonts w:ascii="Arial" w:cs="Arial" w:eastAsia="Arial" w:hAnsi="Arial"/>
          <w:sz w:val="18"/>
          <w:szCs w:val="18"/>
          <w:color w:val="auto"/>
        </w:rPr>
        <w:t xml:space="preserve"> and Note C - </w:t>
      </w:r>
      <w:r>
        <w:rPr>
          <w:rFonts w:ascii="Arial" w:cs="Arial" w:eastAsia="Arial" w:hAnsi="Arial"/>
          <w:sz w:val="18"/>
          <w:szCs w:val="18"/>
          <w:i w:val="1"/>
          <w:iCs w:val="1"/>
          <w:color w:val="auto"/>
        </w:rPr>
        <w:t>Fair Value Measurements</w:t>
      </w:r>
      <w:r>
        <w:rPr>
          <w:rFonts w:ascii="Arial" w:cs="Arial" w:eastAsia="Arial" w:hAnsi="Arial"/>
          <w:sz w:val="18"/>
          <w:szCs w:val="18"/>
          <w:color w:val="auto"/>
        </w:rPr>
        <w:t xml:space="preserve"> for further discussion of our accounting for our ownership interest in Ceridian and other equity securities.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Dun &amp; Bradstreet</w:t>
      </w:r>
    </w:p>
    <w:p>
      <w:pPr>
        <w:spacing w:after="0" w:line="11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On February 9, 2023 and April 26, 2023, the board of directors of D&amp;B declared a quarterly cash dividend of $0.05 per share of DNB common stock. In the six months ended June 30, 2023, we received $7.9 million of cash dividends from D&amp;B which are recorded as a reduction to the basis of our recorded asset for D&amp;B.</w:t>
      </w:r>
    </w:p>
    <w:p>
      <w:pPr>
        <w:spacing w:after="0" w:line="8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As of June 30, 2023, we owned 79.0 million shares of D&amp;B, which represented approximately 18.0% of its outstanding common stock.</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 xml:space="preserve">See Note B - </w:t>
      </w:r>
      <w:r>
        <w:rPr>
          <w:rFonts w:ascii="Arial" w:cs="Arial" w:eastAsia="Arial" w:hAnsi="Arial"/>
          <w:sz w:val="17"/>
          <w:szCs w:val="17"/>
          <w:i w:val="1"/>
          <w:iCs w:val="1"/>
          <w:color w:val="auto"/>
        </w:rPr>
        <w:t>Investments</w:t>
      </w:r>
      <w:r>
        <w:rPr>
          <w:rFonts w:ascii="Arial" w:cs="Arial" w:eastAsia="Arial" w:hAnsi="Arial"/>
          <w:sz w:val="17"/>
          <w:szCs w:val="17"/>
          <w:color w:val="auto"/>
        </w:rPr>
        <w:t xml:space="preserve"> for further discussion of our accounting for our ownership interest in D&amp;B and other equity method investments.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Black Knight Football and Entertainment</w:t>
      </w:r>
    </w:p>
    <w:p>
      <w:pPr>
        <w:spacing w:after="0" w:line="111"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In the six months ended June 30, 2023, we invested $44.0 million in BKFE. Subsequent to June 30, 2023, we invested another $40.8 million in BKFE. Following the last investment, we have completed the funding of our previously disclosed commitment to invest in BKFE and have no further legal obligation to fund BKFE as of the date of this Quarterly Report on Form 10-Q.</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Developments</w:t>
      </w:r>
    </w:p>
    <w:p>
      <w:pPr>
        <w:spacing w:after="0" w:line="111"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On August 3, 2022, our Board authorized a new three-year stock repurchase program, (the "2022 Repurchase Program"), under which the Company may repurchase up to 10.0 million shares of its common stock. Purchases may be made from time to time in the open market at prevailing prices or in privately negotiated transactions through August 3, 2025. The repurchase program does not obligate us to acquire any specific number of shares and may be suspended or terminated at any time.</w:t>
      </w:r>
    </w:p>
    <w:p>
      <w:pPr>
        <w:spacing w:after="0" w:line="86"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8"/>
          <w:szCs w:val="18"/>
          <w:color w:val="auto"/>
        </w:rPr>
        <w:t>During the three and six months ended June 30, 2023, we repurchased 3,065,804 shares for approximately $60.4 million, or an average of $19.71 per share. Subsequent to June 30, 2023, we repurchased 54,880 shares for approximately $1.1 million.</w:t>
      </w:r>
    </w:p>
    <w:p>
      <w:pPr>
        <w:spacing w:after="0" w:line="74" w:lineRule="exact"/>
        <w:rPr>
          <w:sz w:val="20"/>
          <w:szCs w:val="20"/>
          <w:color w:val="auto"/>
        </w:rPr>
      </w:pPr>
    </w:p>
    <w:p>
      <w:pPr>
        <w:jc w:val="both"/>
        <w:ind w:firstLine="318"/>
        <w:spacing w:after="0" w:line="272" w:lineRule="auto"/>
        <w:rPr>
          <w:sz w:val="20"/>
          <w:szCs w:val="20"/>
          <w:color w:val="auto"/>
        </w:rPr>
      </w:pPr>
      <w:r>
        <w:rPr>
          <w:rFonts w:ascii="Arial" w:cs="Arial" w:eastAsia="Arial" w:hAnsi="Arial"/>
          <w:sz w:val="17"/>
          <w:szCs w:val="17"/>
          <w:color w:val="auto"/>
        </w:rPr>
        <w:t>On May 22, 2023, we invested $52.1 million for an 89% ownership interest in High Sierra Distillery, LP ("Minden Mill"). Minden Mill, through its wholly owned subsidiaries, owns and operates a farm-to-flask distillery and related hospitality venues. Entities affiliated with our chairman, William P. Foley II, are the general partner of Minden Mill and manage all aspects of its operation. The investment in Minden Mill is accounted for as an investment in an unconsolidated affiliate. See Note B - Investments for further discussion of our investments in unconsolidated affiliates.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Related Party Transactions</w:t>
      </w:r>
    </w:p>
    <w:p>
      <w:pPr>
        <w:spacing w:after="0" w:line="111" w:lineRule="exact"/>
        <w:rPr>
          <w:sz w:val="20"/>
          <w:szCs w:val="20"/>
          <w:color w:val="auto"/>
        </w:rPr>
      </w:pPr>
    </w:p>
    <w:p>
      <w:pPr>
        <w:jc w:val="both"/>
        <w:ind w:firstLine="318"/>
        <w:spacing w:after="0" w:line="319" w:lineRule="auto"/>
        <w:rPr>
          <w:sz w:val="20"/>
          <w:szCs w:val="20"/>
          <w:color w:val="auto"/>
        </w:rPr>
      </w:pPr>
      <w:r>
        <w:rPr>
          <w:rFonts w:ascii="Arial" w:cs="Arial" w:eastAsia="Arial" w:hAnsi="Arial"/>
          <w:sz w:val="15"/>
          <w:szCs w:val="15"/>
          <w:color w:val="auto"/>
        </w:rPr>
        <w:t>During the three and six months ended June 30, 2023, we incurred management fee expenses payable to our Manager of $9.6 million and $18.9 million, respectively, and during the three and six months ended June 30, 2022, we incurred $10.6 million and $21.2 million, respectively. During the three and six months ended June 30, 2022, we incurred $2.2 million and $47.4 million, respectively, of carried interest expense related to the disposition of certain of the Company's assets and ownership interests. These expenses are recorded in Other operating expenses on our Condensed Consolidated Statement of Operations.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111"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8"/>
          <w:szCs w:val="18"/>
          <w:color w:val="auto"/>
        </w:rPr>
        <w:t>Basic earnings per share, as presented on the Condensed Consolidated Statement of Operations, is computed by dividing net earnings available to common shareholders by the weighted average number of common shares outstanding during the period.</w:t>
      </w:r>
    </w:p>
    <w:p>
      <w:pPr>
        <w:spacing w:after="0" w:line="74" w:lineRule="exact"/>
        <w:rPr>
          <w:sz w:val="20"/>
          <w:szCs w:val="20"/>
          <w:color w:val="auto"/>
        </w:rPr>
      </w:pPr>
    </w:p>
    <w:p>
      <w:pPr>
        <w:jc w:val="both"/>
        <w:ind w:firstLine="318"/>
        <w:spacing w:after="0" w:line="269" w:lineRule="auto"/>
        <w:rPr>
          <w:sz w:val="20"/>
          <w:szCs w:val="20"/>
          <w:color w:val="auto"/>
        </w:rPr>
      </w:pPr>
      <w:r>
        <w:rPr>
          <w:rFonts w:ascii="Arial" w:cs="Arial" w:eastAsia="Arial" w:hAnsi="Arial"/>
          <w:sz w:val="17"/>
          <w:szCs w:val="17"/>
          <w:color w:val="auto"/>
        </w:rPr>
        <w:t>In periods when earnings are positive, diluted earnings per share is calculated by dividing net earnings available to common shareholders by the weighted average number of common shares outstanding plus the impact of assumed conversions of potentially dilutive securities. For periods when we recognize a net loss, diluted loss per share is equal to basic loss per share as the impact of assumed conversions of potentially dilutive securities is considered to be antidilutive. We have granted certain shares of restricted stock that have been treated as common share equivalents for purposes of calculating diluted earnings per share for periods in which positive earnings have been reported.</w:t>
      </w:r>
    </w:p>
    <w:p>
      <w:pPr>
        <w:spacing w:after="0" w:line="7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Instruments that provide the ability to purchase shares of our common stock that are antidilutive are excluded from the</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CONDENSED CONSOLIDATED FINANCIAL STATEMENTS (UNAUDITED) — </w:t>
      </w:r>
      <w:r>
        <w:rPr>
          <w:rFonts w:ascii="Arial" w:cs="Arial" w:eastAsia="Arial" w:hAnsi="Arial"/>
          <w:sz w:val="16"/>
          <w:szCs w:val="16"/>
          <w:b w:val="1"/>
          <w:bCs w:val="1"/>
          <w:color w:val="auto"/>
        </w:rPr>
        <w:t>continued</w:t>
      </w:r>
    </w:p>
    <w:p>
      <w:pPr>
        <w:spacing w:after="0" w:line="200" w:lineRule="exact"/>
        <w:rPr>
          <w:sz w:val="20"/>
          <w:szCs w:val="20"/>
          <w:color w:val="auto"/>
        </w:rPr>
      </w:pPr>
    </w:p>
    <w:p>
      <w:pPr>
        <w:spacing w:after="0" w:line="378"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computation of diluted earnings per share. For the three and six months ended June 30, 2023 and 2022, there were 0.4 million and 0.1 million antidilutive shares of restricted stock outstanding, respectively, that were excluded from the calculation of diluted earnings per share.</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1"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Our effective tax rate was 34.5% and 29.8% in the three months ended June 30, 2023 and 2022, respectively, and 54.4% and 22.7% in the six months ended June 30, 2023 and 2022, respectively. The change in the effective tax rate in the three and six-month period ended June 30, 2023 compared to the corresponding prior year period was primarily attributable to the varying impact of equity in (losses) earnings of unconsolidated affiliates on income tax expense (benefit).</w:t>
      </w:r>
    </w:p>
    <w:p>
      <w:pPr>
        <w:spacing w:after="0" w:line="86"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have a Deferred tax asset of $47.6 million and $22.7 million as of June 30, 2023 and December 31, 2022, respectively. The $24.9 million change in deferred taxes in the six months ended June 30, 2023 is primarily attributable to equity in losses of unconsolidated affiliates partially offset by sales of Ceridian shares and mark to market gains recorded on Ceridian.</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1"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8"/>
          <w:szCs w:val="18"/>
          <w:color w:val="auto"/>
        </w:rPr>
        <w:t>We have completed our evaluation of the recently issued accounting pronouncements and we did not identify any that are expected to, if currently adopted, have a material impact on our Condensed Consolidated Financial Statements.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B — Investments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in Unconsolidated Affiliates</w:t>
      </w:r>
    </w:p>
    <w:p>
      <w:pPr>
        <w:spacing w:after="0" w:line="111"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8"/>
          <w:szCs w:val="18"/>
          <w:color w:val="auto"/>
        </w:rPr>
        <w:t>Investments in unconsolidated affiliates recorded using the equity method of accounting as of June 30, 2023 and December 31, 2022 consisted of the following:</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000" w:type="dxa"/>
            <w:vAlign w:val="bottom"/>
          </w:tcPr>
          <w:p>
            <w:pPr>
              <w:spacing w:after="0"/>
              <w:rPr>
                <w:sz w:val="16"/>
                <w:szCs w:val="16"/>
                <w:color w:val="auto"/>
              </w:rPr>
            </w:pPr>
          </w:p>
        </w:tc>
        <w:tc>
          <w:tcPr>
            <w:tcW w:w="1760" w:type="dxa"/>
            <w:vAlign w:val="bottom"/>
          </w:tcPr>
          <w:p>
            <w:pPr>
              <w:jc w:val="right"/>
              <w:spacing w:after="0"/>
              <w:rPr>
                <w:sz w:val="20"/>
                <w:szCs w:val="20"/>
                <w:color w:val="auto"/>
              </w:rPr>
            </w:pPr>
            <w:r>
              <w:rPr>
                <w:rFonts w:ascii="Arial" w:cs="Arial" w:eastAsia="Arial" w:hAnsi="Arial"/>
                <w:sz w:val="14"/>
                <w:szCs w:val="14"/>
                <w:b w:val="1"/>
                <w:bCs w:val="1"/>
                <w:color w:val="auto"/>
                <w:w w:val="92"/>
              </w:rPr>
              <w:t>Ownership at June 30, 2023</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tcPr>
          <w:p>
            <w:pPr>
              <w:jc w:val="right"/>
              <w:ind w:right="315"/>
              <w:spacing w:after="0"/>
              <w:rPr>
                <w:sz w:val="20"/>
                <w:szCs w:val="20"/>
                <w:color w:val="auto"/>
              </w:rPr>
            </w:pPr>
            <w:r>
              <w:rPr>
                <w:rFonts w:ascii="Arial" w:cs="Arial" w:eastAsia="Arial" w:hAnsi="Arial"/>
                <w:sz w:val="14"/>
                <w:szCs w:val="14"/>
                <w:b w:val="1"/>
                <w:bCs w:val="1"/>
                <w:color w:val="auto"/>
              </w:rPr>
              <w:t>June 30, 2023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jc w:val="right"/>
              <w:ind w:right="154"/>
              <w:spacing w:after="0"/>
              <w:rPr>
                <w:sz w:val="20"/>
                <w:szCs w:val="20"/>
                <w:color w:val="auto"/>
              </w:rPr>
            </w:pPr>
            <w:r>
              <w:rPr>
                <w:rFonts w:ascii="Arial" w:cs="Arial" w:eastAsia="Arial" w:hAnsi="Arial"/>
                <w:sz w:val="14"/>
                <w:szCs w:val="14"/>
                <w:b w:val="1"/>
                <w:bCs w:val="1"/>
                <w:color w:val="auto"/>
                <w:w w:val="95"/>
              </w:rPr>
              <w:t>December 31, 2022</w:t>
            </w:r>
          </w:p>
        </w:tc>
      </w:tr>
      <w:tr>
        <w:trPr>
          <w:trHeight w:val="24"/>
        </w:trPr>
        <w:tc>
          <w:tcPr>
            <w:tcW w:w="6000" w:type="dxa"/>
            <w:vAlign w:val="bottom"/>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r>
      <w:tr>
        <w:trPr>
          <w:trHeight w:val="178"/>
        </w:trPr>
        <w:tc>
          <w:tcPr>
            <w:tcW w:w="60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120" w:type="dxa"/>
            <w:vAlign w:val="bottom"/>
            <w:gridSpan w:val="4"/>
          </w:tcPr>
          <w:p>
            <w:pPr>
              <w:jc w:val="right"/>
              <w:ind w:right="1234"/>
              <w:spacing w:after="0"/>
              <w:rPr>
                <w:sz w:val="20"/>
                <w:szCs w:val="20"/>
                <w:color w:val="auto"/>
              </w:rPr>
            </w:pPr>
            <w:r>
              <w:rPr>
                <w:rFonts w:ascii="Arial" w:cs="Arial" w:eastAsia="Arial" w:hAnsi="Arial"/>
                <w:sz w:val="14"/>
                <w:szCs w:val="14"/>
                <w:b w:val="1"/>
                <w:bCs w:val="1"/>
                <w:color w:val="auto"/>
              </w:rPr>
              <w:t>(in millions)</w:t>
            </w:r>
          </w:p>
        </w:tc>
      </w:tr>
      <w:tr>
        <w:trPr>
          <w:trHeight w:val="240"/>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Dun &amp; Bradstreet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18.0 %</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835.2</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857.1</w:t>
            </w:r>
          </w:p>
        </w:tc>
      </w:tr>
      <w:tr>
        <w:trPr>
          <w:trHeight w:val="225"/>
        </w:trPr>
        <w:tc>
          <w:tcPr>
            <w:tcW w:w="6000" w:type="dxa"/>
            <w:vAlign w:val="bottom"/>
          </w:tcPr>
          <w:p>
            <w:pPr>
              <w:ind w:left="20"/>
              <w:spacing w:after="0"/>
              <w:rPr>
                <w:sz w:val="20"/>
                <w:szCs w:val="20"/>
                <w:color w:val="auto"/>
              </w:rPr>
            </w:pPr>
            <w:r>
              <w:rPr>
                <w:rFonts w:ascii="Arial" w:cs="Arial" w:eastAsia="Arial" w:hAnsi="Arial"/>
                <w:sz w:val="18"/>
                <w:szCs w:val="18"/>
                <w:color w:val="auto"/>
              </w:rPr>
              <w:t>Alight</w:t>
            </w:r>
          </w:p>
        </w:tc>
        <w:tc>
          <w:tcPr>
            <w:tcW w:w="1760" w:type="dxa"/>
            <w:vAlign w:val="bottom"/>
          </w:tcPr>
          <w:p>
            <w:pPr>
              <w:jc w:val="right"/>
              <w:spacing w:after="0"/>
              <w:rPr>
                <w:sz w:val="20"/>
                <w:szCs w:val="20"/>
                <w:color w:val="auto"/>
              </w:rPr>
            </w:pPr>
            <w:r>
              <w:rPr>
                <w:rFonts w:ascii="Arial" w:cs="Arial" w:eastAsia="Arial" w:hAnsi="Arial"/>
                <w:sz w:val="18"/>
                <w:szCs w:val="18"/>
                <w:color w:val="auto"/>
              </w:rPr>
              <w:t>9.7 %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525.1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532.2</w:t>
            </w:r>
          </w:p>
        </w:tc>
      </w:tr>
      <w:tr>
        <w:trPr>
          <w:trHeight w:val="226"/>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Sightline</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247.0</w:t>
            </w:r>
          </w:p>
        </w:tc>
      </w:tr>
      <w:tr>
        <w:trPr>
          <w:trHeight w:val="232"/>
        </w:trPr>
        <w:tc>
          <w:tcPr>
            <w:tcW w:w="6000" w:type="dxa"/>
            <w:vAlign w:val="bottom"/>
          </w:tcPr>
          <w:p>
            <w:pPr>
              <w:ind w:left="20"/>
              <w:spacing w:after="0"/>
              <w:rPr>
                <w:sz w:val="20"/>
                <w:szCs w:val="20"/>
                <w:color w:val="auto"/>
              </w:rPr>
            </w:pPr>
            <w:r>
              <w:rPr>
                <w:rFonts w:ascii="Arial" w:cs="Arial" w:eastAsia="Arial" w:hAnsi="Arial"/>
                <w:sz w:val="18"/>
                <w:szCs w:val="18"/>
                <w:color w:val="auto"/>
              </w:rPr>
              <w:t>System1</w:t>
            </w:r>
          </w:p>
        </w:tc>
        <w:tc>
          <w:tcPr>
            <w:tcW w:w="1760" w:type="dxa"/>
            <w:vAlign w:val="bottom"/>
          </w:tcPr>
          <w:p>
            <w:pPr>
              <w:jc w:val="right"/>
              <w:spacing w:after="0"/>
              <w:rPr>
                <w:sz w:val="20"/>
                <w:szCs w:val="20"/>
                <w:color w:val="auto"/>
              </w:rPr>
            </w:pPr>
            <w:r>
              <w:rPr>
                <w:rFonts w:ascii="Arial" w:cs="Arial" w:eastAsia="Arial" w:hAnsi="Arial"/>
                <w:sz w:val="18"/>
                <w:szCs w:val="18"/>
                <w:color w:val="auto"/>
              </w:rPr>
              <w:t>23.7 %</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106.5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127.4</w:t>
            </w:r>
          </w:p>
        </w:tc>
      </w:tr>
      <w:tr>
        <w:trPr>
          <w:trHeight w:val="233"/>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BKFE</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50.1 %</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w:t>
            </w:r>
          </w:p>
        </w:tc>
      </w:tr>
      <w:tr>
        <w:trPr>
          <w:trHeight w:val="225"/>
        </w:trPr>
        <w:tc>
          <w:tcPr>
            <w:tcW w:w="6000" w:type="dxa"/>
            <w:vAlign w:val="bottom"/>
          </w:tcPr>
          <w:p>
            <w:pPr>
              <w:ind w:left="20"/>
              <w:spacing w:after="0"/>
              <w:rPr>
                <w:sz w:val="20"/>
                <w:szCs w:val="20"/>
                <w:color w:val="auto"/>
              </w:rPr>
            </w:pPr>
            <w:r>
              <w:rPr>
                <w:rFonts w:ascii="Arial" w:cs="Arial" w:eastAsia="Arial" w:hAnsi="Arial"/>
                <w:sz w:val="18"/>
                <w:szCs w:val="18"/>
                <w:color w:val="auto"/>
              </w:rPr>
              <w:t>Paysafe</w:t>
            </w:r>
          </w:p>
        </w:tc>
        <w:tc>
          <w:tcPr>
            <w:tcW w:w="1760" w:type="dxa"/>
            <w:vAlign w:val="bottom"/>
          </w:tcPr>
          <w:p>
            <w:pPr>
              <w:jc w:val="right"/>
              <w:spacing w:after="0"/>
              <w:rPr>
                <w:sz w:val="20"/>
                <w:szCs w:val="20"/>
                <w:color w:val="auto"/>
              </w:rPr>
            </w:pPr>
            <w:r>
              <w:rPr>
                <w:rFonts w:ascii="Arial" w:cs="Arial" w:eastAsia="Arial" w:hAnsi="Arial"/>
                <w:sz w:val="18"/>
                <w:szCs w:val="18"/>
                <w:color w:val="auto"/>
              </w:rPr>
              <w:t>5.5 %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33.3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33.7</w:t>
            </w:r>
          </w:p>
        </w:tc>
      </w:tr>
      <w:tr>
        <w:trPr>
          <w:trHeight w:val="239"/>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various</w:t>
            </w:r>
          </w:p>
        </w:tc>
        <w:tc>
          <w:tcPr>
            <w:tcW w:w="12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150.4</w:t>
            </w:r>
          </w:p>
        </w:tc>
        <w:tc>
          <w:tcPr>
            <w:tcW w:w="1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101.1</w:t>
            </w:r>
          </w:p>
        </w:tc>
      </w:tr>
      <w:tr>
        <w:trPr>
          <w:trHeight w:val="219"/>
        </w:trPr>
        <w:tc>
          <w:tcPr>
            <w:tcW w:w="6000" w:type="dxa"/>
            <w:vAlign w:val="bottom"/>
          </w:tcPr>
          <w:p>
            <w:pPr>
              <w:ind w:left="20"/>
              <w:spacing w:after="0"/>
              <w:rPr>
                <w:sz w:val="20"/>
                <w:szCs w:val="20"/>
                <w:color w:val="auto"/>
              </w:rPr>
            </w:pPr>
            <w:r>
              <w:rPr>
                <w:rFonts w:ascii="Arial" w:cs="Arial" w:eastAsia="Arial" w:hAnsi="Arial"/>
                <w:sz w:val="18"/>
                <w:szCs w:val="18"/>
                <w:color w:val="auto"/>
              </w:rPr>
              <w:t>Total</w:t>
            </w:r>
          </w:p>
        </w:tc>
        <w:tc>
          <w:tcPr>
            <w:tcW w:w="1760" w:type="dxa"/>
            <w:vAlign w:val="bottom"/>
          </w:tcPr>
          <w:p>
            <w:pPr>
              <w:spacing w:after="0"/>
              <w:rPr>
                <w:sz w:val="19"/>
                <w:szCs w:val="19"/>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1,972.5</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1,950.7</w:t>
            </w:r>
          </w:p>
        </w:tc>
      </w:tr>
      <w:tr>
        <w:trPr>
          <w:trHeight w:val="20"/>
        </w:trPr>
        <w:tc>
          <w:tcPr>
            <w:tcW w:w="60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8"/>
          <w:szCs w:val="18"/>
          <w:color w:val="auto"/>
        </w:rPr>
        <w:t>The aggregate fair value of our direct ownership in the common stock of unconsolidated affiliates that have quoted market prices as of June 30, 2023 consisted of the following:</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5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June 30, 2023</w:t>
            </w:r>
          </w:p>
        </w:tc>
      </w:tr>
      <w:tr>
        <w:trPr>
          <w:trHeight w:val="190"/>
        </w:trPr>
        <w:tc>
          <w:tcPr>
            <w:tcW w:w="9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tcPr>
          <w:p>
            <w:pPr>
              <w:jc w:val="right"/>
              <w:ind w:right="377"/>
              <w:spacing w:after="0"/>
              <w:rPr>
                <w:sz w:val="20"/>
                <w:szCs w:val="20"/>
                <w:color w:val="auto"/>
              </w:rPr>
            </w:pPr>
            <w:r>
              <w:rPr>
                <w:rFonts w:ascii="Arial" w:cs="Arial" w:eastAsia="Arial" w:hAnsi="Arial"/>
                <w:sz w:val="14"/>
                <w:szCs w:val="14"/>
                <w:b w:val="1"/>
                <w:bCs w:val="1"/>
                <w:color w:val="auto"/>
              </w:rPr>
              <w:t>(in millions)</w:t>
            </w:r>
          </w:p>
        </w:tc>
      </w:tr>
      <w:tr>
        <w:trPr>
          <w:trHeight w:val="233"/>
        </w:trPr>
        <w:tc>
          <w:tcPr>
            <w:tcW w:w="9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Dun &amp; Bradstreet</w:t>
            </w:r>
          </w:p>
        </w:tc>
        <w:tc>
          <w:tcPr>
            <w:tcW w:w="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914.6</w:t>
            </w:r>
          </w:p>
        </w:tc>
      </w:tr>
      <w:tr>
        <w:trPr>
          <w:trHeight w:val="232"/>
        </w:trPr>
        <w:tc>
          <w:tcPr>
            <w:tcW w:w="9580" w:type="dxa"/>
            <w:vAlign w:val="bottom"/>
          </w:tcPr>
          <w:p>
            <w:pPr>
              <w:ind w:left="20"/>
              <w:spacing w:after="0"/>
              <w:rPr>
                <w:sz w:val="20"/>
                <w:szCs w:val="20"/>
                <w:color w:val="auto"/>
              </w:rPr>
            </w:pPr>
            <w:r>
              <w:rPr>
                <w:rFonts w:ascii="Arial" w:cs="Arial" w:eastAsia="Arial" w:hAnsi="Arial"/>
                <w:sz w:val="18"/>
                <w:szCs w:val="18"/>
                <w:color w:val="auto"/>
              </w:rPr>
              <w:t>Alight</w:t>
            </w:r>
          </w:p>
        </w:tc>
        <w:tc>
          <w:tcPr>
            <w:tcW w:w="2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484.9</w:t>
            </w:r>
          </w:p>
        </w:tc>
      </w:tr>
      <w:tr>
        <w:trPr>
          <w:trHeight w:val="233"/>
        </w:trPr>
        <w:tc>
          <w:tcPr>
            <w:tcW w:w="9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System1</w:t>
            </w:r>
          </w:p>
        </w:tc>
        <w:tc>
          <w:tcPr>
            <w:tcW w:w="26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122.1</w:t>
            </w:r>
          </w:p>
        </w:tc>
      </w:tr>
      <w:tr>
        <w:trPr>
          <w:trHeight w:val="224"/>
        </w:trPr>
        <w:tc>
          <w:tcPr>
            <w:tcW w:w="9580" w:type="dxa"/>
            <w:vAlign w:val="bottom"/>
          </w:tcPr>
          <w:p>
            <w:pPr>
              <w:ind w:left="20"/>
              <w:spacing w:after="0"/>
              <w:rPr>
                <w:sz w:val="20"/>
                <w:szCs w:val="20"/>
                <w:color w:val="auto"/>
              </w:rPr>
            </w:pPr>
            <w:r>
              <w:rPr>
                <w:rFonts w:ascii="Arial" w:cs="Arial" w:eastAsia="Arial" w:hAnsi="Arial"/>
                <w:sz w:val="18"/>
                <w:szCs w:val="18"/>
                <w:color w:val="auto"/>
              </w:rPr>
              <w:t>Paysafe</w:t>
            </w: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34.1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CONDENSED CONSOLIDATED FINANCIAL STATEMENTS (UNAUDITED) — </w:t>
      </w:r>
      <w:r>
        <w:rPr>
          <w:rFonts w:ascii="Arial" w:cs="Arial" w:eastAsia="Arial" w:hAnsi="Arial"/>
          <w:sz w:val="16"/>
          <w:szCs w:val="16"/>
          <w:b w:val="1"/>
          <w:bCs w:val="1"/>
          <w:color w:val="auto"/>
        </w:rPr>
        <w:t>continued</w:t>
      </w:r>
    </w:p>
    <w:p>
      <w:pPr>
        <w:spacing w:after="0" w:line="200" w:lineRule="exact"/>
        <w:rPr>
          <w:sz w:val="20"/>
          <w:szCs w:val="20"/>
          <w:color w:val="auto"/>
        </w:rPr>
      </w:pPr>
    </w:p>
    <w:p>
      <w:pPr>
        <w:spacing w:after="0" w:line="378" w:lineRule="exact"/>
        <w:rPr>
          <w:sz w:val="20"/>
          <w:szCs w:val="20"/>
          <w:color w:val="auto"/>
        </w:rPr>
      </w:pPr>
    </w:p>
    <w:p>
      <w:pPr>
        <w:ind w:left="320"/>
        <w:spacing w:after="0"/>
        <w:rPr>
          <w:sz w:val="20"/>
          <w:szCs w:val="20"/>
          <w:color w:val="auto"/>
        </w:rPr>
      </w:pPr>
      <w:r>
        <w:rPr>
          <w:rFonts w:ascii="Arial" w:cs="Arial" w:eastAsia="Arial" w:hAnsi="Arial"/>
          <w:sz w:val="17"/>
          <w:szCs w:val="17"/>
          <w:color w:val="auto"/>
        </w:rPr>
        <w:t>Equity in (losses) earnings of unconsolidated affiliates for the three and six months ended June 30, 2023 and 2022 consisted of the following:</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380" w:type="dxa"/>
            <w:vAlign w:val="bottom"/>
          </w:tcPr>
          <w:p>
            <w:pPr>
              <w:spacing w:after="0"/>
              <w:rPr>
                <w:sz w:val="16"/>
                <w:szCs w:val="16"/>
                <w:color w:val="auto"/>
              </w:rPr>
            </w:pPr>
          </w:p>
        </w:tc>
        <w:tc>
          <w:tcPr>
            <w:tcW w:w="2760" w:type="dxa"/>
            <w:vAlign w:val="bottom"/>
            <w:gridSpan w:val="4"/>
          </w:tcPr>
          <w:p>
            <w:pPr>
              <w:jc w:val="right"/>
              <w:ind w:right="180"/>
              <w:spacing w:after="0"/>
              <w:rPr>
                <w:sz w:val="20"/>
                <w:szCs w:val="20"/>
                <w:color w:val="auto"/>
              </w:rPr>
            </w:pPr>
            <w:r>
              <w:rPr>
                <w:rFonts w:ascii="Arial" w:cs="Arial" w:eastAsia="Arial" w:hAnsi="Arial"/>
                <w:sz w:val="14"/>
                <w:szCs w:val="14"/>
                <w:b w:val="1"/>
                <w:bCs w:val="1"/>
                <w:color w:val="auto"/>
              </w:rPr>
              <w:t>Three Months Ended June 30,</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80" w:type="dxa"/>
            <w:vAlign w:val="bottom"/>
            <w:gridSpan w:val="4"/>
          </w:tcPr>
          <w:p>
            <w:pPr>
              <w:jc w:val="right"/>
              <w:ind w:right="774"/>
              <w:spacing w:after="0"/>
              <w:rPr>
                <w:sz w:val="20"/>
                <w:szCs w:val="20"/>
                <w:color w:val="auto"/>
              </w:rPr>
            </w:pPr>
            <w:r>
              <w:rPr>
                <w:rFonts w:ascii="Arial" w:cs="Arial" w:eastAsia="Arial" w:hAnsi="Arial"/>
                <w:sz w:val="14"/>
                <w:szCs w:val="14"/>
                <w:b w:val="1"/>
                <w:bCs w:val="1"/>
                <w:color w:val="auto"/>
              </w:rPr>
              <w:t>Six Months Ended June 30,</w:t>
            </w:r>
          </w:p>
        </w:tc>
      </w:tr>
      <w:tr>
        <w:trPr>
          <w:trHeight w:val="24"/>
        </w:trPr>
        <w:tc>
          <w:tcPr>
            <w:tcW w:w="438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78"/>
        </w:trPr>
        <w:tc>
          <w:tcPr>
            <w:tcW w:w="4380" w:type="dxa"/>
            <w:vAlign w:val="bottom"/>
          </w:tcPr>
          <w:p>
            <w:pPr>
              <w:spacing w:after="0"/>
              <w:rPr>
                <w:sz w:val="15"/>
                <w:szCs w:val="15"/>
                <w:color w:val="auto"/>
              </w:rPr>
            </w:pPr>
          </w:p>
        </w:tc>
        <w:tc>
          <w:tcPr>
            <w:tcW w:w="1060" w:type="dxa"/>
            <w:vAlign w:val="bottom"/>
            <w:tcBorders>
              <w:bottom w:val="single" w:sz="8" w:color="auto"/>
            </w:tcBorders>
          </w:tcPr>
          <w:p>
            <w:pPr>
              <w:jc w:val="right"/>
              <w:ind w:right="40"/>
              <w:spacing w:after="0"/>
              <w:rPr>
                <w:sz w:val="20"/>
                <w:szCs w:val="20"/>
                <w:color w:val="auto"/>
              </w:rPr>
            </w:pPr>
            <w:r>
              <w:rPr>
                <w:rFonts w:ascii="Arial" w:cs="Arial" w:eastAsia="Arial" w:hAnsi="Arial"/>
                <w:sz w:val="14"/>
                <w:szCs w:val="14"/>
                <w:b w:val="1"/>
                <w:bCs w:val="1"/>
                <w:color w:val="auto"/>
              </w:rPr>
              <w:t>2023</w:t>
            </w:r>
          </w:p>
        </w:tc>
        <w:tc>
          <w:tcPr>
            <w:tcW w:w="5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2022</w:t>
            </w:r>
          </w:p>
        </w:tc>
        <w:tc>
          <w:tcPr>
            <w:tcW w:w="6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2022</w:t>
            </w:r>
          </w:p>
        </w:tc>
      </w:tr>
      <w:tr>
        <w:trPr>
          <w:trHeight w:val="186"/>
        </w:trPr>
        <w:tc>
          <w:tcPr>
            <w:tcW w:w="43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2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(in millions)</w:t>
            </w: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33"/>
        </w:trPr>
        <w:tc>
          <w:tcPr>
            <w:tcW w:w="4380" w:type="dxa"/>
            <w:vAlign w:val="bottom"/>
            <w:shd w:val="clear" w:color="auto" w:fill="CCEEFF"/>
          </w:tcPr>
          <w:p>
            <w:pPr>
              <w:ind w:left="20"/>
              <w:spacing w:after="0" w:line="233" w:lineRule="exact"/>
              <w:rPr>
                <w:sz w:val="20"/>
                <w:szCs w:val="20"/>
                <w:color w:val="auto"/>
              </w:rPr>
            </w:pPr>
            <w:r>
              <w:rPr>
                <w:rFonts w:ascii="Arial" w:cs="Arial" w:eastAsia="Arial" w:hAnsi="Arial"/>
                <w:sz w:val="18"/>
                <w:szCs w:val="18"/>
                <w:color w:val="auto"/>
              </w:rPr>
              <w:t xml:space="preserve">Dun &amp; Bradstreet </w:t>
            </w:r>
            <w:r>
              <w:rPr>
                <w:rFonts w:ascii="Arial" w:cs="Arial" w:eastAsia="Arial" w:hAnsi="Arial"/>
                <w:sz w:val="22"/>
                <w:szCs w:val="22"/>
                <w:color w:val="auto"/>
                <w:vertAlign w:val="superscript"/>
              </w:rPr>
              <w:t>(1)</w:t>
            </w:r>
          </w:p>
        </w:tc>
        <w:tc>
          <w:tcPr>
            <w:tcW w:w="1060" w:type="dxa"/>
            <w:vAlign w:val="bottom"/>
            <w:shd w:val="clear" w:color="auto" w:fill="CCEEFF"/>
          </w:tcPr>
          <w:p>
            <w:pPr>
              <w:jc w:val="right"/>
              <w:ind w:right="88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14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6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r>
      <w:tr>
        <w:trPr>
          <w:trHeight w:val="232"/>
        </w:trPr>
        <w:tc>
          <w:tcPr>
            <w:tcW w:w="4380" w:type="dxa"/>
            <w:vAlign w:val="bottom"/>
          </w:tcPr>
          <w:p>
            <w:pPr>
              <w:ind w:left="20"/>
              <w:spacing w:after="0"/>
              <w:rPr>
                <w:sz w:val="20"/>
                <w:szCs w:val="20"/>
                <w:color w:val="auto"/>
              </w:rPr>
            </w:pPr>
            <w:r>
              <w:rPr>
                <w:rFonts w:ascii="Arial" w:cs="Arial" w:eastAsia="Arial" w:hAnsi="Arial"/>
                <w:sz w:val="18"/>
                <w:szCs w:val="18"/>
                <w:color w:val="auto"/>
              </w:rPr>
              <w:t>Alight</w:t>
            </w:r>
          </w:p>
        </w:tc>
        <w:tc>
          <w:tcPr>
            <w:tcW w:w="10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(14.1)</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33"/>
        </w:trPr>
        <w:tc>
          <w:tcPr>
            <w:tcW w:w="4380" w:type="dxa"/>
            <w:vAlign w:val="bottom"/>
            <w:shd w:val="clear" w:color="auto" w:fill="CCEEFF"/>
          </w:tcPr>
          <w:p>
            <w:pPr>
              <w:ind w:left="20"/>
              <w:spacing w:after="0" w:line="232" w:lineRule="exact"/>
              <w:rPr>
                <w:sz w:val="20"/>
                <w:szCs w:val="20"/>
                <w:color w:val="auto"/>
              </w:rPr>
            </w:pPr>
            <w:r>
              <w:rPr>
                <w:rFonts w:ascii="Arial" w:cs="Arial" w:eastAsia="Arial" w:hAnsi="Arial"/>
                <w:sz w:val="18"/>
                <w:szCs w:val="18"/>
                <w:color w:val="auto"/>
              </w:rPr>
              <w:t xml:space="preserve">Sightline </w:t>
            </w:r>
            <w:r>
              <w:rPr>
                <w:rFonts w:ascii="Arial" w:cs="Arial" w:eastAsia="Arial" w:hAnsi="Arial"/>
                <w:sz w:val="22"/>
                <w:szCs w:val="22"/>
                <w:color w:val="auto"/>
                <w:vertAlign w:val="superscript"/>
              </w:rPr>
              <w:t>(2)</w:t>
            </w:r>
          </w:p>
        </w:tc>
        <w:tc>
          <w:tcPr>
            <w:tcW w:w="106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r>
      <w:tr>
        <w:trPr>
          <w:trHeight w:val="225"/>
        </w:trPr>
        <w:tc>
          <w:tcPr>
            <w:tcW w:w="4380" w:type="dxa"/>
            <w:vAlign w:val="bottom"/>
          </w:tcPr>
          <w:p>
            <w:pPr>
              <w:ind w:left="20"/>
              <w:spacing w:after="0"/>
              <w:rPr>
                <w:sz w:val="20"/>
                <w:szCs w:val="20"/>
                <w:color w:val="auto"/>
              </w:rPr>
            </w:pPr>
            <w:r>
              <w:rPr>
                <w:rFonts w:ascii="Arial" w:cs="Arial" w:eastAsia="Arial" w:hAnsi="Arial"/>
                <w:sz w:val="18"/>
                <w:szCs w:val="18"/>
                <w:color w:val="auto"/>
              </w:rPr>
              <w:t>System1</w:t>
            </w:r>
          </w:p>
        </w:tc>
        <w:tc>
          <w:tcPr>
            <w:tcW w:w="10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(22.6)</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39"/>
        </w:trPr>
        <w:tc>
          <w:tcPr>
            <w:tcW w:w="4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BKFE</w:t>
            </w:r>
          </w:p>
        </w:tc>
        <w:tc>
          <w:tcPr>
            <w:tcW w:w="106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4380" w:type="dxa"/>
            <w:vAlign w:val="bottom"/>
          </w:tcPr>
          <w:p>
            <w:pPr>
              <w:ind w:left="20"/>
              <w:spacing w:after="0"/>
              <w:rPr>
                <w:sz w:val="20"/>
                <w:szCs w:val="20"/>
                <w:color w:val="auto"/>
              </w:rPr>
            </w:pPr>
            <w:r>
              <w:rPr>
                <w:rFonts w:ascii="Arial" w:cs="Arial" w:eastAsia="Arial" w:hAnsi="Arial"/>
                <w:sz w:val="18"/>
                <w:szCs w:val="18"/>
                <w:color w:val="auto"/>
              </w:rPr>
              <w:t>Paysafe</w:t>
            </w:r>
          </w:p>
        </w:tc>
        <w:tc>
          <w:tcPr>
            <w:tcW w:w="10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(96.7)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(89.9)</w:t>
            </w:r>
          </w:p>
        </w:tc>
      </w:tr>
      <w:tr>
        <w:trPr>
          <w:trHeight w:val="226"/>
        </w:trPr>
        <w:tc>
          <w:tcPr>
            <w:tcW w:w="4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0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w:t>
            </w:r>
          </w:p>
        </w:tc>
      </w:tr>
      <w:tr>
        <w:trPr>
          <w:trHeight w:val="233"/>
        </w:trPr>
        <w:tc>
          <w:tcPr>
            <w:tcW w:w="4380" w:type="dxa"/>
            <w:vAlign w:val="bottom"/>
          </w:tcPr>
          <w:p>
            <w:pPr>
              <w:ind w:left="20"/>
              <w:spacing w:after="0"/>
              <w:rPr>
                <w:sz w:val="20"/>
                <w:szCs w:val="20"/>
                <w:color w:val="auto"/>
              </w:rPr>
            </w:pPr>
            <w:r>
              <w:rPr>
                <w:rFonts w:ascii="Arial" w:cs="Arial" w:eastAsia="Arial" w:hAnsi="Arial"/>
                <w:sz w:val="18"/>
                <w:szCs w:val="18"/>
                <w:color w:val="auto"/>
              </w:rPr>
              <w:t>Total</w:t>
            </w:r>
          </w:p>
        </w:tc>
        <w:tc>
          <w:tcPr>
            <w:tcW w:w="1060" w:type="dxa"/>
            <w:vAlign w:val="bottom"/>
          </w:tcPr>
          <w:p>
            <w:pPr>
              <w:jc w:val="right"/>
              <w:ind w:right="88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(49.1)</w:t>
            </w:r>
          </w:p>
        </w:tc>
        <w:tc>
          <w:tcPr>
            <w:tcW w:w="1140" w:type="dxa"/>
            <w:vAlign w:val="bottom"/>
            <w:gridSpan w:val="2"/>
          </w:tcPr>
          <w:p>
            <w:pPr>
              <w:jc w:val="right"/>
              <w:ind w:right="9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8"/>
              </w:rPr>
              <w:t>(108.0)</w:t>
            </w:r>
          </w:p>
        </w:tc>
        <w:tc>
          <w:tcPr>
            <w:tcW w:w="6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(81.2)</w:t>
            </w:r>
          </w:p>
        </w:tc>
        <w:tc>
          <w:tcPr>
            <w:tcW w:w="5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(76.1)</w:t>
            </w:r>
          </w:p>
        </w:tc>
      </w:tr>
      <w:tr>
        <w:trPr>
          <w:trHeight w:val="20"/>
        </w:trPr>
        <w:tc>
          <w:tcPr>
            <w:tcW w:w="43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6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_____________________________________</w:t>
      </w:r>
    </w:p>
    <w:p>
      <w:pPr>
        <w:spacing w:after="0" w:line="118" w:lineRule="exact"/>
        <w:rPr>
          <w:sz w:val="20"/>
          <w:szCs w:val="20"/>
          <w:color w:val="auto"/>
        </w:rPr>
      </w:pPr>
    </w:p>
    <w:p>
      <w:pPr>
        <w:spacing w:after="0"/>
        <w:rPr>
          <w:sz w:val="20"/>
          <w:szCs w:val="20"/>
          <w:color w:val="auto"/>
        </w:rPr>
      </w:pPr>
      <w:r>
        <w:rPr>
          <w:rFonts w:ascii="Arial" w:cs="Arial" w:eastAsia="Arial" w:hAnsi="Arial"/>
          <w:sz w:val="13"/>
          <w:szCs w:val="13"/>
          <w:color w:val="auto"/>
        </w:rPr>
        <w:t>(1) Equity in losses for D&amp;B includes $2.1 million of loss for the three months ended June 30, 2023 and 2022, respectively, and $4.3 million and $3.2 million of loss for the six months ended</w:t>
      </w:r>
    </w:p>
    <w:p>
      <w:pPr>
        <w:spacing w:after="0" w:line="30" w:lineRule="exact"/>
        <w:rPr>
          <w:sz w:val="20"/>
          <w:szCs w:val="20"/>
          <w:color w:val="auto"/>
        </w:rPr>
      </w:pPr>
    </w:p>
    <w:p>
      <w:pPr>
        <w:jc w:val="both"/>
        <w:ind w:right="40"/>
        <w:spacing w:after="0" w:line="250" w:lineRule="auto"/>
        <w:rPr>
          <w:sz w:val="20"/>
          <w:szCs w:val="20"/>
          <w:color w:val="auto"/>
        </w:rPr>
      </w:pPr>
      <w:r>
        <w:rPr>
          <w:rFonts w:ascii="Arial" w:cs="Arial" w:eastAsia="Arial" w:hAnsi="Arial"/>
          <w:sz w:val="14"/>
          <w:szCs w:val="14"/>
          <w:color w:val="auto"/>
        </w:rPr>
        <w:t>June 30, 2023 and 2022, respectively, related to amortization of Cannae's basis difference between the book value of its ownership interest and ratable portion of the underlying equity in net assets of D&amp;B.</w:t>
      </w:r>
    </w:p>
    <w:p>
      <w:pPr>
        <w:spacing w:after="0" w:line="1" w:lineRule="exact"/>
        <w:rPr>
          <w:sz w:val="20"/>
          <w:szCs w:val="20"/>
          <w:color w:val="auto"/>
        </w:rPr>
      </w:pPr>
    </w:p>
    <w:p>
      <w:pPr>
        <w:ind w:right="220" w:firstLine="6"/>
        <w:spacing w:after="0" w:line="306" w:lineRule="auto"/>
        <w:tabs>
          <w:tab w:leader="none" w:pos="200" w:val="left"/>
        </w:tabs>
        <w:numPr>
          <w:ilvl w:val="0"/>
          <w:numId w:val="6"/>
        </w:numPr>
        <w:rPr>
          <w:rFonts w:ascii="Arial" w:cs="Arial" w:eastAsia="Arial" w:hAnsi="Arial"/>
          <w:sz w:val="13"/>
          <w:szCs w:val="13"/>
          <w:color w:val="auto"/>
        </w:rPr>
      </w:pPr>
      <w:r>
        <w:rPr>
          <w:rFonts w:ascii="Arial" w:cs="Arial" w:eastAsia="Arial" w:hAnsi="Arial"/>
          <w:sz w:val="13"/>
          <w:szCs w:val="13"/>
          <w:color w:val="auto"/>
        </w:rPr>
        <w:t>Equity in losses for Sightline includes $1.9 million of loss in the three months ended June 30, 2023 and 2022, respectively, and $3.9 million of loss for the six months ended June 30, 2023 and 2022, respectively, related to amortization of Cannae's basis difference between the book value of its investment and ratable portion of the underlying equity in net assets of Sightline.</w:t>
      </w:r>
    </w:p>
    <w:p>
      <w:pPr>
        <w:spacing w:after="0" w:line="64"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Dun &amp; Bradstreet</w:t>
      </w:r>
    </w:p>
    <w:p>
      <w:pPr>
        <w:spacing w:after="0" w:line="98" w:lineRule="exact"/>
        <w:rPr>
          <w:sz w:val="20"/>
          <w:szCs w:val="20"/>
          <w:color w:val="auto"/>
        </w:rPr>
      </w:pPr>
    </w:p>
    <w:p>
      <w:pPr>
        <w:ind w:firstLine="318"/>
        <w:spacing w:after="0" w:line="347" w:lineRule="auto"/>
        <w:rPr>
          <w:sz w:val="20"/>
          <w:szCs w:val="20"/>
          <w:color w:val="auto"/>
        </w:rPr>
      </w:pPr>
      <w:r>
        <w:rPr>
          <w:rFonts w:ascii="Arial" w:cs="Arial" w:eastAsia="Arial" w:hAnsi="Arial"/>
          <w:sz w:val="15"/>
          <w:szCs w:val="15"/>
          <w:color w:val="auto"/>
        </w:rPr>
        <w:t>Summarized financial information for D&amp;B for the relevant dates and time periods included in Investments in unconsolidated affiliates and Equity in earnings of unconsolidated affiliates in our Condensed Consolidated Balance Sheets and Statements of Operations, respectively, is presented below.</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tcPr>
          <w:p>
            <w:pPr>
              <w:jc w:val="right"/>
              <w:ind w:right="335"/>
              <w:spacing w:after="0"/>
              <w:rPr>
                <w:sz w:val="20"/>
                <w:szCs w:val="20"/>
                <w:color w:val="auto"/>
              </w:rPr>
            </w:pPr>
            <w:r>
              <w:rPr>
                <w:rFonts w:ascii="Arial" w:cs="Arial" w:eastAsia="Arial" w:hAnsi="Arial"/>
                <w:sz w:val="14"/>
                <w:szCs w:val="14"/>
                <w:b w:val="1"/>
                <w:bCs w:val="1"/>
                <w:color w:val="auto"/>
              </w:rPr>
              <w:t>June 30, 2023</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jc w:val="right"/>
              <w:ind w:right="173"/>
              <w:spacing w:after="0"/>
              <w:rPr>
                <w:sz w:val="20"/>
                <w:szCs w:val="20"/>
                <w:color w:val="auto"/>
              </w:rPr>
            </w:pPr>
            <w:r>
              <w:rPr>
                <w:rFonts w:ascii="Arial" w:cs="Arial" w:eastAsia="Arial" w:hAnsi="Arial"/>
                <w:sz w:val="14"/>
                <w:szCs w:val="14"/>
                <w:b w:val="1"/>
                <w:bCs w:val="1"/>
                <w:color w:val="auto"/>
                <w:w w:val="93"/>
              </w:rPr>
              <w:t>December 31, 2022</w:t>
            </w:r>
          </w:p>
        </w:tc>
      </w:tr>
      <w:tr>
        <w:trPr>
          <w:trHeight w:val="24"/>
        </w:trPr>
        <w:tc>
          <w:tcPr>
            <w:tcW w:w="78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r>
      <w:tr>
        <w:trPr>
          <w:trHeight w:val="178"/>
        </w:trPr>
        <w:tc>
          <w:tcPr>
            <w:tcW w:w="7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160" w:type="dxa"/>
            <w:vAlign w:val="bottom"/>
            <w:gridSpan w:val="4"/>
          </w:tcPr>
          <w:p>
            <w:pPr>
              <w:jc w:val="right"/>
              <w:ind w:right="1253"/>
              <w:spacing w:after="0"/>
              <w:rPr>
                <w:sz w:val="20"/>
                <w:szCs w:val="20"/>
                <w:color w:val="auto"/>
              </w:rPr>
            </w:pPr>
            <w:r>
              <w:rPr>
                <w:rFonts w:ascii="Arial" w:cs="Arial" w:eastAsia="Arial" w:hAnsi="Arial"/>
                <w:sz w:val="14"/>
                <w:szCs w:val="14"/>
                <w:b w:val="1"/>
                <w:bCs w:val="1"/>
                <w:color w:val="auto"/>
              </w:rPr>
              <w:t>(In millions)</w:t>
            </w:r>
          </w:p>
        </w:tc>
      </w:tr>
      <w:tr>
        <w:trPr>
          <w:trHeight w:val="240"/>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assets</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690.1</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703.9</w:t>
            </w:r>
          </w:p>
        </w:tc>
      </w:tr>
      <w:tr>
        <w:trPr>
          <w:trHeight w:val="225"/>
        </w:trPr>
        <w:tc>
          <w:tcPr>
            <w:tcW w:w="7840" w:type="dxa"/>
            <w:vAlign w:val="bottom"/>
          </w:tcPr>
          <w:p>
            <w:pPr>
              <w:ind w:left="20"/>
              <w:spacing w:after="0"/>
              <w:rPr>
                <w:sz w:val="20"/>
                <w:szCs w:val="20"/>
                <w:color w:val="auto"/>
              </w:rPr>
            </w:pPr>
            <w:r>
              <w:rPr>
                <w:rFonts w:ascii="Arial" w:cs="Arial" w:eastAsia="Arial" w:hAnsi="Arial"/>
                <w:sz w:val="18"/>
                <w:szCs w:val="18"/>
                <w:color w:val="auto"/>
              </w:rPr>
              <w:t>Goodwill and other intangible assets, net</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7,535.7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7,751.4</w:t>
            </w:r>
          </w:p>
        </w:tc>
      </w:tr>
      <w:tr>
        <w:trPr>
          <w:trHeight w:val="226"/>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1,041.4</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1,016.6</w:t>
            </w:r>
          </w:p>
        </w:tc>
      </w:tr>
      <w:tr>
        <w:trPr>
          <w:trHeight w:val="233"/>
        </w:trPr>
        <w:tc>
          <w:tcPr>
            <w:tcW w:w="784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9,267.2</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9,471.9</w:t>
            </w:r>
          </w:p>
        </w:tc>
      </w:tr>
      <w:tr>
        <w:trPr>
          <w:trHeight w:val="20"/>
        </w:trPr>
        <w:tc>
          <w:tcPr>
            <w:tcW w:w="784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r>
        <w:trPr>
          <w:trHeight w:val="232"/>
        </w:trPr>
        <w:tc>
          <w:tcPr>
            <w:tcW w:w="78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r>
      <w:tr>
        <w:trPr>
          <w:trHeight w:val="225"/>
        </w:trPr>
        <w:tc>
          <w:tcPr>
            <w:tcW w:w="784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974.6</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1,102.6</w:t>
            </w:r>
          </w:p>
        </w:tc>
      </w:tr>
      <w:tr>
        <w:trPr>
          <w:trHeight w:val="226"/>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3,613.0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3,552.2</w:t>
            </w:r>
          </w:p>
        </w:tc>
      </w:tr>
      <w:tr>
        <w:trPr>
          <w:trHeight w:val="226"/>
        </w:trPr>
        <w:tc>
          <w:tcPr>
            <w:tcW w:w="7840" w:type="dxa"/>
            <w:vAlign w:val="bottom"/>
          </w:tcPr>
          <w:p>
            <w:pPr>
              <w:ind w:left="20"/>
              <w:spacing w:after="0"/>
              <w:rPr>
                <w:sz w:val="20"/>
                <w:szCs w:val="20"/>
                <w:color w:val="auto"/>
              </w:rPr>
            </w:pPr>
            <w:r>
              <w:rPr>
                <w:rFonts w:ascii="Arial" w:cs="Arial" w:eastAsia="Arial" w:hAnsi="Arial"/>
                <w:sz w:val="18"/>
                <w:szCs w:val="18"/>
                <w:color w:val="auto"/>
              </w:rPr>
              <w:t>Other non-current liabilities</w:t>
            </w: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1,230.0</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1,308.7</w:t>
            </w:r>
          </w:p>
        </w:tc>
      </w:tr>
      <w:tr>
        <w:trPr>
          <w:trHeight w:val="232"/>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24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5,817.6</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5,963.5</w:t>
            </w:r>
          </w:p>
        </w:tc>
      </w:tr>
      <w:tr>
        <w:trPr>
          <w:trHeight w:val="225"/>
        </w:trPr>
        <w:tc>
          <w:tcPr>
            <w:tcW w:w="7840" w:type="dxa"/>
            <w:vAlign w:val="bottom"/>
          </w:tcPr>
          <w:p>
            <w:pPr>
              <w:ind w:left="20"/>
              <w:spacing w:after="0"/>
              <w:rPr>
                <w:sz w:val="20"/>
                <w:szCs w:val="20"/>
                <w:color w:val="auto"/>
              </w:rPr>
            </w:pPr>
            <w:r>
              <w:rPr>
                <w:rFonts w:ascii="Arial" w:cs="Arial" w:eastAsia="Arial" w:hAnsi="Arial"/>
                <w:sz w:val="18"/>
                <w:szCs w:val="18"/>
                <w:color w:val="auto"/>
              </w:rPr>
              <w:t>Total equity</w:t>
            </w: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3,449.6</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3,508.4</w:t>
            </w:r>
          </w:p>
        </w:tc>
      </w:tr>
      <w:tr>
        <w:trPr>
          <w:trHeight w:val="239"/>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liabilities and equity</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9,267.2</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9,471.9</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CONDENSED CONSOLIDATED FINANCIAL STATEMENTS (UNAUDITED) — </w:t>
      </w:r>
      <w:r>
        <w:rPr>
          <w:rFonts w:ascii="Arial" w:cs="Arial" w:eastAsia="Arial" w:hAnsi="Arial"/>
          <w:sz w:val="16"/>
          <w:szCs w:val="16"/>
          <w:b w:val="1"/>
          <w:bCs w:val="1"/>
          <w:color w:val="auto"/>
        </w:rPr>
        <w:t>continued</w:t>
      </w:r>
    </w:p>
    <w:p>
      <w:pPr>
        <w:spacing w:after="0" w:line="200" w:lineRule="exact"/>
        <w:rPr>
          <w:sz w:val="20"/>
          <w:szCs w:val="20"/>
          <w:color w:val="auto"/>
        </w:rPr>
      </w:pPr>
    </w:p>
    <w:p>
      <w:pPr>
        <w:spacing w:after="0" w:line="301"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5120" w:type="dxa"/>
            <w:vAlign w:val="bottom"/>
          </w:tcPr>
          <w:p>
            <w:pPr>
              <w:spacing w:after="0"/>
              <w:rPr>
                <w:sz w:val="16"/>
                <w:szCs w:val="16"/>
                <w:color w:val="auto"/>
              </w:rPr>
            </w:pPr>
          </w:p>
        </w:tc>
        <w:tc>
          <w:tcPr>
            <w:tcW w:w="2440" w:type="dxa"/>
            <w:vAlign w:val="bottom"/>
            <w:gridSpan w:val="3"/>
          </w:tcPr>
          <w:p>
            <w:pPr>
              <w:ind w:left="600"/>
              <w:spacing w:after="0"/>
              <w:rPr>
                <w:sz w:val="20"/>
                <w:szCs w:val="20"/>
                <w:color w:val="auto"/>
              </w:rPr>
            </w:pPr>
            <w:r>
              <w:rPr>
                <w:rFonts w:ascii="Arial" w:cs="Arial" w:eastAsia="Arial" w:hAnsi="Arial"/>
                <w:sz w:val="14"/>
                <w:szCs w:val="14"/>
                <w:b w:val="1"/>
                <w:bCs w:val="1"/>
                <w:color w:val="auto"/>
                <w:w w:val="92"/>
              </w:rPr>
              <w:t>Three months ended June 30,</w:t>
            </w: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540" w:type="dxa"/>
            <w:vAlign w:val="bottom"/>
            <w:gridSpan w:val="3"/>
          </w:tcPr>
          <w:p>
            <w:pPr>
              <w:jc w:val="right"/>
              <w:ind w:right="614"/>
              <w:spacing w:after="0"/>
              <w:rPr>
                <w:sz w:val="20"/>
                <w:szCs w:val="20"/>
                <w:color w:val="auto"/>
              </w:rPr>
            </w:pPr>
            <w:r>
              <w:rPr>
                <w:rFonts w:ascii="Arial" w:cs="Arial" w:eastAsia="Arial" w:hAnsi="Arial"/>
                <w:sz w:val="14"/>
                <w:szCs w:val="14"/>
                <w:b w:val="1"/>
                <w:bCs w:val="1"/>
                <w:color w:val="auto"/>
              </w:rPr>
              <w:t>Six months ended June 30,</w:t>
            </w:r>
          </w:p>
        </w:tc>
      </w:tr>
      <w:tr>
        <w:trPr>
          <w:trHeight w:val="24"/>
        </w:trPr>
        <w:tc>
          <w:tcPr>
            <w:tcW w:w="51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78"/>
        </w:trPr>
        <w:tc>
          <w:tcPr>
            <w:tcW w:w="5120" w:type="dxa"/>
            <w:vAlign w:val="bottom"/>
          </w:tcPr>
          <w:p>
            <w:pPr>
              <w:spacing w:after="0"/>
              <w:rPr>
                <w:sz w:val="15"/>
                <w:szCs w:val="15"/>
                <w:color w:val="auto"/>
              </w:rPr>
            </w:pPr>
          </w:p>
        </w:tc>
        <w:tc>
          <w:tcPr>
            <w:tcW w:w="920" w:type="dxa"/>
            <w:vAlign w:val="bottom"/>
            <w:tcBorders>
              <w:bottom w:val="single" w:sz="8" w:color="auto"/>
            </w:tcBorders>
          </w:tcPr>
          <w:p>
            <w:pPr>
              <w:ind w:left="580"/>
              <w:spacing w:after="0"/>
              <w:rPr>
                <w:sz w:val="20"/>
                <w:szCs w:val="20"/>
                <w:color w:val="auto"/>
              </w:rPr>
            </w:pPr>
            <w:r>
              <w:rPr>
                <w:rFonts w:ascii="Arial" w:cs="Arial" w:eastAsia="Arial" w:hAnsi="Arial"/>
                <w:sz w:val="14"/>
                <w:szCs w:val="14"/>
                <w:b w:val="1"/>
                <w:bCs w:val="1"/>
                <w:color w:val="auto"/>
              </w:rPr>
              <w:t>2023</w:t>
            </w:r>
          </w:p>
        </w:tc>
        <w:tc>
          <w:tcPr>
            <w:tcW w:w="5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2023</w:t>
            </w:r>
          </w:p>
        </w:tc>
        <w:tc>
          <w:tcPr>
            <w:tcW w:w="4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2022</w:t>
            </w:r>
          </w:p>
        </w:tc>
      </w:tr>
      <w:tr>
        <w:trPr>
          <w:trHeight w:val="186"/>
        </w:trPr>
        <w:tc>
          <w:tcPr>
            <w:tcW w:w="5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8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(In millions)</w:t>
            </w:r>
          </w:p>
        </w:tc>
        <w:tc>
          <w:tcPr>
            <w:tcW w:w="10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3"/>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920" w:type="dxa"/>
            <w:vAlign w:val="bottom"/>
            <w:shd w:val="clear" w:color="auto" w:fill="CCEEFF"/>
          </w:tcPr>
          <w:p>
            <w:pPr>
              <w:jc w:val="right"/>
              <w:ind w:right="723"/>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3"/>
              </w:rPr>
              <w:t>554.7</w:t>
            </w:r>
          </w:p>
        </w:tc>
        <w:tc>
          <w:tcPr>
            <w:tcW w:w="960" w:type="dxa"/>
            <w:vAlign w:val="bottom"/>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537.3</w:t>
            </w:r>
          </w:p>
        </w:tc>
        <w:tc>
          <w:tcPr>
            <w:tcW w:w="5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1,095.1</w:t>
            </w:r>
          </w:p>
        </w:tc>
        <w:tc>
          <w:tcPr>
            <w:tcW w:w="4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1,073.3</w:t>
            </w:r>
          </w:p>
        </w:tc>
      </w:tr>
      <w:tr>
        <w:trPr>
          <w:trHeight w:val="232"/>
        </w:trPr>
        <w:tc>
          <w:tcPr>
            <w:tcW w:w="512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920" w:type="dxa"/>
            <w:vAlign w:val="bottom"/>
          </w:tcPr>
          <w:p>
            <w:pPr>
              <w:spacing w:after="0"/>
              <w:rPr>
                <w:sz w:val="20"/>
                <w:szCs w:val="20"/>
                <w:color w:val="auto"/>
              </w:rPr>
            </w:pPr>
          </w:p>
        </w:tc>
        <w:tc>
          <w:tcPr>
            <w:tcW w:w="560" w:type="dxa"/>
            <w:vAlign w:val="bottom"/>
          </w:tcPr>
          <w:p>
            <w:pPr>
              <w:jc w:val="right"/>
              <w:ind w:right="32"/>
              <w:spacing w:after="0"/>
              <w:rPr>
                <w:sz w:val="20"/>
                <w:szCs w:val="20"/>
                <w:color w:val="auto"/>
              </w:rPr>
            </w:pPr>
            <w:r>
              <w:rPr>
                <w:rFonts w:ascii="Arial" w:cs="Arial" w:eastAsia="Arial" w:hAnsi="Arial"/>
                <w:sz w:val="18"/>
                <w:szCs w:val="18"/>
                <w:color w:val="auto"/>
              </w:rPr>
              <w:t>16.5</w:t>
            </w:r>
          </w:p>
        </w:tc>
        <w:tc>
          <w:tcPr>
            <w:tcW w:w="9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29.7</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jc w:val="right"/>
              <w:ind w:right="36"/>
              <w:spacing w:after="0"/>
              <w:rPr>
                <w:sz w:val="20"/>
                <w:szCs w:val="20"/>
                <w:color w:val="auto"/>
              </w:rPr>
            </w:pPr>
            <w:r>
              <w:rPr>
                <w:rFonts w:ascii="Arial" w:cs="Arial" w:eastAsia="Arial" w:hAnsi="Arial"/>
                <w:sz w:val="18"/>
                <w:szCs w:val="18"/>
                <w:color w:val="auto"/>
              </w:rPr>
              <w:t>24.4</w:t>
            </w:r>
          </w:p>
        </w:tc>
        <w:tc>
          <w:tcPr>
            <w:tcW w:w="4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46.1</w:t>
            </w:r>
          </w:p>
        </w:tc>
      </w:tr>
      <w:tr>
        <w:trPr>
          <w:trHeight w:val="233"/>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before income taxes</w:t>
            </w:r>
          </w:p>
        </w:tc>
        <w:tc>
          <w:tcPr>
            <w:tcW w:w="92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(37.0)</w:t>
            </w:r>
          </w:p>
        </w:tc>
        <w:tc>
          <w:tcPr>
            <w:tcW w:w="96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w:t>
            </w:r>
          </w:p>
        </w:tc>
        <w:tc>
          <w:tcPr>
            <w:tcW w:w="40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w:t>
            </w:r>
          </w:p>
        </w:tc>
      </w:tr>
      <w:tr>
        <w:trPr>
          <w:trHeight w:val="225"/>
        </w:trPr>
        <w:tc>
          <w:tcPr>
            <w:tcW w:w="5120" w:type="dxa"/>
            <w:vAlign w:val="bottom"/>
          </w:tcPr>
          <w:p>
            <w:pPr>
              <w:ind w:left="20"/>
              <w:spacing w:after="0"/>
              <w:rPr>
                <w:sz w:val="20"/>
                <w:szCs w:val="20"/>
                <w:color w:val="auto"/>
              </w:rPr>
            </w:pPr>
            <w:r>
              <w:rPr>
                <w:rFonts w:ascii="Arial" w:cs="Arial" w:eastAsia="Arial" w:hAnsi="Arial"/>
                <w:sz w:val="18"/>
                <w:szCs w:val="18"/>
                <w:color w:val="auto"/>
              </w:rPr>
              <w:t>Net loss</w:t>
            </w:r>
          </w:p>
        </w:tc>
        <w:tc>
          <w:tcPr>
            <w:tcW w:w="9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7"/>
              </w:rPr>
              <w:t>(18.8)</w:t>
            </w:r>
          </w:p>
        </w:tc>
        <w:tc>
          <w:tcPr>
            <w:tcW w:w="9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(51.6)</w:t>
            </w: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(29.8)</w:t>
            </w:r>
          </w:p>
        </w:tc>
      </w:tr>
      <w:tr>
        <w:trPr>
          <w:trHeight w:val="239"/>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net earnings attributable to noncontrolling interest</w:t>
            </w:r>
          </w:p>
        </w:tc>
        <w:tc>
          <w:tcPr>
            <w:tcW w:w="920" w:type="dxa"/>
            <w:vAlign w:val="bottom"/>
            <w:shd w:val="clear" w:color="auto" w:fill="CCEEFF"/>
          </w:tcPr>
          <w:p>
            <w:pPr>
              <w:spacing w:after="0"/>
              <w:rPr>
                <w:sz w:val="20"/>
                <w:szCs w:val="20"/>
                <w:color w:val="auto"/>
              </w:rPr>
            </w:pPr>
          </w:p>
        </w:tc>
        <w:tc>
          <w:tcPr>
            <w:tcW w:w="5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0.6</w:t>
            </w:r>
          </w:p>
        </w:tc>
        <w:tc>
          <w:tcPr>
            <w:tcW w:w="96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1.5</w:t>
            </w:r>
          </w:p>
        </w:tc>
        <w:tc>
          <w:tcPr>
            <w:tcW w:w="40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24"/>
        </w:trPr>
        <w:tc>
          <w:tcPr>
            <w:tcW w:w="5120" w:type="dxa"/>
            <w:vAlign w:val="bottom"/>
          </w:tcPr>
          <w:p>
            <w:pPr>
              <w:ind w:left="20"/>
              <w:spacing w:after="0"/>
              <w:rPr>
                <w:sz w:val="20"/>
                <w:szCs w:val="20"/>
                <w:color w:val="auto"/>
              </w:rPr>
            </w:pPr>
            <w:r>
              <w:rPr>
                <w:rFonts w:ascii="Arial" w:cs="Arial" w:eastAsia="Arial" w:hAnsi="Arial"/>
                <w:sz w:val="18"/>
                <w:szCs w:val="18"/>
                <w:color w:val="auto"/>
              </w:rPr>
              <w:t>Net loss attributable to Dun &amp; Bradstreet</w:t>
            </w:r>
          </w:p>
        </w:tc>
        <w:tc>
          <w:tcPr>
            <w:tcW w:w="9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7"/>
              </w:rPr>
              <w:t>(19.4)</w:t>
            </w:r>
          </w:p>
        </w:tc>
        <w:tc>
          <w:tcPr>
            <w:tcW w:w="9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(53.1)</w:t>
            </w: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(33.1)</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Securities</w:t>
      </w:r>
    </w:p>
    <w:p>
      <w:pPr>
        <w:spacing w:after="0" w:line="111"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8"/>
          <w:szCs w:val="18"/>
          <w:color w:val="auto"/>
        </w:rPr>
        <w:t>Gains (losses) on equity securities included in Recognized gains (losses), net on the Condensed Consolidated Statements of Operations consisted of the following for the three and six months ended June 30, 2023 and 2022:</w:t>
      </w:r>
    </w:p>
    <w:p>
      <w:pPr>
        <w:spacing w:after="0" w:line="103"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5980" w:type="dxa"/>
            <w:vAlign w:val="bottom"/>
          </w:tcPr>
          <w:p>
            <w:pPr>
              <w:spacing w:after="0"/>
              <w:rPr>
                <w:sz w:val="16"/>
                <w:szCs w:val="16"/>
                <w:color w:val="auto"/>
              </w:rPr>
            </w:pPr>
          </w:p>
        </w:tc>
        <w:tc>
          <w:tcPr>
            <w:tcW w:w="2580" w:type="dxa"/>
            <w:vAlign w:val="bottom"/>
            <w:tcBorders>
              <w:bottom w:val="single" w:sz="8" w:color="auto"/>
            </w:tcBorders>
            <w:gridSpan w:val="5"/>
          </w:tcPr>
          <w:p>
            <w:pPr>
              <w:jc w:val="right"/>
              <w:ind w:right="299"/>
              <w:spacing w:after="0"/>
              <w:rPr>
                <w:sz w:val="20"/>
                <w:szCs w:val="20"/>
                <w:color w:val="auto"/>
              </w:rPr>
            </w:pPr>
            <w:r>
              <w:rPr>
                <w:rFonts w:ascii="Arial" w:cs="Arial" w:eastAsia="Arial" w:hAnsi="Arial"/>
                <w:sz w:val="14"/>
                <w:szCs w:val="14"/>
                <w:b w:val="1"/>
                <w:bCs w:val="1"/>
                <w:color w:val="auto"/>
              </w:rPr>
              <w:t>Three Months Ended June 30,</w:t>
            </w:r>
          </w:p>
        </w:tc>
        <w:tc>
          <w:tcPr>
            <w:tcW w:w="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4"/>
          </w:tcPr>
          <w:p>
            <w:pPr>
              <w:jc w:val="right"/>
              <w:ind w:right="356"/>
              <w:spacing w:after="0"/>
              <w:rPr>
                <w:sz w:val="20"/>
                <w:szCs w:val="20"/>
                <w:color w:val="auto"/>
              </w:rPr>
            </w:pPr>
            <w:r>
              <w:rPr>
                <w:rFonts w:ascii="Arial" w:cs="Arial" w:eastAsia="Arial" w:hAnsi="Arial"/>
                <w:sz w:val="14"/>
                <w:szCs w:val="14"/>
                <w:b w:val="1"/>
                <w:bCs w:val="1"/>
                <w:color w:val="auto"/>
                <w:w w:val="93"/>
              </w:rPr>
              <w:t>Six Months Ended June 30,</w:t>
            </w:r>
          </w:p>
        </w:tc>
        <w:tc>
          <w:tcPr>
            <w:tcW w:w="0" w:type="dxa"/>
            <w:vAlign w:val="bottom"/>
          </w:tcPr>
          <w:p>
            <w:pPr>
              <w:spacing w:after="0"/>
              <w:rPr>
                <w:sz w:val="1"/>
                <w:szCs w:val="1"/>
                <w:color w:val="auto"/>
              </w:rPr>
            </w:pPr>
          </w:p>
        </w:tc>
      </w:tr>
      <w:tr>
        <w:trPr>
          <w:trHeight w:val="191"/>
        </w:trPr>
        <w:tc>
          <w:tcPr>
            <w:tcW w:w="5980" w:type="dxa"/>
            <w:vAlign w:val="bottom"/>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91"/>
        </w:trPr>
        <w:tc>
          <w:tcPr>
            <w:tcW w:w="5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2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(in millions)</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(losses) gains recognized during the period on equity securities</w:t>
            </w:r>
          </w:p>
        </w:tc>
        <w:tc>
          <w:tcPr>
            <w:tcW w:w="760" w:type="dxa"/>
            <w:vAlign w:val="bottom"/>
            <w:shd w:val="clear" w:color="auto" w:fill="CCEEFF"/>
          </w:tcPr>
          <w:p>
            <w:pPr>
              <w:jc w:val="right"/>
              <w:ind w:right="58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(40.3)</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(152.0)</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(476.5)</w:t>
            </w:r>
          </w:p>
        </w:tc>
        <w:tc>
          <w:tcPr>
            <w:tcW w:w="0" w:type="dxa"/>
            <w:vAlign w:val="bottom"/>
          </w:tcPr>
          <w:p>
            <w:pPr>
              <w:spacing w:after="0"/>
              <w:rPr>
                <w:sz w:val="1"/>
                <w:szCs w:val="1"/>
                <w:color w:val="auto"/>
              </w:rPr>
            </w:pPr>
          </w:p>
        </w:tc>
      </w:tr>
      <w:tr>
        <w:trPr>
          <w:trHeight w:val="173"/>
        </w:trPr>
        <w:tc>
          <w:tcPr>
            <w:tcW w:w="5980" w:type="dxa"/>
            <w:vAlign w:val="bottom"/>
          </w:tcPr>
          <w:p>
            <w:pPr>
              <w:ind w:left="20"/>
              <w:spacing w:after="0" w:line="173" w:lineRule="exact"/>
              <w:rPr>
                <w:sz w:val="20"/>
                <w:szCs w:val="20"/>
                <w:color w:val="auto"/>
              </w:rPr>
            </w:pPr>
            <w:r>
              <w:rPr>
                <w:rFonts w:ascii="Arial" w:cs="Arial" w:eastAsia="Arial" w:hAnsi="Arial"/>
                <w:sz w:val="18"/>
                <w:szCs w:val="18"/>
                <w:color w:val="auto"/>
                <w:w w:val="92"/>
              </w:rPr>
              <w:t>Less: net (losses) gains recognized during the period on equity securities sold or</w:t>
            </w:r>
          </w:p>
        </w:tc>
        <w:tc>
          <w:tcPr>
            <w:tcW w:w="760" w:type="dxa"/>
            <w:vAlign w:val="bottom"/>
          </w:tcPr>
          <w:p>
            <w:pPr>
              <w:spacing w:after="0"/>
              <w:rPr>
                <w:sz w:val="15"/>
                <w:szCs w:val="15"/>
                <w:color w:val="auto"/>
              </w:rPr>
            </w:pPr>
          </w:p>
        </w:tc>
        <w:tc>
          <w:tcPr>
            <w:tcW w:w="4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(24.3)</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(132.2)</w:t>
            </w:r>
          </w:p>
        </w:tc>
        <w:tc>
          <w:tcPr>
            <w:tcW w:w="0" w:type="dxa"/>
            <w:vAlign w:val="bottom"/>
          </w:tcPr>
          <w:p>
            <w:pPr>
              <w:spacing w:after="0"/>
              <w:rPr>
                <w:sz w:val="1"/>
                <w:szCs w:val="1"/>
                <w:color w:val="auto"/>
              </w:rPr>
            </w:pPr>
          </w:p>
        </w:tc>
      </w:tr>
      <w:tr>
        <w:trPr>
          <w:trHeight w:val="224"/>
        </w:trPr>
        <w:tc>
          <w:tcPr>
            <w:tcW w:w="5980" w:type="dxa"/>
            <w:vAlign w:val="bottom"/>
          </w:tcPr>
          <w:p>
            <w:pPr>
              <w:ind w:left="20"/>
              <w:spacing w:after="0"/>
              <w:rPr>
                <w:sz w:val="20"/>
                <w:szCs w:val="20"/>
                <w:color w:val="auto"/>
              </w:rPr>
            </w:pPr>
            <w:r>
              <w:rPr>
                <w:rFonts w:ascii="Arial" w:cs="Arial" w:eastAsia="Arial" w:hAnsi="Arial"/>
                <w:sz w:val="18"/>
                <w:szCs w:val="18"/>
                <w:color w:val="auto"/>
              </w:rPr>
              <w:t>transferred during the period</w:t>
            </w:r>
          </w:p>
        </w:tc>
        <w:tc>
          <w:tcPr>
            <w:tcW w:w="7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5980" w:type="dxa"/>
            <w:vAlign w:val="bottom"/>
            <w:shd w:val="clear" w:color="auto" w:fill="CCEEFF"/>
          </w:tcPr>
          <w:p>
            <w:pPr>
              <w:ind w:left="20"/>
              <w:spacing w:after="0" w:line="167" w:lineRule="exact"/>
              <w:rPr>
                <w:sz w:val="20"/>
                <w:szCs w:val="20"/>
                <w:color w:val="auto"/>
              </w:rPr>
            </w:pPr>
            <w:r>
              <w:rPr>
                <w:rFonts w:ascii="Arial" w:cs="Arial" w:eastAsia="Arial" w:hAnsi="Arial"/>
                <w:sz w:val="18"/>
                <w:szCs w:val="18"/>
                <w:color w:val="auto"/>
              </w:rPr>
              <w:t>Unrealized (losses) gains recognized during the reporting period on equity</w:t>
            </w:r>
          </w:p>
        </w:tc>
        <w:tc>
          <w:tcPr>
            <w:tcW w:w="760" w:type="dxa"/>
            <w:vAlign w:val="bottom"/>
            <w:vMerge w:val="restart"/>
            <w:shd w:val="clear" w:color="auto" w:fill="CCEEFF"/>
          </w:tcPr>
          <w:p>
            <w:pPr>
              <w:jc w:val="right"/>
              <w:ind w:right="580"/>
              <w:spacing w:after="0"/>
              <w:rPr>
                <w:sz w:val="20"/>
                <w:szCs w:val="20"/>
                <w:color w:val="auto"/>
              </w:rPr>
            </w:pPr>
            <w:r>
              <w:rPr>
                <w:rFonts w:ascii="Arial" w:cs="Arial" w:eastAsia="Arial" w:hAnsi="Arial"/>
                <w:sz w:val="18"/>
                <w:szCs w:val="18"/>
                <w:color w:val="auto"/>
                <w:w w:val="79"/>
              </w:rPr>
              <w:t>$</w:t>
            </w: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9"/>
              </w:rPr>
              <w:t>(40.3)</w:t>
            </w:r>
          </w:p>
        </w:tc>
        <w:tc>
          <w:tcPr>
            <w:tcW w:w="4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(127.7)</w:t>
            </w:r>
          </w:p>
        </w:tc>
        <w:tc>
          <w:tcPr>
            <w:tcW w:w="48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3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(344.3)</w:t>
            </w:r>
          </w:p>
        </w:tc>
        <w:tc>
          <w:tcPr>
            <w:tcW w:w="0" w:type="dxa"/>
            <w:vAlign w:val="bottom"/>
          </w:tcPr>
          <w:p>
            <w:pPr>
              <w:spacing w:after="0"/>
              <w:rPr>
                <w:sz w:val="1"/>
                <w:szCs w:val="1"/>
                <w:color w:val="auto"/>
              </w:rPr>
            </w:pPr>
          </w:p>
        </w:tc>
      </w:tr>
      <w:tr>
        <w:trPr>
          <w:trHeight w:val="218"/>
        </w:trPr>
        <w:tc>
          <w:tcPr>
            <w:tcW w:w="5980" w:type="dxa"/>
            <w:vAlign w:val="bottom"/>
            <w:shd w:val="clear" w:color="auto" w:fill="CCEEFF"/>
          </w:tcPr>
          <w:p>
            <w:pPr>
              <w:ind w:left="20"/>
              <w:spacing w:after="0" w:line="198" w:lineRule="exact"/>
              <w:rPr>
                <w:sz w:val="20"/>
                <w:szCs w:val="20"/>
                <w:color w:val="auto"/>
              </w:rPr>
            </w:pPr>
            <w:r>
              <w:rPr>
                <w:rFonts w:ascii="Arial" w:cs="Arial" w:eastAsia="Arial" w:hAnsi="Arial"/>
                <w:sz w:val="18"/>
                <w:szCs w:val="18"/>
                <w:color w:val="auto"/>
              </w:rPr>
              <w:t>securities held at the reporting date</w:t>
            </w:r>
          </w:p>
        </w:tc>
        <w:tc>
          <w:tcPr>
            <w:tcW w:w="760" w:type="dxa"/>
            <w:vAlign w:val="bottom"/>
            <w:vMerge w:val="continue"/>
            <w:shd w:val="clear" w:color="auto" w:fill="CCEEFF"/>
          </w:tcPr>
          <w:p>
            <w:pPr>
              <w:spacing w:after="0"/>
              <w:rPr>
                <w:sz w:val="18"/>
                <w:szCs w:val="18"/>
                <w:color w:val="auto"/>
              </w:rPr>
            </w:pPr>
          </w:p>
        </w:tc>
        <w:tc>
          <w:tcPr>
            <w:tcW w:w="480" w:type="dxa"/>
            <w:vAlign w:val="bottom"/>
            <w:vMerge w:val="continue"/>
            <w:shd w:val="clear" w:color="auto" w:fill="CCEEFF"/>
          </w:tcPr>
          <w:p>
            <w:pPr>
              <w:spacing w:after="0"/>
              <w:rPr>
                <w:sz w:val="18"/>
                <w:szCs w:val="18"/>
                <w:color w:val="auto"/>
              </w:rPr>
            </w:pPr>
          </w:p>
        </w:tc>
        <w:tc>
          <w:tcPr>
            <w:tcW w:w="400" w:type="dxa"/>
            <w:vAlign w:val="bottom"/>
            <w:gridSpan w:val="2"/>
            <w:vMerge w:val="continue"/>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480" w:type="dxa"/>
            <w:vAlign w:val="bottom"/>
            <w:gridSpan w:val="2"/>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380" w:type="dxa"/>
            <w:vAlign w:val="bottom"/>
            <w:gridSpan w:val="2"/>
            <w:vMerge w:val="continue"/>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Security Investments Without Readily Determinable Fair Values</w:t>
      </w:r>
    </w:p>
    <w:p>
      <w:pPr>
        <w:spacing w:after="0" w:line="111"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We account for our investments in AmeriLife and certain other ownership interests at cost less impairment, if any, plus or minus changes resulting from observable price changes in orderly market transactions. As of June 30, 2023 and December 31, 2022, we have $121.9 million and $114.8 million, respectively, recorded for such investments, which is included in Other long term investments and noncurrent assets on our Condensed Consolidated Balance Sheets.</w:t>
      </w:r>
    </w:p>
    <w:p>
      <w:pPr>
        <w:spacing w:after="0" w:line="86" w:lineRule="exact"/>
        <w:rPr>
          <w:sz w:val="20"/>
          <w:szCs w:val="20"/>
          <w:color w:val="auto"/>
        </w:rPr>
      </w:pPr>
    </w:p>
    <w:p>
      <w:pPr>
        <w:jc w:val="both"/>
        <w:ind w:firstLine="318"/>
        <w:spacing w:after="0" w:line="364" w:lineRule="auto"/>
        <w:rPr>
          <w:sz w:val="20"/>
          <w:szCs w:val="20"/>
          <w:color w:val="auto"/>
        </w:rPr>
      </w:pPr>
      <w:r>
        <w:rPr>
          <w:rFonts w:ascii="Arial" w:cs="Arial" w:eastAsia="Arial" w:hAnsi="Arial"/>
          <w:sz w:val="15"/>
          <w:szCs w:val="15"/>
          <w:color w:val="auto"/>
        </w:rPr>
        <w:t>During the three months ended June 30, 2023, we recorded impairment of $9.0 million to certain of our equity ownership interests without readily determinable fair values. The amount of the impairment was determined based on the valuation of the investee implied by a contemplated sale to a third-party.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C — Fair Value Measurements</w:t>
      </w:r>
    </w:p>
    <w:p>
      <w:pPr>
        <w:spacing w:after="0" w:line="117" w:lineRule="exact"/>
        <w:rPr>
          <w:sz w:val="20"/>
          <w:szCs w:val="20"/>
          <w:color w:val="auto"/>
        </w:rPr>
      </w:pPr>
    </w:p>
    <w:p>
      <w:pPr>
        <w:jc w:val="both"/>
        <w:ind w:firstLine="318"/>
        <w:spacing w:after="0" w:line="313" w:lineRule="auto"/>
        <w:rPr>
          <w:sz w:val="20"/>
          <w:szCs w:val="20"/>
          <w:color w:val="auto"/>
        </w:rPr>
      </w:pPr>
      <w:r>
        <w:rPr>
          <w:rFonts w:ascii="Arial" w:cs="Arial" w:eastAsia="Arial" w:hAnsi="Arial"/>
          <w:sz w:val="15"/>
          <w:szCs w:val="15"/>
          <w:color w:val="auto"/>
        </w:rPr>
        <w:t>The fair value hierarchy established by the accounting standards on fair value measurements includes three levels, which are based on the priority of the inputs to the valuation technique. The fair value hierarchy gives the highest priority to quoted prices in active markets for identical assets or liabilities (Level 1) and the lowest priority to unobservable inputs (Level 3). If the inputs used to measure the financial instruments fall within different levels of the hierarchy, the categorization is based on the lowest level input that is significant to the fair value measurement of the instrument. Financial assets and liabilities that are recorded in the Consolidated Balance Sheets are categorized based on the inputs to the valuation techniques as follows:</w:t>
      </w:r>
    </w:p>
    <w:p>
      <w:pPr>
        <w:spacing w:after="0" w:line="43" w:lineRule="exact"/>
        <w:rPr>
          <w:sz w:val="20"/>
          <w:szCs w:val="20"/>
          <w:color w:val="auto"/>
        </w:rPr>
      </w:pPr>
    </w:p>
    <w:p>
      <w:pPr>
        <w:jc w:val="both"/>
        <w:ind w:firstLine="637"/>
        <w:spacing w:after="0" w:line="265" w:lineRule="auto"/>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Financial assets and liabilities whose values are based on unadjusted quoted prices for identical assets or liabilities in an active market that</w:t>
      </w:r>
      <w:r>
        <w:rPr>
          <w:rFonts w:ascii="Arial" w:cs="Arial" w:eastAsia="Arial" w:hAnsi="Arial"/>
          <w:sz w:val="18"/>
          <w:szCs w:val="18"/>
          <w:i w:val="1"/>
          <w:iCs w:val="1"/>
          <w:color w:val="auto"/>
        </w:rPr>
        <w:t xml:space="preserve"> </w:t>
      </w:r>
      <w:r>
        <w:rPr>
          <w:rFonts w:ascii="Arial" w:cs="Arial" w:eastAsia="Arial" w:hAnsi="Arial"/>
          <w:sz w:val="18"/>
          <w:szCs w:val="18"/>
          <w:color w:val="auto"/>
        </w:rPr>
        <w:t>we have the ability to access.</w:t>
      </w:r>
    </w:p>
    <w:p>
      <w:pPr>
        <w:spacing w:after="0" w:line="60" w:lineRule="exact"/>
        <w:rPr>
          <w:sz w:val="20"/>
          <w:szCs w:val="20"/>
          <w:color w:val="auto"/>
        </w:rPr>
      </w:pPr>
    </w:p>
    <w:p>
      <w:pPr>
        <w:jc w:val="both"/>
        <w:ind w:firstLine="637"/>
        <w:spacing w:after="0" w:line="265"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Financial assets and liabilities whose values are based on quoted prices in markets that are not active or model inputs that are observable</w:t>
      </w:r>
      <w:r>
        <w:rPr>
          <w:rFonts w:ascii="Arial" w:cs="Arial" w:eastAsia="Arial" w:hAnsi="Arial"/>
          <w:sz w:val="18"/>
          <w:szCs w:val="18"/>
          <w:i w:val="1"/>
          <w:iCs w:val="1"/>
          <w:color w:val="auto"/>
        </w:rPr>
        <w:t xml:space="preserve"> </w:t>
      </w:r>
      <w:r>
        <w:rPr>
          <w:rFonts w:ascii="Arial" w:cs="Arial" w:eastAsia="Arial" w:hAnsi="Arial"/>
          <w:sz w:val="18"/>
          <w:szCs w:val="18"/>
          <w:color w:val="auto"/>
        </w:rPr>
        <w:t>either directly or indirectly for substantially the full term of the asset or liability.</w:t>
      </w:r>
    </w:p>
    <w:p>
      <w:pPr>
        <w:spacing w:after="0" w:line="47"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Financial assets and liabilities whose values are based on model inputs that are unobservable.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CONDENSED CONSOLIDATED FINANCIAL STATEMENTS (UNAUDITED) — </w:t>
      </w:r>
      <w:r>
        <w:rPr>
          <w:rFonts w:ascii="Arial" w:cs="Arial" w:eastAsia="Arial" w:hAnsi="Arial"/>
          <w:sz w:val="16"/>
          <w:szCs w:val="16"/>
          <w:b w:val="1"/>
          <w:bCs w:val="1"/>
          <w:color w:val="auto"/>
        </w:rPr>
        <w:t>continued</w:t>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Recurring Fair Value Measurements</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following table presents our fair value hierarchy for those assets and liabilities measured at fair value on a recurring basis as of June 30, 2023 and</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2022, respectively:</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Assets:</w:t>
      </w:r>
    </w:p>
    <w:p>
      <w:pPr>
        <w:spacing w:after="0" w:line="19" w:lineRule="exact"/>
        <w:rPr>
          <w:sz w:val="20"/>
          <w:szCs w:val="20"/>
          <w:color w:val="auto"/>
        </w:rPr>
      </w:pPr>
    </w:p>
    <w:p>
      <w:pPr>
        <w:ind w:left="120"/>
        <w:spacing w:after="0"/>
        <w:rPr>
          <w:sz w:val="20"/>
          <w:szCs w:val="20"/>
          <w:color w:val="auto"/>
        </w:rPr>
      </w:pPr>
      <w:r>
        <w:rPr>
          <w:rFonts w:ascii="Arial" w:cs="Arial" w:eastAsia="Arial" w:hAnsi="Arial"/>
          <w:sz w:val="15"/>
          <w:szCs w:val="15"/>
          <w:color w:val="auto"/>
        </w:rPr>
        <w:t>Cash and cash equivalents</w:t>
      </w:r>
    </w:p>
    <w:p>
      <w:pPr>
        <w:spacing w:after="0" w:line="6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Short-term investments</w:t>
      </w:r>
    </w:p>
    <w:p>
      <w:pPr>
        <w:spacing w:after="0" w:line="3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Ceridian</w:t>
      </w:r>
    </w:p>
    <w:p>
      <w:pPr>
        <w:spacing w:after="0" w:line="5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Total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20"/>
        <w:spacing w:after="0"/>
        <w:rPr>
          <w:sz w:val="20"/>
          <w:szCs w:val="20"/>
          <w:color w:val="auto"/>
        </w:rPr>
      </w:pPr>
      <w:r>
        <w:rPr>
          <w:rFonts w:ascii="Arial" w:cs="Arial" w:eastAsia="Arial" w:hAnsi="Arial"/>
          <w:sz w:val="18"/>
          <w:szCs w:val="18"/>
          <w:color w:val="auto"/>
        </w:rPr>
        <w:t>Assets: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5"/>
          <w:szCs w:val="15"/>
          <w:color w:val="auto"/>
        </w:rPr>
        <w:t>Cash and cash equivalents</w:t>
      </w:r>
    </w:p>
    <w:p>
      <w:pPr>
        <w:spacing w:after="0" w:line="53" w:lineRule="exact"/>
        <w:rPr>
          <w:sz w:val="20"/>
          <w:szCs w:val="20"/>
          <w:color w:val="auto"/>
        </w:rPr>
      </w:pPr>
    </w:p>
    <w:p>
      <w:pPr>
        <w:ind w:left="120"/>
        <w:spacing w:after="0"/>
        <w:rPr>
          <w:sz w:val="20"/>
          <w:szCs w:val="20"/>
          <w:color w:val="auto"/>
        </w:rPr>
      </w:pPr>
      <w:r>
        <w:rPr>
          <w:rFonts w:ascii="Arial" w:cs="Arial" w:eastAsia="Arial" w:hAnsi="Arial"/>
          <w:sz w:val="17"/>
          <w:szCs w:val="17"/>
          <w:color w:val="auto"/>
        </w:rPr>
        <w:t>Short-term investments</w:t>
      </w:r>
    </w:p>
    <w:p>
      <w:pPr>
        <w:spacing w:after="0" w:line="4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Ceridian</w:t>
      </w:r>
    </w:p>
    <w:p>
      <w:pPr>
        <w:spacing w:after="0" w:line="5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Total assets</w:t>
      </w:r>
    </w:p>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ind w:left="1860"/>
        <w:spacing w:after="0"/>
        <w:rPr>
          <w:sz w:val="20"/>
          <w:szCs w:val="20"/>
          <w:color w:val="auto"/>
        </w:rPr>
      </w:pPr>
      <w:r>
        <w:rPr>
          <w:rFonts w:ascii="Arial" w:cs="Arial" w:eastAsia="Arial" w:hAnsi="Arial"/>
          <w:sz w:val="14"/>
          <w:szCs w:val="14"/>
          <w:b w:val="1"/>
          <w:bCs w:val="1"/>
          <w:color w:val="auto"/>
        </w:rPr>
        <w:t>June 30, 2023</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22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Level 1</w:t>
            </w:r>
          </w:p>
        </w:tc>
        <w:tc>
          <w:tcPr>
            <w:tcW w:w="12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4"/>
                <w:szCs w:val="14"/>
                <w:b w:val="1"/>
                <w:bCs w:val="1"/>
                <w:color w:val="auto"/>
              </w:rPr>
              <w:t>Level 2</w:t>
            </w:r>
          </w:p>
        </w:tc>
        <w:tc>
          <w:tcPr>
            <w:tcW w:w="12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3</w:t>
            </w:r>
          </w:p>
        </w:tc>
        <w:tc>
          <w:tcPr>
            <w:tcW w:w="28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Total</w:t>
            </w:r>
          </w:p>
        </w:tc>
      </w:tr>
      <w:tr>
        <w:trPr>
          <w:trHeight w:val="178"/>
        </w:trPr>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(In millions)</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465"/>
        </w:trPr>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112.7</w:t>
            </w:r>
          </w:p>
        </w:tc>
        <w:tc>
          <w:tcPr>
            <w:tcW w:w="32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840" w:type="dxa"/>
            <w:vAlign w:val="bottom"/>
          </w:tcPr>
          <w:p>
            <w:pPr>
              <w:ind w:left="6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583"/>
              <w:spacing w:after="0"/>
              <w:rPr>
                <w:sz w:val="20"/>
                <w:szCs w:val="20"/>
                <w:color w:val="auto"/>
              </w:rPr>
            </w:pPr>
            <w:r>
              <w:rPr>
                <w:rFonts w:ascii="Arial" w:cs="Arial" w:eastAsia="Arial" w:hAnsi="Arial"/>
                <w:sz w:val="18"/>
                <w:szCs w:val="18"/>
                <w:color w:val="auto"/>
              </w:rPr>
              <w:t>$</w:t>
            </w: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112.7</w:t>
            </w:r>
          </w:p>
        </w:tc>
      </w:tr>
      <w:tr>
        <w:trPr>
          <w:trHeight w:val="239"/>
        </w:trPr>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53.6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ind w:left="6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53.6</w:t>
            </w:r>
          </w:p>
        </w:tc>
      </w:tr>
      <w:tr>
        <w:trPr>
          <w:trHeight w:val="226"/>
        </w:trPr>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334.9</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334.9</w:t>
            </w:r>
          </w:p>
        </w:tc>
      </w:tr>
      <w:tr>
        <w:trPr>
          <w:trHeight w:val="226"/>
        </w:trPr>
        <w:tc>
          <w:tcPr>
            <w:tcW w:w="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501.2</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60" w:type="dxa"/>
            <w:vAlign w:val="bottom"/>
            <w:tcBorders>
              <w:bottom w:val="single" w:sz="8" w:color="auto"/>
            </w:tcBorders>
          </w:tcPr>
          <w:p>
            <w:pPr>
              <w:jc w:val="right"/>
              <w:ind w:right="583"/>
              <w:spacing w:after="0"/>
              <w:rPr>
                <w:sz w:val="20"/>
                <w:szCs w:val="20"/>
                <w:color w:val="auto"/>
              </w:rPr>
            </w:pPr>
            <w:r>
              <w:rPr>
                <w:rFonts w:ascii="Arial" w:cs="Arial" w:eastAsia="Arial" w:hAnsi="Arial"/>
                <w:sz w:val="18"/>
                <w:szCs w:val="18"/>
                <w:color w:val="auto"/>
                <w:w w:val="79"/>
              </w:rPr>
              <w:t>$</w:t>
            </w: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501.2</w:t>
            </w:r>
          </w:p>
        </w:tc>
      </w:tr>
      <w:tr>
        <w:trPr>
          <w:trHeight w:val="27"/>
        </w:trPr>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380"/>
        </w:trPr>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December 31, 2022</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4"/>
        </w:trPr>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186"/>
        </w:trPr>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Level 1</w:t>
            </w: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Level 2</w:t>
            </w: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3</w:t>
            </w:r>
          </w:p>
        </w:tc>
        <w:tc>
          <w:tcPr>
            <w:tcW w:w="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Total</w:t>
            </w:r>
          </w:p>
        </w:tc>
      </w:tr>
      <w:tr>
        <w:trPr>
          <w:trHeight w:val="184"/>
        </w:trPr>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(In millions)</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465"/>
        </w:trPr>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247.7</w:t>
            </w:r>
          </w:p>
        </w:tc>
        <w:tc>
          <w:tcPr>
            <w:tcW w:w="32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840" w:type="dxa"/>
            <w:vAlign w:val="bottom"/>
          </w:tcPr>
          <w:p>
            <w:pPr>
              <w:ind w:left="6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583"/>
              <w:spacing w:after="0"/>
              <w:rPr>
                <w:sz w:val="20"/>
                <w:szCs w:val="20"/>
                <w:color w:val="auto"/>
              </w:rPr>
            </w:pPr>
            <w:r>
              <w:rPr>
                <w:rFonts w:ascii="Arial" w:cs="Arial" w:eastAsia="Arial" w:hAnsi="Arial"/>
                <w:sz w:val="18"/>
                <w:szCs w:val="18"/>
                <w:color w:val="auto"/>
              </w:rPr>
              <w:t>$</w:t>
            </w: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247.7</w:t>
            </w:r>
          </w:p>
        </w:tc>
      </w:tr>
      <w:tr>
        <w:trPr>
          <w:trHeight w:val="226"/>
        </w:trPr>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ind w:left="6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34.9</w:t>
            </w:r>
          </w:p>
        </w:tc>
      </w:tr>
      <w:tr>
        <w:trPr>
          <w:trHeight w:val="233"/>
        </w:trPr>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384.9</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384.9</w:t>
            </w:r>
          </w:p>
        </w:tc>
      </w:tr>
      <w:tr>
        <w:trPr>
          <w:trHeight w:val="225"/>
        </w:trPr>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667.5</w:t>
            </w:r>
          </w:p>
        </w:tc>
        <w:tc>
          <w:tcPr>
            <w:tcW w:w="32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840" w:type="dxa"/>
            <w:vAlign w:val="bottom"/>
          </w:tcPr>
          <w:p>
            <w:pPr>
              <w:ind w:left="6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583"/>
              <w:spacing w:after="0"/>
              <w:rPr>
                <w:sz w:val="20"/>
                <w:szCs w:val="20"/>
                <w:color w:val="auto"/>
              </w:rPr>
            </w:pPr>
            <w:r>
              <w:rPr>
                <w:rFonts w:ascii="Arial" w:cs="Arial" w:eastAsia="Arial" w:hAnsi="Arial"/>
                <w:sz w:val="18"/>
                <w:szCs w:val="18"/>
                <w:color w:val="auto"/>
              </w:rPr>
              <w:t>$</w:t>
            </w: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667.5</w:t>
            </w:r>
          </w:p>
        </w:tc>
      </w:tr>
      <w:tr>
        <w:trPr>
          <w:trHeight w:val="20"/>
        </w:trPr>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-4250055</wp:posOffset>
            </wp:positionH>
            <wp:positionV relativeFrom="paragraph">
              <wp:posOffset>-2071370</wp:posOffset>
            </wp:positionV>
            <wp:extent cx="7134860" cy="1435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4860" cy="143510"/>
                    </a:xfrm>
                    <a:prstGeom prst="rect">
                      <a:avLst/>
                    </a:prstGeom>
                    <a:noFill/>
                  </pic:spPr>
                </pic:pic>
              </a:graphicData>
            </a:graphic>
          </wp:anchor>
        </w:drawing>
        <w:drawing>
          <wp:anchor simplePos="0" relativeHeight="251657728" behindDoc="1" locked="0" layoutInCell="0" allowOverlap="1">
            <wp:simplePos x="0" y="0"/>
            <wp:positionH relativeFrom="column">
              <wp:posOffset>-4250055</wp:posOffset>
            </wp:positionH>
            <wp:positionV relativeFrom="paragraph">
              <wp:posOffset>-1776730</wp:posOffset>
            </wp:positionV>
            <wp:extent cx="7134860" cy="1435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4860" cy="143510"/>
                    </a:xfrm>
                    <a:prstGeom prst="rect">
                      <a:avLst/>
                    </a:prstGeom>
                    <a:noFill/>
                  </pic:spPr>
                </pic:pic>
              </a:graphicData>
            </a:graphic>
          </wp:anchor>
        </w:drawing>
        <w:drawing>
          <wp:anchor simplePos="0" relativeHeight="251657728" behindDoc="1" locked="0" layoutInCell="0" allowOverlap="1">
            <wp:simplePos x="0" y="0"/>
            <wp:positionH relativeFrom="column">
              <wp:posOffset>-4250055</wp:posOffset>
            </wp:positionH>
            <wp:positionV relativeFrom="paragraph">
              <wp:posOffset>-1482090</wp:posOffset>
            </wp:positionV>
            <wp:extent cx="7134860" cy="1682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4860" cy="168275"/>
                    </a:xfrm>
                    <a:prstGeom prst="rect">
                      <a:avLst/>
                    </a:prstGeom>
                    <a:noFill/>
                  </pic:spPr>
                </pic:pic>
              </a:graphicData>
            </a:graphic>
          </wp:anchor>
        </w:drawing>
        <w:drawing>
          <wp:anchor simplePos="0" relativeHeight="251657728" behindDoc="1" locked="0" layoutInCell="0" allowOverlap="1">
            <wp:simplePos x="0" y="0"/>
            <wp:positionH relativeFrom="column">
              <wp:posOffset>-4250055</wp:posOffset>
            </wp:positionH>
            <wp:positionV relativeFrom="paragraph">
              <wp:posOffset>-774065</wp:posOffset>
            </wp:positionV>
            <wp:extent cx="7134860" cy="1517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4860" cy="151765"/>
                    </a:xfrm>
                    <a:prstGeom prst="rect">
                      <a:avLst/>
                    </a:prstGeom>
                    <a:noFill/>
                  </pic:spPr>
                </pic:pic>
              </a:graphicData>
            </a:graphic>
          </wp:anchor>
        </w:drawing>
        <w:drawing>
          <wp:anchor simplePos="0" relativeHeight="251657728" behindDoc="1" locked="0" layoutInCell="0" allowOverlap="1">
            <wp:simplePos x="0" y="0"/>
            <wp:positionH relativeFrom="column">
              <wp:posOffset>-4250055</wp:posOffset>
            </wp:positionH>
            <wp:positionV relativeFrom="paragraph">
              <wp:posOffset>-479425</wp:posOffset>
            </wp:positionV>
            <wp:extent cx="7134860" cy="1435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4860" cy="143510"/>
                    </a:xfrm>
                    <a:prstGeom prst="rect">
                      <a:avLst/>
                    </a:prstGeom>
                    <a:noFill/>
                  </pic:spPr>
                </pic:pic>
              </a:graphicData>
            </a:graphic>
          </wp:anchor>
        </w:drawing>
        <w:drawing>
          <wp:anchor simplePos="0" relativeHeight="251657728" behindDoc="1" locked="0" layoutInCell="0" allowOverlap="1">
            <wp:simplePos x="0" y="0"/>
            <wp:positionH relativeFrom="column">
              <wp:posOffset>-4250055</wp:posOffset>
            </wp:positionH>
            <wp:positionV relativeFrom="paragraph">
              <wp:posOffset>-184785</wp:posOffset>
            </wp:positionV>
            <wp:extent cx="7134860" cy="1682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4860" cy="168275"/>
                    </a:xfrm>
                    <a:prstGeom prst="rect">
                      <a:avLst/>
                    </a:prstGeom>
                    <a:noFill/>
                  </pic:spPr>
                </pic:pic>
              </a:graphicData>
            </a:graphic>
          </wp:anchor>
        </w:drawing>
      </w:r>
    </w:p>
    <w:p>
      <w:pPr>
        <w:spacing w:after="0" w:line="187" w:lineRule="exact"/>
        <w:rPr>
          <w:sz w:val="20"/>
          <w:szCs w:val="20"/>
          <w:color w:val="auto"/>
        </w:rPr>
      </w:pPr>
    </w:p>
    <w:p>
      <w:pPr>
        <w:sectPr>
          <w:pgSz w:w="11900" w:h="16838" w:orient="portrait"/>
          <w:cols w:equalWidth="0" w:num="2">
            <w:col w:w="5980" w:space="720"/>
            <w:col w:w="4540"/>
          </w:cols>
          <w:pgMar w:left="320" w:top="121" w:right="339" w:bottom="1440" w:gutter="0" w:footer="0" w:header="0"/>
          <w:type w:val="continuous"/>
        </w:sectPr>
      </w:pPr>
    </w:p>
    <w:p>
      <w:pPr>
        <w:jc w:val="both"/>
        <w:ind w:firstLine="318"/>
        <w:spacing w:after="0" w:line="265" w:lineRule="auto"/>
        <w:rPr>
          <w:sz w:val="20"/>
          <w:szCs w:val="20"/>
          <w:color w:val="auto"/>
        </w:rPr>
      </w:pPr>
      <w:r>
        <w:rPr>
          <w:rFonts w:ascii="Arial" w:cs="Arial" w:eastAsia="Arial" w:hAnsi="Arial"/>
          <w:sz w:val="18"/>
          <w:szCs w:val="18"/>
          <w:color w:val="auto"/>
        </w:rPr>
        <w:t>We had no material assets or liabilities valued on a recurring basis using Level 3 inputs as of or for the six months ended June 30, 2023 and December 31, 2022.</w:t>
      </w:r>
    </w:p>
    <w:p>
      <w:pPr>
        <w:spacing w:after="0" w:line="7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Additional information regarding the fair value of our investment portfolio is included in Note B - </w:t>
      </w:r>
      <w:r>
        <w:rPr>
          <w:rFonts w:ascii="Arial" w:cs="Arial" w:eastAsia="Arial" w:hAnsi="Arial"/>
          <w:sz w:val="18"/>
          <w:szCs w:val="18"/>
          <w:i w:val="1"/>
          <w:iCs w:val="1"/>
          <w:color w:val="auto"/>
        </w:rPr>
        <w:t>Investments</w:t>
      </w:r>
      <w:r>
        <w:rPr>
          <w:rFonts w:ascii="Arial" w:cs="Arial" w:eastAsia="Arial" w:hAnsi="Arial"/>
          <w:sz w:val="18"/>
          <w:szCs w:val="18"/>
          <w:color w:val="auto"/>
        </w:rPr>
        <w:t>.</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D — Variable Interest Entities</w:t>
      </w:r>
    </w:p>
    <w:p>
      <w:pPr>
        <w:spacing w:after="0" w:line="117"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The Company, in the normal course of business, engages in certain activities that involve variable interest entities ("VIEs"), which are legal entities in which a group of equity investors individually lack any of the characteristics of a controlling interest. The primary beneficiary of a VIE is generally the enterprise that has both the power to direct the activities most significant to the economic performance of the VIE and the obligation to absorb losses or receive benefits that could potentially be significant to the VIE. The Company evaluates its interest in certain entities to determine if these entities meet the definition of a VIE and whether the Company is the primary beneficiary and should consolidate the entity based on the variable interests it held both at inception and when there is a change in circumstances that requires a reconsideration. If the Company is determined to be the primary beneficiary of a VIE, it must account for the VIE as a consolidated subsidiary. If the Company is determined not to be the primary beneficiary of a VIE but holds a variable interest in the entity, such variable interests are accounted for under accounting standards as deemed appropriate. As of and for the periods ended June 30, 2023 and December 31, 2022, we are not the primary beneficiary of any VIEs.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Unconsolidated VIEs</w:t>
      </w:r>
    </w:p>
    <w:p>
      <w:pPr>
        <w:spacing w:after="0" w:line="111"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8"/>
          <w:szCs w:val="18"/>
          <w:color w:val="auto"/>
        </w:rPr>
        <w:t>The table below summarizes select information related to variable interests held by the Company as of June 30, 2023 and December 31, 2022, of which we are not the primary beneficiary: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4097655</wp:posOffset>
            </wp:positionH>
            <wp:positionV relativeFrom="paragraph">
              <wp:posOffset>71120</wp:posOffset>
            </wp:positionV>
            <wp:extent cx="304101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041015"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p>
      <w:pPr>
        <w:spacing w:after="0" w:line="116" w:lineRule="exact"/>
        <w:rPr>
          <w:sz w:val="20"/>
          <w:szCs w:val="20"/>
          <w:color w:val="auto"/>
        </w:rPr>
      </w:pPr>
    </w:p>
    <w:p>
      <w:pPr>
        <w:ind w:left="7200"/>
        <w:spacing w:after="0"/>
        <w:rPr>
          <w:sz w:val="20"/>
          <w:szCs w:val="20"/>
          <w:color w:val="auto"/>
        </w:rPr>
      </w:pPr>
      <w:r>
        <w:rPr>
          <w:rFonts w:ascii="Arial" w:cs="Arial" w:eastAsia="Arial" w:hAnsi="Arial"/>
          <w:sz w:val="14"/>
          <w:szCs w:val="14"/>
          <w:b w:val="1"/>
          <w:bCs w:val="1"/>
          <w:color w:val="auto"/>
        </w:rPr>
        <w:t>June 30, 2023</w:t>
      </w:r>
    </w:p>
    <w:p>
      <w:pPr>
        <w:spacing w:after="0" w:line="23" w:lineRule="exact"/>
        <w:rPr>
          <w:sz w:val="20"/>
          <w:szCs w:val="20"/>
          <w:color w:val="auto"/>
        </w:rPr>
      </w:pPr>
    </w:p>
    <w:tbl>
      <w:tblPr>
        <w:tblLayout w:type="fixed"/>
        <w:tblInd w:w="6460" w:type="dxa"/>
        <w:tblCellMar>
          <w:top w:w="0" w:type="dxa"/>
          <w:left w:w="0" w:type="dxa"/>
          <w:bottom w:w="0" w:type="dxa"/>
          <w:right w:w="0" w:type="dxa"/>
        </w:tblCellMar>
      </w:tblPr>
      <w:tr>
        <w:trPr>
          <w:trHeight w:val="141"/>
        </w:trPr>
        <w:tc>
          <w:tcPr>
            <w:tcW w:w="1180" w:type="dxa"/>
            <w:vAlign w:val="bottom"/>
            <w:tcBorders>
              <w:top w:val="single" w:sz="8" w:color="auto"/>
            </w:tcBorders>
            <w:vMerge w:val="restart"/>
          </w:tcPr>
          <w:p>
            <w:pPr>
              <w:ind w:left="220"/>
              <w:spacing w:after="0"/>
              <w:rPr>
                <w:sz w:val="20"/>
                <w:szCs w:val="20"/>
                <w:color w:val="auto"/>
              </w:rPr>
            </w:pPr>
            <w:r>
              <w:rPr>
                <w:rFonts w:ascii="Arial" w:cs="Arial" w:eastAsia="Arial" w:hAnsi="Arial"/>
                <w:sz w:val="14"/>
                <w:szCs w:val="14"/>
                <w:b w:val="1"/>
                <w:bCs w:val="1"/>
                <w:color w:val="auto"/>
              </w:rPr>
              <w:t>Total Assets</w:t>
            </w:r>
          </w:p>
        </w:tc>
        <w:tc>
          <w:tcPr>
            <w:tcW w:w="1140" w:type="dxa"/>
            <w:vAlign w:val="bottom"/>
            <w:tcBorders>
              <w:top w:val="single" w:sz="8" w:color="auto"/>
            </w:tcBorders>
          </w:tcPr>
          <w:p>
            <w:pPr>
              <w:jc w:val="center"/>
              <w:spacing w:after="0" w:line="141" w:lineRule="exact"/>
              <w:rPr>
                <w:sz w:val="20"/>
                <w:szCs w:val="20"/>
                <w:color w:val="auto"/>
              </w:rPr>
            </w:pPr>
            <w:r>
              <w:rPr>
                <w:rFonts w:ascii="Arial" w:cs="Arial" w:eastAsia="Arial" w:hAnsi="Arial"/>
                <w:sz w:val="14"/>
                <w:szCs w:val="14"/>
                <w:b w:val="1"/>
                <w:bCs w:val="1"/>
                <w:color w:val="auto"/>
                <w:w w:val="99"/>
              </w:rPr>
              <w:t>Maximum</w:t>
            </w:r>
          </w:p>
        </w:tc>
        <w:tc>
          <w:tcPr>
            <w:tcW w:w="0" w:type="dxa"/>
            <w:vAlign w:val="bottom"/>
          </w:tcPr>
          <w:p>
            <w:pPr>
              <w:spacing w:after="0"/>
              <w:rPr>
                <w:sz w:val="1"/>
                <w:szCs w:val="1"/>
                <w:color w:val="auto"/>
              </w:rPr>
            </w:pPr>
          </w:p>
        </w:tc>
      </w:tr>
      <w:tr>
        <w:trPr>
          <w:trHeight w:val="184"/>
        </w:trPr>
        <w:tc>
          <w:tcPr>
            <w:tcW w:w="1180" w:type="dxa"/>
            <w:vAlign w:val="bottom"/>
            <w:vMerge w:val="continue"/>
          </w:tcPr>
          <w:p>
            <w:pPr>
              <w:spacing w:after="0"/>
              <w:rPr>
                <w:sz w:val="16"/>
                <w:szCs w:val="16"/>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87"/>
              </w:rPr>
              <w:t>Exposure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4097655</wp:posOffset>
            </wp:positionH>
            <wp:positionV relativeFrom="paragraph">
              <wp:posOffset>15240</wp:posOffset>
            </wp:positionV>
            <wp:extent cx="148272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48272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ind w:left="600"/>
        <w:spacing w:after="0"/>
        <w:rPr>
          <w:sz w:val="20"/>
          <w:szCs w:val="20"/>
          <w:color w:val="auto"/>
        </w:rPr>
      </w:pPr>
      <w:r>
        <w:rPr>
          <w:rFonts w:ascii="Arial" w:cs="Arial" w:eastAsia="Arial" w:hAnsi="Arial"/>
          <w:sz w:val="14"/>
          <w:szCs w:val="14"/>
          <w:b w:val="1"/>
          <w:bCs w:val="1"/>
          <w:color w:val="auto"/>
        </w:rPr>
        <w:t>December 31, 2022</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41"/>
        </w:trPr>
        <w:tc>
          <w:tcPr>
            <w:tcW w:w="1180" w:type="dxa"/>
            <w:vAlign w:val="bottom"/>
            <w:tcBorders>
              <w:top w:val="single" w:sz="8" w:color="auto"/>
            </w:tcBorders>
            <w:vMerge w:val="restart"/>
          </w:tcPr>
          <w:p>
            <w:pPr>
              <w:ind w:left="220"/>
              <w:spacing w:after="0"/>
              <w:rPr>
                <w:sz w:val="20"/>
                <w:szCs w:val="20"/>
                <w:color w:val="auto"/>
              </w:rPr>
            </w:pPr>
            <w:r>
              <w:rPr>
                <w:rFonts w:ascii="Arial" w:cs="Arial" w:eastAsia="Arial" w:hAnsi="Arial"/>
                <w:sz w:val="14"/>
                <w:szCs w:val="14"/>
                <w:b w:val="1"/>
                <w:bCs w:val="1"/>
                <w:color w:val="auto"/>
              </w:rPr>
              <w:t>Total Assets</w:t>
            </w:r>
          </w:p>
        </w:tc>
        <w:tc>
          <w:tcPr>
            <w:tcW w:w="1160" w:type="dxa"/>
            <w:vAlign w:val="bottom"/>
            <w:tcBorders>
              <w:top w:val="single" w:sz="8" w:color="auto"/>
            </w:tcBorders>
          </w:tcPr>
          <w:p>
            <w:pPr>
              <w:jc w:val="center"/>
              <w:spacing w:after="0" w:line="141" w:lineRule="exact"/>
              <w:rPr>
                <w:sz w:val="20"/>
                <w:szCs w:val="20"/>
                <w:color w:val="auto"/>
              </w:rPr>
            </w:pPr>
            <w:r>
              <w:rPr>
                <w:rFonts w:ascii="Arial" w:cs="Arial" w:eastAsia="Arial" w:hAnsi="Arial"/>
                <w:sz w:val="14"/>
                <w:szCs w:val="14"/>
                <w:b w:val="1"/>
                <w:bCs w:val="1"/>
                <w:color w:val="auto"/>
                <w:w w:val="95"/>
              </w:rPr>
              <w:t>Maximum</w:t>
            </w:r>
          </w:p>
        </w:tc>
        <w:tc>
          <w:tcPr>
            <w:tcW w:w="0" w:type="dxa"/>
            <w:vAlign w:val="bottom"/>
          </w:tcPr>
          <w:p>
            <w:pPr>
              <w:spacing w:after="0"/>
              <w:rPr>
                <w:sz w:val="1"/>
                <w:szCs w:val="1"/>
                <w:color w:val="auto"/>
              </w:rPr>
            </w:pPr>
          </w:p>
        </w:tc>
      </w:tr>
      <w:tr>
        <w:trPr>
          <w:trHeight w:val="184"/>
        </w:trPr>
        <w:tc>
          <w:tcPr>
            <w:tcW w:w="1180" w:type="dxa"/>
            <w:vAlign w:val="bottom"/>
            <w:vMerge w:val="continue"/>
          </w:tcPr>
          <w:p>
            <w:pPr>
              <w:spacing w:after="0"/>
              <w:rPr>
                <w:sz w:val="16"/>
                <w:szCs w:val="16"/>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0"/>
              </w:rPr>
              <w:t>Exposure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14909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490980" cy="8255"/>
                    </a:xfrm>
                    <a:prstGeom prst="rect">
                      <a:avLst/>
                    </a:prstGeom>
                    <a:noFill/>
                  </pic:spPr>
                </pic:pic>
              </a:graphicData>
            </a:graphic>
          </wp:anchor>
        </w:drawing>
      </w:r>
    </w:p>
    <w:p>
      <w:pPr>
        <w:spacing w:after="0" w:line="28" w:lineRule="exact"/>
        <w:rPr>
          <w:sz w:val="20"/>
          <w:szCs w:val="20"/>
          <w:color w:val="auto"/>
        </w:rPr>
      </w:pPr>
    </w:p>
    <w:p>
      <w:pPr>
        <w:sectPr>
          <w:pgSz w:w="11900" w:h="16838" w:orient="portrait"/>
          <w:cols w:equalWidth="0" w:num="2">
            <w:col w:w="8780" w:space="120"/>
            <w:col w:w="2340"/>
          </w:cols>
          <w:pgMar w:left="320" w:top="121" w:right="339" w:bottom="1440" w:gutter="0" w:footer="0" w:header="0"/>
          <w:type w:val="continuous"/>
        </w:sectPr>
      </w:pPr>
    </w:p>
    <w:p>
      <w:pPr>
        <w:ind w:left="8440"/>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7134860" cy="1435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4860" cy="143510"/>
                    </a:xfrm>
                    <a:prstGeom prst="rect">
                      <a:avLst/>
                    </a:prstGeom>
                    <a:noFill/>
                  </pic:spPr>
                </pic:pic>
              </a:graphicData>
            </a:graphic>
          </wp:anchor>
        </w:drawing>
      </w:r>
    </w:p>
    <w:p>
      <w:pPr>
        <w:spacing w:after="0" w:line="15" w:lineRule="exact"/>
        <w:rPr>
          <w:sz w:val="20"/>
          <w:szCs w:val="20"/>
          <w:color w:val="auto"/>
        </w:rPr>
      </w:pPr>
    </w:p>
    <w:p>
      <w:pPr>
        <w:ind w:left="20"/>
        <w:spacing w:after="0"/>
        <w:tabs>
          <w:tab w:leader="none" w:pos="6460" w:val="left"/>
          <w:tab w:leader="none" w:pos="7120" w:val="left"/>
          <w:tab w:leader="none" w:pos="8300" w:val="left"/>
          <w:tab w:leader="none" w:pos="8900" w:val="left"/>
          <w:tab w:leader="none" w:pos="9580" w:val="left"/>
          <w:tab w:leader="none" w:pos="10760" w:val="left"/>
        </w:tabs>
        <w:rPr>
          <w:sz w:val="20"/>
          <w:szCs w:val="20"/>
          <w:color w:val="auto"/>
        </w:rPr>
      </w:pPr>
      <w:r>
        <w:rPr>
          <w:rFonts w:ascii="Arial" w:cs="Arial" w:eastAsia="Arial" w:hAnsi="Arial"/>
          <w:sz w:val="18"/>
          <w:szCs w:val="18"/>
          <w:color w:val="auto"/>
        </w:rPr>
        <w:t>Investments in unconsolidated affiliates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220.5 $</w:t>
      </w:r>
      <w:r>
        <w:rPr>
          <w:sz w:val="20"/>
          <w:szCs w:val="20"/>
          <w:color w:val="auto"/>
        </w:rPr>
        <w:tab/>
      </w:r>
      <w:r>
        <w:rPr>
          <w:rFonts w:ascii="Arial" w:cs="Arial" w:eastAsia="Arial" w:hAnsi="Arial"/>
          <w:sz w:val="18"/>
          <w:szCs w:val="18"/>
          <w:color w:val="auto"/>
        </w:rPr>
        <w:t>220.5</w:t>
        <w:tab/>
        <w:t>$</w:t>
      </w:r>
      <w:r>
        <w:rPr>
          <w:sz w:val="20"/>
          <w:szCs w:val="20"/>
          <w:color w:val="auto"/>
        </w:rPr>
        <w:tab/>
      </w:r>
      <w:r>
        <w:rPr>
          <w:rFonts w:ascii="Arial" w:cs="Arial" w:eastAsia="Arial" w:hAnsi="Arial"/>
          <w:sz w:val="18"/>
          <w:szCs w:val="18"/>
          <w:color w:val="auto"/>
        </w:rPr>
        <w:t>138.3 $</w:t>
      </w:r>
      <w:r>
        <w:rPr>
          <w:sz w:val="20"/>
          <w:szCs w:val="20"/>
          <w:color w:val="auto"/>
        </w:rPr>
        <w:tab/>
      </w:r>
      <w:r>
        <w:rPr>
          <w:rFonts w:ascii="Arial" w:cs="Arial" w:eastAsia="Arial" w:hAnsi="Arial"/>
          <w:sz w:val="15"/>
          <w:szCs w:val="15"/>
          <w:color w:val="auto"/>
        </w:rPr>
        <w:t>138.3</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in Unconsolidated Affiliates</w:t>
      </w:r>
    </w:p>
    <w:p>
      <w:pPr>
        <w:spacing w:after="0" w:line="111" w:lineRule="exact"/>
        <w:rPr>
          <w:sz w:val="20"/>
          <w:szCs w:val="20"/>
          <w:color w:val="auto"/>
        </w:rPr>
      </w:pPr>
    </w:p>
    <w:p>
      <w:pPr>
        <w:ind w:firstLine="318"/>
        <w:spacing w:after="0" w:line="265" w:lineRule="auto"/>
        <w:rPr>
          <w:sz w:val="20"/>
          <w:szCs w:val="20"/>
          <w:color w:val="auto"/>
        </w:rPr>
      </w:pPr>
      <w:r>
        <w:rPr>
          <w:rFonts w:ascii="Arial" w:cs="Arial" w:eastAsia="Arial" w:hAnsi="Arial"/>
          <w:sz w:val="18"/>
          <w:szCs w:val="18"/>
          <w:color w:val="auto"/>
        </w:rPr>
        <w:t>As of June 30, 2023 and December 31, 2022, we held variable interests in certain unconsolidated affiliates, which are primarily comprised of our ownership interests in BKFE, CSI and Minden Mill. Cannae does not have the power to direct the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CONDENSED CONSOLIDATED FINANCIAL STATEMENTS (UNAUDITED) — </w:t>
      </w:r>
      <w:r>
        <w:rPr>
          <w:rFonts w:ascii="Arial" w:cs="Arial" w:eastAsia="Arial" w:hAnsi="Arial"/>
          <w:sz w:val="16"/>
          <w:szCs w:val="16"/>
          <w:b w:val="1"/>
          <w:bCs w:val="1"/>
          <w:color w:val="auto"/>
        </w:rPr>
        <w:t>continued</w:t>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7"/>
          <w:szCs w:val="17"/>
          <w:color w:val="auto"/>
        </w:rPr>
        <w:t>activities that most significantly impact the economic performance of these unconsolidated affiliates; therefore, we are not the primary beneficiary.</w:t>
      </w:r>
    </w:p>
    <w:p>
      <w:pPr>
        <w:spacing w:after="0" w:line="123"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The principal risk to which these investments and funds are exposed is the credit risk of the underlying investees. Cannae has guaranteed certain payment obligations of BKFE related to investment commitments associated with its acquisitions of interests in football clubs. These BKFE obligations total an estimated amount of approximately $65.2 million in the aggregate as of the date of this Quarterly Report and are potentially payable at various increments over the next five years. The underlying obligation of BKFE to fund these amounts is contingent on the exercise of certain investment options by BKFE or other parties. Cannae is required to fund such payments solely to the extent BKFE is unable to meet these obligations. We do not provide any other implicit or explicit liquidity guarantees or principal value guarantees to these VIEs.</w:t>
      </w:r>
    </w:p>
    <w:p>
      <w:pPr>
        <w:spacing w:after="0" w:line="75" w:lineRule="exact"/>
        <w:rPr>
          <w:sz w:val="20"/>
          <w:szCs w:val="20"/>
          <w:color w:val="auto"/>
        </w:rPr>
      </w:pPr>
    </w:p>
    <w:p>
      <w:pPr>
        <w:jc w:val="both"/>
        <w:ind w:firstLine="318"/>
        <w:spacing w:after="0" w:line="295" w:lineRule="auto"/>
        <w:rPr>
          <w:sz w:val="20"/>
          <w:szCs w:val="20"/>
          <w:color w:val="auto"/>
        </w:rPr>
      </w:pPr>
      <w:r>
        <w:rPr>
          <w:rFonts w:ascii="Arial" w:cs="Arial" w:eastAsia="Arial" w:hAnsi="Arial"/>
          <w:sz w:val="17"/>
          <w:szCs w:val="17"/>
          <w:color w:val="auto"/>
        </w:rPr>
        <w:t xml:space="preserve">The assets are included in Investments in unconsolidated affiliates on the Condensed Consolidated Balance Sheets and accounted for under the equity method of accounting. See Note B - </w:t>
      </w:r>
      <w:r>
        <w:rPr>
          <w:rFonts w:ascii="Arial" w:cs="Arial" w:eastAsia="Arial" w:hAnsi="Arial"/>
          <w:sz w:val="17"/>
          <w:szCs w:val="17"/>
          <w:i w:val="1"/>
          <w:iCs w:val="1"/>
          <w:color w:val="auto"/>
        </w:rPr>
        <w:t>Investments</w:t>
      </w:r>
      <w:r>
        <w:rPr>
          <w:rFonts w:ascii="Arial" w:cs="Arial" w:eastAsia="Arial" w:hAnsi="Arial"/>
          <w:sz w:val="17"/>
          <w:szCs w:val="17"/>
          <w:color w:val="auto"/>
        </w:rPr>
        <w:t xml:space="preserve"> for further discussion of our accounting for investments in unconsolidated affiliates.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E — Segment Information</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Summarized financial information concerning our reportable segments is shown in the following tables.</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As of and for the three months ended June 30, 2023:</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ind w:right="110"/>
              <w:spacing w:after="0"/>
              <w:rPr>
                <w:sz w:val="20"/>
                <w:szCs w:val="20"/>
                <w:color w:val="auto"/>
              </w:rPr>
            </w:pPr>
            <w:r>
              <w:rPr>
                <w:rFonts w:ascii="Arial" w:cs="Arial" w:eastAsia="Arial" w:hAnsi="Arial"/>
                <w:sz w:val="12"/>
                <w:szCs w:val="12"/>
                <w:color w:val="auto"/>
                <w:w w:val="91"/>
              </w:rPr>
              <w:t>Restaurant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ind w:right="190"/>
              <w:spacing w:after="0"/>
              <w:rPr>
                <w:sz w:val="20"/>
                <w:szCs w:val="20"/>
                <w:color w:val="auto"/>
              </w:rPr>
            </w:pPr>
            <w:r>
              <w:rPr>
                <w:rFonts w:ascii="Arial" w:cs="Arial" w:eastAsia="Arial" w:hAnsi="Arial"/>
                <w:sz w:val="12"/>
                <w:szCs w:val="12"/>
                <w:color w:val="auto"/>
              </w:rPr>
              <w:t>Dun &amp;</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vMerge w:val="restart"/>
          </w:tcPr>
          <w:p>
            <w:pPr>
              <w:jc w:val="right"/>
              <w:ind w:right="170"/>
              <w:spacing w:after="0"/>
              <w:rPr>
                <w:sz w:val="20"/>
                <w:szCs w:val="20"/>
                <w:color w:val="auto"/>
              </w:rPr>
            </w:pPr>
            <w:r>
              <w:rPr>
                <w:rFonts w:ascii="Arial" w:cs="Arial" w:eastAsia="Arial" w:hAnsi="Arial"/>
                <w:sz w:val="12"/>
                <w:szCs w:val="12"/>
                <w:color w:val="auto"/>
              </w:rPr>
              <w:t>Paysafe</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vMerge w:val="restart"/>
          </w:tcPr>
          <w:p>
            <w:pPr>
              <w:jc w:val="right"/>
              <w:ind w:right="209"/>
              <w:spacing w:after="0"/>
              <w:rPr>
                <w:sz w:val="20"/>
                <w:szCs w:val="20"/>
                <w:color w:val="auto"/>
              </w:rPr>
            </w:pPr>
            <w:r>
              <w:rPr>
                <w:rFonts w:ascii="Arial" w:cs="Arial" w:eastAsia="Arial" w:hAnsi="Arial"/>
                <w:sz w:val="12"/>
                <w:szCs w:val="12"/>
                <w:color w:val="auto"/>
              </w:rPr>
              <w:t>Alight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vMerge w:val="restart"/>
          </w:tcPr>
          <w:p>
            <w:pPr>
              <w:jc w:val="right"/>
              <w:ind w:right="130"/>
              <w:spacing w:after="0"/>
              <w:rPr>
                <w:sz w:val="20"/>
                <w:szCs w:val="20"/>
                <w:color w:val="auto"/>
              </w:rPr>
            </w:pPr>
            <w:r>
              <w:rPr>
                <w:rFonts w:ascii="Arial" w:cs="Arial" w:eastAsia="Arial" w:hAnsi="Arial"/>
                <w:sz w:val="12"/>
                <w:szCs w:val="12"/>
                <w:color w:val="auto"/>
              </w:rPr>
              <w:t>Sightline</w:t>
            </w:r>
          </w:p>
        </w:tc>
        <w:tc>
          <w:tcPr>
            <w:tcW w:w="100" w:type="dxa"/>
            <w:vAlign w:val="bottom"/>
          </w:tcPr>
          <w:p>
            <w:pPr>
              <w:spacing w:after="0"/>
              <w:rPr>
                <w:sz w:val="12"/>
                <w:szCs w:val="12"/>
                <w:color w:val="auto"/>
              </w:rPr>
            </w:pPr>
          </w:p>
        </w:tc>
        <w:tc>
          <w:tcPr>
            <w:tcW w:w="860" w:type="dxa"/>
            <w:vAlign w:val="bottom"/>
            <w:gridSpan w:val="2"/>
          </w:tcPr>
          <w:p>
            <w:pPr>
              <w:jc w:val="right"/>
              <w:ind w:right="10"/>
              <w:spacing w:after="0"/>
              <w:rPr>
                <w:sz w:val="20"/>
                <w:szCs w:val="20"/>
                <w:color w:val="auto"/>
              </w:rPr>
            </w:pPr>
            <w:r>
              <w:rPr>
                <w:rFonts w:ascii="Arial" w:cs="Arial" w:eastAsia="Arial" w:hAnsi="Arial"/>
                <w:sz w:val="12"/>
                <w:szCs w:val="12"/>
                <w:color w:val="auto"/>
                <w:w w:val="99"/>
              </w:rPr>
              <w:t>Corporate and</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ind w:right="150"/>
              <w:spacing w:after="0"/>
              <w:rPr>
                <w:sz w:val="20"/>
                <w:szCs w:val="20"/>
                <w:color w:val="auto"/>
              </w:rPr>
            </w:pPr>
            <w:r>
              <w:rPr>
                <w:rFonts w:ascii="Arial" w:cs="Arial" w:eastAsia="Arial" w:hAnsi="Arial"/>
                <w:sz w:val="12"/>
                <w:szCs w:val="12"/>
                <w:color w:val="auto"/>
              </w:rPr>
              <w:t>Affiliate</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vMerge w:val="restart"/>
          </w:tcPr>
          <w:p>
            <w:pPr>
              <w:ind w:left="100"/>
              <w:spacing w:after="0"/>
              <w:rPr>
                <w:sz w:val="20"/>
                <w:szCs w:val="20"/>
                <w:color w:val="auto"/>
              </w:rPr>
            </w:pPr>
            <w:r>
              <w:rPr>
                <w:rFonts w:ascii="Arial" w:cs="Arial" w:eastAsia="Arial" w:hAnsi="Arial"/>
                <w:sz w:val="12"/>
                <w:szCs w:val="12"/>
                <w:color w:val="auto"/>
              </w:rPr>
              <w:t>Total</w:t>
            </w:r>
          </w:p>
        </w:tc>
        <w:tc>
          <w:tcPr>
            <w:tcW w:w="0" w:type="dxa"/>
            <w:vAlign w:val="bottom"/>
          </w:tcPr>
          <w:p>
            <w:pPr>
              <w:spacing w:after="0"/>
              <w:rPr>
                <w:sz w:val="1"/>
                <w:szCs w:val="1"/>
                <w:color w:val="auto"/>
              </w:rPr>
            </w:pPr>
          </w:p>
        </w:tc>
      </w:tr>
      <w:tr>
        <w:trPr>
          <w:trHeight w:val="156"/>
        </w:trPr>
        <w:tc>
          <w:tcPr>
            <w:tcW w:w="3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right"/>
              <w:ind w:right="210"/>
              <w:spacing w:after="0"/>
              <w:rPr>
                <w:sz w:val="20"/>
                <w:szCs w:val="20"/>
                <w:color w:val="auto"/>
              </w:rPr>
            </w:pPr>
            <w:r>
              <w:rPr>
                <w:rFonts w:ascii="Arial" w:cs="Arial" w:eastAsia="Arial" w:hAnsi="Arial"/>
                <w:sz w:val="12"/>
                <w:szCs w:val="12"/>
                <w:color w:val="auto"/>
              </w:rPr>
              <w:t>Group</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jc w:val="right"/>
              <w:ind w:right="110"/>
              <w:spacing w:after="0"/>
              <w:rPr>
                <w:sz w:val="20"/>
                <w:szCs w:val="20"/>
                <w:color w:val="auto"/>
              </w:rPr>
            </w:pPr>
            <w:r>
              <w:rPr>
                <w:rFonts w:ascii="Arial" w:cs="Arial" w:eastAsia="Arial" w:hAnsi="Arial"/>
                <w:sz w:val="12"/>
                <w:szCs w:val="12"/>
                <w:color w:val="auto"/>
                <w:w w:val="93"/>
              </w:rPr>
              <w:t>Bradstreet</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ind w:right="230"/>
              <w:spacing w:after="0"/>
              <w:rPr>
                <w:sz w:val="20"/>
                <w:szCs w:val="20"/>
                <w:color w:val="auto"/>
              </w:rPr>
            </w:pPr>
            <w:r>
              <w:rPr>
                <w:rFonts w:ascii="Arial" w:cs="Arial" w:eastAsia="Arial" w:hAnsi="Arial"/>
                <w:sz w:val="12"/>
                <w:szCs w:val="12"/>
                <w:color w:val="auto"/>
              </w:rPr>
              <w:t>Other</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right"/>
              <w:ind w:right="70"/>
              <w:spacing w:after="0"/>
              <w:rPr>
                <w:sz w:val="20"/>
                <w:szCs w:val="20"/>
                <w:color w:val="auto"/>
              </w:rPr>
            </w:pPr>
            <w:r>
              <w:rPr>
                <w:rFonts w:ascii="Arial" w:cs="Arial" w:eastAsia="Arial" w:hAnsi="Arial"/>
                <w:sz w:val="12"/>
                <w:szCs w:val="12"/>
                <w:color w:val="auto"/>
              </w:rPr>
              <w:t>Elimination</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35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2"/>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3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40" w:type="dxa"/>
            <w:vAlign w:val="bottom"/>
            <w:gridSpan w:val="4"/>
          </w:tcPr>
          <w:p>
            <w:pPr>
              <w:jc w:val="right"/>
              <w:ind w:right="490"/>
              <w:spacing w:after="0"/>
              <w:rPr>
                <w:sz w:val="20"/>
                <w:szCs w:val="20"/>
                <w:color w:val="auto"/>
              </w:rPr>
            </w:pPr>
            <w:r>
              <w:rPr>
                <w:rFonts w:ascii="Arial" w:cs="Arial" w:eastAsia="Arial" w:hAnsi="Arial"/>
                <w:sz w:val="14"/>
                <w:szCs w:val="14"/>
                <w:color w:val="auto"/>
              </w:rPr>
              <w:t>(in millions)</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3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Restaurant revenues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145.2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jc w:val="right"/>
              <w:ind w:right="34"/>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145.2</w:t>
            </w:r>
          </w:p>
        </w:tc>
        <w:tc>
          <w:tcPr>
            <w:tcW w:w="0" w:type="dxa"/>
            <w:vAlign w:val="bottom"/>
          </w:tcPr>
          <w:p>
            <w:pPr>
              <w:spacing w:after="0"/>
              <w:rPr>
                <w:sz w:val="1"/>
                <w:szCs w:val="1"/>
                <w:color w:val="auto"/>
              </w:rPr>
            </w:pPr>
          </w:p>
        </w:tc>
      </w:tr>
      <w:tr>
        <w:trPr>
          <w:trHeight w:val="192"/>
        </w:trPr>
        <w:tc>
          <w:tcPr>
            <w:tcW w:w="35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operating revenues</w:t>
            </w: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554.7</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387.8</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806.0</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(1,757.1)</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r>
        <w:trPr>
          <w:trHeight w:val="186"/>
        </w:trPr>
        <w:tc>
          <w:tcPr>
            <w:tcW w:w="3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Revenues from external customers</w:t>
            </w: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145.2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554.7</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387.8</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806.0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(1,757.1)</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152.8</w:t>
            </w:r>
          </w:p>
        </w:tc>
        <w:tc>
          <w:tcPr>
            <w:tcW w:w="0" w:type="dxa"/>
            <w:vAlign w:val="bottom"/>
          </w:tcPr>
          <w:p>
            <w:pPr>
              <w:spacing w:after="0"/>
              <w:rPr>
                <w:sz w:val="1"/>
                <w:szCs w:val="1"/>
                <w:color w:val="auto"/>
              </w:rPr>
            </w:pPr>
          </w:p>
        </w:tc>
      </w:tr>
      <w:tr>
        <w:trPr>
          <w:trHeight w:val="141"/>
        </w:trPr>
        <w:tc>
          <w:tcPr>
            <w:tcW w:w="3580" w:type="dxa"/>
            <w:vAlign w:val="bottom"/>
          </w:tcPr>
          <w:p>
            <w:pPr>
              <w:ind w:left="20"/>
              <w:spacing w:after="0" w:line="141" w:lineRule="exact"/>
              <w:rPr>
                <w:sz w:val="20"/>
                <w:szCs w:val="20"/>
                <w:color w:val="auto"/>
              </w:rPr>
            </w:pPr>
            <w:r>
              <w:rPr>
                <w:rFonts w:ascii="Arial" w:cs="Arial" w:eastAsia="Arial" w:hAnsi="Arial"/>
                <w:sz w:val="14"/>
                <w:szCs w:val="14"/>
                <w:color w:val="auto"/>
                <w:w w:val="95"/>
              </w:rPr>
              <w:t>Interest, investment and other income, including recognized</w:t>
            </w:r>
          </w:p>
        </w:tc>
        <w:tc>
          <w:tcPr>
            <w:tcW w:w="14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2.6</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(15.0)</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(39.3)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9.8</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vMerge w:val="restart"/>
          </w:tcPr>
          <w:p>
            <w:pPr>
              <w:ind w:left="300"/>
              <w:spacing w:after="0"/>
              <w:rPr>
                <w:sz w:val="20"/>
                <w:szCs w:val="20"/>
                <w:color w:val="auto"/>
              </w:rPr>
            </w:pPr>
            <w:r>
              <w:rPr>
                <w:rFonts w:ascii="Arial" w:cs="Arial" w:eastAsia="Arial" w:hAnsi="Arial"/>
                <w:sz w:val="14"/>
                <w:szCs w:val="14"/>
                <w:color w:val="auto"/>
                <w:w w:val="92"/>
              </w:rPr>
              <w:t>(39.5)</w:t>
            </w:r>
          </w:p>
        </w:tc>
        <w:tc>
          <w:tcPr>
            <w:tcW w:w="0" w:type="dxa"/>
            <w:vAlign w:val="bottom"/>
          </w:tcPr>
          <w:p>
            <w:pPr>
              <w:spacing w:after="0"/>
              <w:rPr>
                <w:sz w:val="1"/>
                <w:szCs w:val="1"/>
                <w:color w:val="auto"/>
              </w:rPr>
            </w:pPr>
          </w:p>
        </w:tc>
      </w:tr>
      <w:tr>
        <w:trPr>
          <w:trHeight w:val="186"/>
        </w:trPr>
        <w:tc>
          <w:tcPr>
            <w:tcW w:w="3580" w:type="dxa"/>
            <w:vAlign w:val="bottom"/>
          </w:tcPr>
          <w:p>
            <w:pPr>
              <w:ind w:left="20"/>
              <w:spacing w:after="0"/>
              <w:rPr>
                <w:sz w:val="20"/>
                <w:szCs w:val="20"/>
                <w:color w:val="auto"/>
              </w:rPr>
            </w:pPr>
            <w:r>
              <w:rPr>
                <w:rFonts w:ascii="Arial" w:cs="Arial" w:eastAsia="Arial" w:hAnsi="Arial"/>
                <w:sz w:val="14"/>
                <w:szCs w:val="14"/>
                <w:color w:val="auto"/>
              </w:rPr>
              <w:t>gains (losses), net</w:t>
            </w: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3580" w:type="dxa"/>
            <w:vAlign w:val="bottom"/>
            <w:shd w:val="clear" w:color="auto" w:fill="CCEEFF"/>
          </w:tcPr>
          <w:p>
            <w:pPr>
              <w:ind w:left="20"/>
              <w:spacing w:after="0"/>
              <w:rPr>
                <w:sz w:val="20"/>
                <w:szCs w:val="20"/>
                <w:color w:val="auto"/>
              </w:rPr>
            </w:pPr>
            <w:r>
              <w:rPr>
                <w:rFonts w:ascii="Arial" w:cs="Arial" w:eastAsia="Arial" w:hAnsi="Arial"/>
                <w:sz w:val="14"/>
                <w:szCs w:val="14"/>
                <w:color w:val="auto"/>
                <w:w w:val="93"/>
              </w:rPr>
              <w:t>Total revenues, other income and realized gains (losses), net</w:t>
            </w:r>
          </w:p>
        </w:tc>
        <w:tc>
          <w:tcPr>
            <w:tcW w:w="14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145.0</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557.3</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390.3</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791.0</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(31.7)</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(1,747.3)</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4"/>
                <w:szCs w:val="14"/>
                <w:color w:val="auto"/>
              </w:rPr>
              <w:t>113.3</w:t>
            </w:r>
          </w:p>
        </w:tc>
        <w:tc>
          <w:tcPr>
            <w:tcW w:w="0" w:type="dxa"/>
            <w:vAlign w:val="bottom"/>
          </w:tcPr>
          <w:p>
            <w:pPr>
              <w:spacing w:after="0"/>
              <w:rPr>
                <w:sz w:val="1"/>
                <w:szCs w:val="1"/>
                <w:color w:val="auto"/>
              </w:rPr>
            </w:pPr>
          </w:p>
        </w:tc>
      </w:tr>
      <w:tr>
        <w:trPr>
          <w:trHeight w:val="176"/>
        </w:trPr>
        <w:tc>
          <w:tcPr>
            <w:tcW w:w="358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140" w:type="dxa"/>
            <w:vAlign w:val="bottom"/>
          </w:tcPr>
          <w:p>
            <w:pPr>
              <w:spacing w:after="0"/>
              <w:rPr>
                <w:sz w:val="15"/>
                <w:szCs w:val="15"/>
                <w:color w:val="auto"/>
              </w:rPr>
            </w:pPr>
          </w:p>
        </w:tc>
        <w:tc>
          <w:tcPr>
            <w:tcW w:w="740" w:type="dxa"/>
            <w:vAlign w:val="bottom"/>
          </w:tcPr>
          <w:p>
            <w:pPr>
              <w:jc w:val="right"/>
              <w:ind w:right="10"/>
              <w:spacing w:after="0"/>
              <w:rPr>
                <w:sz w:val="20"/>
                <w:szCs w:val="20"/>
                <w:color w:val="auto"/>
              </w:rPr>
            </w:pPr>
            <w:r>
              <w:rPr>
                <w:rFonts w:ascii="Arial" w:cs="Arial" w:eastAsia="Arial" w:hAnsi="Arial"/>
                <w:sz w:val="14"/>
                <w:szCs w:val="14"/>
                <w:color w:val="auto"/>
              </w:rPr>
              <w:t>4.3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145.0</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63.5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106.0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(316.4)</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202"/>
        </w:trPr>
        <w:tc>
          <w:tcPr>
            <w:tcW w:w="3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(56.1)</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126.6</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ind w:left="360"/>
              <w:spacing w:after="0"/>
              <w:rPr>
                <w:sz w:val="20"/>
                <w:szCs w:val="20"/>
                <w:color w:val="auto"/>
              </w:rPr>
            </w:pPr>
            <w:r>
              <w:rPr>
                <w:rFonts w:ascii="Arial" w:cs="Arial" w:eastAsia="Arial" w:hAnsi="Arial"/>
                <w:sz w:val="14"/>
                <w:szCs w:val="14"/>
                <w:color w:val="auto"/>
                <w:w w:val="97"/>
              </w:rPr>
              <w:t>(4.0)</w:t>
            </w:r>
          </w:p>
        </w:tc>
        <w:tc>
          <w:tcPr>
            <w:tcW w:w="0" w:type="dxa"/>
            <w:vAlign w:val="bottom"/>
          </w:tcPr>
          <w:p>
            <w:pPr>
              <w:spacing w:after="0"/>
              <w:rPr>
                <w:sz w:val="1"/>
                <w:szCs w:val="1"/>
                <w:color w:val="auto"/>
              </w:rPr>
            </w:pPr>
          </w:p>
        </w:tc>
      </w:tr>
      <w:tr>
        <w:trPr>
          <w:trHeight w:val="141"/>
        </w:trPr>
        <w:tc>
          <w:tcPr>
            <w:tcW w:w="3580" w:type="dxa"/>
            <w:vAlign w:val="bottom"/>
          </w:tcPr>
          <w:p>
            <w:pPr>
              <w:ind w:left="20"/>
              <w:spacing w:after="0" w:line="141" w:lineRule="exact"/>
              <w:rPr>
                <w:sz w:val="20"/>
                <w:szCs w:val="20"/>
                <w:color w:val="auto"/>
              </w:rPr>
            </w:pPr>
            <w:r>
              <w:rPr>
                <w:rFonts w:ascii="Arial" w:cs="Arial" w:eastAsia="Arial" w:hAnsi="Arial"/>
                <w:sz w:val="14"/>
                <w:szCs w:val="14"/>
                <w:color w:val="auto"/>
                <w:w w:val="96"/>
              </w:rPr>
              <w:t>(Loss) earnings before income taxes and equity in earnings</w:t>
            </w: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3580" w:type="dxa"/>
            <w:vAlign w:val="bottom"/>
          </w:tcPr>
          <w:p>
            <w:pPr>
              <w:ind w:left="20"/>
              <w:spacing w:after="0"/>
              <w:rPr>
                <w:sz w:val="20"/>
                <w:szCs w:val="20"/>
                <w:color w:val="auto"/>
              </w:rPr>
            </w:pPr>
            <w:r>
              <w:rPr>
                <w:rFonts w:ascii="Arial" w:cs="Arial" w:eastAsia="Arial" w:hAnsi="Arial"/>
                <w:sz w:val="14"/>
                <w:szCs w:val="14"/>
                <w:color w:val="auto"/>
              </w:rPr>
              <w:t>(losses) of unconsolidated affiliates</w:t>
            </w: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(37.0)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(69.0)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(56.5)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115.5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ind w:left="300"/>
              <w:spacing w:after="0"/>
              <w:rPr>
                <w:sz w:val="20"/>
                <w:szCs w:val="20"/>
                <w:color w:val="auto"/>
              </w:rPr>
            </w:pPr>
            <w:r>
              <w:rPr>
                <w:rFonts w:ascii="Arial" w:cs="Arial" w:eastAsia="Arial" w:hAnsi="Arial"/>
                <w:sz w:val="14"/>
                <w:szCs w:val="14"/>
                <w:color w:val="auto"/>
                <w:w w:val="92"/>
              </w:rPr>
              <w:t>(63.1)</w:t>
            </w:r>
          </w:p>
        </w:tc>
        <w:tc>
          <w:tcPr>
            <w:tcW w:w="0" w:type="dxa"/>
            <w:vAlign w:val="bottom"/>
          </w:tcPr>
          <w:p>
            <w:pPr>
              <w:spacing w:after="0"/>
              <w:rPr>
                <w:sz w:val="1"/>
                <w:szCs w:val="1"/>
                <w:color w:val="auto"/>
              </w:rPr>
            </w:pPr>
          </w:p>
        </w:tc>
      </w:tr>
      <w:tr>
        <w:trPr>
          <w:trHeight w:val="199"/>
        </w:trPr>
        <w:tc>
          <w:tcPr>
            <w:tcW w:w="3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Income tax (benefit) expense</w:t>
            </w:r>
          </w:p>
        </w:tc>
        <w:tc>
          <w:tcPr>
            <w:tcW w:w="14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(17.5)</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(21.8)</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10.6</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4"/>
                <w:szCs w:val="14"/>
                <w:color w:val="auto"/>
                <w:w w:val="92"/>
              </w:rPr>
              <w:t>(21.8)</w:t>
            </w:r>
          </w:p>
        </w:tc>
        <w:tc>
          <w:tcPr>
            <w:tcW w:w="0" w:type="dxa"/>
            <w:vAlign w:val="bottom"/>
          </w:tcPr>
          <w:p>
            <w:pPr>
              <w:spacing w:after="0"/>
              <w:rPr>
                <w:sz w:val="1"/>
                <w:szCs w:val="1"/>
                <w:color w:val="auto"/>
              </w:rPr>
            </w:pPr>
          </w:p>
        </w:tc>
      </w:tr>
      <w:tr>
        <w:trPr>
          <w:trHeight w:val="131"/>
        </w:trPr>
        <w:tc>
          <w:tcPr>
            <w:tcW w:w="3580" w:type="dxa"/>
            <w:vAlign w:val="bottom"/>
          </w:tcPr>
          <w:p>
            <w:pPr>
              <w:ind w:left="20"/>
              <w:spacing w:after="0" w:line="131" w:lineRule="exact"/>
              <w:rPr>
                <w:sz w:val="20"/>
                <w:szCs w:val="20"/>
                <w:color w:val="auto"/>
              </w:rPr>
            </w:pPr>
            <w:r>
              <w:rPr>
                <w:rFonts w:ascii="Arial" w:cs="Arial" w:eastAsia="Arial" w:hAnsi="Arial"/>
                <w:sz w:val="14"/>
                <w:szCs w:val="14"/>
                <w:color w:val="auto"/>
              </w:rPr>
              <w:t>(Loss) earnings, before equity in (losses) earnings of</w:t>
            </w:r>
          </w:p>
        </w:tc>
        <w:tc>
          <w:tcPr>
            <w:tcW w:w="14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(6.6)</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(19.5)</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(3.8)</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(72.0)</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(9.6)</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(34.7)</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104.9</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vMerge w:val="restart"/>
          </w:tcPr>
          <w:p>
            <w:pPr>
              <w:ind w:left="300"/>
              <w:spacing w:after="0"/>
              <w:rPr>
                <w:sz w:val="20"/>
                <w:szCs w:val="20"/>
                <w:color w:val="auto"/>
              </w:rPr>
            </w:pPr>
            <w:r>
              <w:rPr>
                <w:rFonts w:ascii="Arial" w:cs="Arial" w:eastAsia="Arial" w:hAnsi="Arial"/>
                <w:sz w:val="14"/>
                <w:szCs w:val="14"/>
                <w:color w:val="auto"/>
                <w:w w:val="92"/>
              </w:rPr>
              <w:t>(41.3)</w:t>
            </w:r>
          </w:p>
        </w:tc>
        <w:tc>
          <w:tcPr>
            <w:tcW w:w="0" w:type="dxa"/>
            <w:vAlign w:val="bottom"/>
          </w:tcPr>
          <w:p>
            <w:pPr>
              <w:spacing w:after="0"/>
              <w:rPr>
                <w:sz w:val="1"/>
                <w:szCs w:val="1"/>
                <w:color w:val="auto"/>
              </w:rPr>
            </w:pPr>
          </w:p>
        </w:tc>
      </w:tr>
      <w:tr>
        <w:trPr>
          <w:trHeight w:val="189"/>
        </w:trPr>
        <w:tc>
          <w:tcPr>
            <w:tcW w:w="3580" w:type="dxa"/>
            <w:vAlign w:val="bottom"/>
          </w:tcPr>
          <w:p>
            <w:pPr>
              <w:ind w:left="20"/>
              <w:spacing w:after="0"/>
              <w:rPr>
                <w:sz w:val="20"/>
                <w:szCs w:val="20"/>
                <w:color w:val="auto"/>
              </w:rPr>
            </w:pPr>
            <w:r>
              <w:rPr>
                <w:rFonts w:ascii="Arial" w:cs="Arial" w:eastAsia="Arial" w:hAnsi="Arial"/>
                <w:sz w:val="14"/>
                <w:szCs w:val="14"/>
                <w:color w:val="auto"/>
              </w:rPr>
              <w:t>unconsolidated affiliates</w:t>
            </w:r>
          </w:p>
        </w:tc>
        <w:tc>
          <w:tcPr>
            <w:tcW w:w="14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Equity in earnings (losses) of unconsolidated affiliates</w:t>
            </w:r>
          </w:p>
        </w:tc>
        <w:tc>
          <w:tcPr>
            <w:tcW w:w="14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4"/>
                <w:szCs w:val="14"/>
                <w:color w:val="auto"/>
                <w:w w:val="92"/>
              </w:rPr>
              <w:t>(49.1)</w:t>
            </w:r>
          </w:p>
        </w:tc>
        <w:tc>
          <w:tcPr>
            <w:tcW w:w="0" w:type="dxa"/>
            <w:vAlign w:val="bottom"/>
          </w:tcPr>
          <w:p>
            <w:pPr>
              <w:spacing w:after="0"/>
              <w:rPr>
                <w:sz w:val="1"/>
                <w:szCs w:val="1"/>
                <w:color w:val="auto"/>
              </w:rPr>
            </w:pPr>
          </w:p>
        </w:tc>
      </w:tr>
      <w:tr>
        <w:trPr>
          <w:trHeight w:val="193"/>
        </w:trPr>
        <w:tc>
          <w:tcPr>
            <w:tcW w:w="3580" w:type="dxa"/>
            <w:vAlign w:val="bottom"/>
          </w:tcPr>
          <w:p>
            <w:pPr>
              <w:ind w:left="20"/>
              <w:spacing w:after="0"/>
              <w:rPr>
                <w:sz w:val="20"/>
                <w:szCs w:val="20"/>
                <w:color w:val="auto"/>
              </w:rPr>
            </w:pPr>
            <w:r>
              <w:rPr>
                <w:rFonts w:ascii="Arial" w:cs="Arial" w:eastAsia="Arial" w:hAnsi="Arial"/>
                <w:sz w:val="14"/>
                <w:szCs w:val="14"/>
                <w:color w:val="auto"/>
              </w:rPr>
              <w:t>Net (loss) earnings</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(6.6)</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(18.8)</w:t>
            </w:r>
          </w:p>
        </w:tc>
        <w:tc>
          <w:tcPr>
            <w:tcW w:w="280" w:type="dxa"/>
            <w:vAlign w:val="bottom"/>
            <w:gridSpan w:val="2"/>
          </w:tcPr>
          <w:p>
            <w:pPr>
              <w:jc w:val="right"/>
              <w:ind w:right="9"/>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(3.8)</w:t>
            </w:r>
          </w:p>
        </w:tc>
        <w:tc>
          <w:tcPr>
            <w:tcW w:w="280" w:type="dxa"/>
            <w:vAlign w:val="bottom"/>
            <w:gridSpan w:val="2"/>
          </w:tcPr>
          <w:p>
            <w:pPr>
              <w:jc w:val="right"/>
              <w:ind w:right="29"/>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(72.0)</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(9.6)</w:t>
            </w:r>
          </w:p>
        </w:tc>
        <w:tc>
          <w:tcPr>
            <w:tcW w:w="280" w:type="dxa"/>
            <w:vAlign w:val="bottom"/>
            <w:gridSpan w:val="2"/>
          </w:tcPr>
          <w:p>
            <w:pPr>
              <w:jc w:val="right"/>
              <w:ind w:right="34"/>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(66.0)</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86.4</w:t>
            </w:r>
          </w:p>
        </w:tc>
        <w:tc>
          <w:tcPr>
            <w:tcW w:w="320" w:type="dxa"/>
            <w:vAlign w:val="bottom"/>
            <w:gridSpan w:val="2"/>
          </w:tcPr>
          <w:p>
            <w:pPr>
              <w:jc w:val="right"/>
              <w:ind w:right="49"/>
              <w:spacing w:after="0"/>
              <w:rPr>
                <w:sz w:val="20"/>
                <w:szCs w:val="20"/>
                <w:color w:val="auto"/>
              </w:rPr>
            </w:pPr>
            <w:r>
              <w:rPr>
                <w:rFonts w:ascii="Arial" w:cs="Arial" w:eastAsia="Arial" w:hAnsi="Arial"/>
                <w:sz w:val="14"/>
                <w:szCs w:val="14"/>
                <w:color w:val="auto"/>
              </w:rPr>
              <w:t>$</w:t>
            </w:r>
          </w:p>
        </w:tc>
        <w:tc>
          <w:tcPr>
            <w:tcW w:w="660" w:type="dxa"/>
            <w:vAlign w:val="bottom"/>
          </w:tcPr>
          <w:p>
            <w:pPr>
              <w:ind w:left="300"/>
              <w:spacing w:after="0"/>
              <w:rPr>
                <w:sz w:val="20"/>
                <w:szCs w:val="20"/>
                <w:color w:val="auto"/>
              </w:rPr>
            </w:pPr>
            <w:r>
              <w:rPr>
                <w:rFonts w:ascii="Arial" w:cs="Arial" w:eastAsia="Arial" w:hAnsi="Arial"/>
                <w:sz w:val="14"/>
                <w:szCs w:val="14"/>
                <w:color w:val="auto"/>
                <w:w w:val="92"/>
              </w:rPr>
              <w:t>(90.4)</w:t>
            </w:r>
          </w:p>
        </w:tc>
        <w:tc>
          <w:tcPr>
            <w:tcW w:w="0" w:type="dxa"/>
            <w:vAlign w:val="bottom"/>
          </w:tcPr>
          <w:p>
            <w:pPr>
              <w:spacing w:after="0"/>
              <w:rPr>
                <w:sz w:val="1"/>
                <w:szCs w:val="1"/>
                <w:color w:val="auto"/>
              </w:rPr>
            </w:pPr>
          </w:p>
        </w:tc>
      </w:tr>
      <w:tr>
        <w:trPr>
          <w:trHeight w:val="20"/>
        </w:trPr>
        <w:tc>
          <w:tcPr>
            <w:tcW w:w="358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3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318.4</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9,267.2</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5,734.6</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10,772.0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169.1</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34"/>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2,677.2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(25,942.9)</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2,995.6</w:t>
            </w:r>
          </w:p>
        </w:tc>
        <w:tc>
          <w:tcPr>
            <w:tcW w:w="0" w:type="dxa"/>
            <w:vAlign w:val="bottom"/>
          </w:tcPr>
          <w:p>
            <w:pPr>
              <w:spacing w:after="0"/>
              <w:rPr>
                <w:sz w:val="1"/>
                <w:szCs w:val="1"/>
                <w:color w:val="auto"/>
              </w:rPr>
            </w:pPr>
          </w:p>
        </w:tc>
      </w:tr>
      <w:tr>
        <w:trPr>
          <w:trHeight w:val="180"/>
        </w:trPr>
        <w:tc>
          <w:tcPr>
            <w:tcW w:w="3580" w:type="dxa"/>
            <w:vAlign w:val="bottom"/>
          </w:tcPr>
          <w:p>
            <w:pPr>
              <w:ind w:left="20"/>
              <w:spacing w:after="0"/>
              <w:rPr>
                <w:sz w:val="20"/>
                <w:szCs w:val="20"/>
                <w:color w:val="auto"/>
              </w:rPr>
            </w:pPr>
            <w:r>
              <w:rPr>
                <w:rFonts w:ascii="Arial" w:cs="Arial" w:eastAsia="Arial" w:hAnsi="Arial"/>
                <w:sz w:val="14"/>
                <w:szCs w:val="14"/>
                <w:color w:val="auto"/>
              </w:rPr>
              <w:t>Goodwill</w:t>
            </w:r>
          </w:p>
        </w:tc>
        <w:tc>
          <w:tcPr>
            <w:tcW w:w="140" w:type="dxa"/>
            <w:vAlign w:val="bottom"/>
          </w:tcPr>
          <w:p>
            <w:pPr>
              <w:spacing w:after="0"/>
              <w:rPr>
                <w:sz w:val="15"/>
                <w:szCs w:val="15"/>
                <w:color w:val="auto"/>
              </w:rPr>
            </w:pPr>
          </w:p>
        </w:tc>
        <w:tc>
          <w:tcPr>
            <w:tcW w:w="740" w:type="dxa"/>
            <w:vAlign w:val="bottom"/>
          </w:tcPr>
          <w:p>
            <w:pPr>
              <w:jc w:val="right"/>
              <w:ind w:right="10"/>
              <w:spacing w:after="0"/>
              <w:rPr>
                <w:sz w:val="20"/>
                <w:szCs w:val="20"/>
                <w:color w:val="auto"/>
              </w:rPr>
            </w:pPr>
            <w:r>
              <w:rPr>
                <w:rFonts w:ascii="Arial" w:cs="Arial" w:eastAsia="Arial" w:hAnsi="Arial"/>
                <w:sz w:val="14"/>
                <w:szCs w:val="14"/>
                <w:color w:val="auto"/>
              </w:rPr>
              <w:t>53.4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3,422.4</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2,009.1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3,681.0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109.0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(9,221.5)</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53.4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CONDENSED CONSOLIDATED FINANCIAL STATEMENTS (UNAUDITED) — </w:t>
      </w:r>
      <w:r>
        <w:rPr>
          <w:rFonts w:ascii="Arial" w:cs="Arial" w:eastAsia="Arial" w:hAnsi="Arial"/>
          <w:sz w:val="16"/>
          <w:szCs w:val="16"/>
          <w:b w:val="1"/>
          <w:bCs w:val="1"/>
          <w:color w:val="auto"/>
        </w:rPr>
        <w:t>continued</w:t>
      </w:r>
    </w:p>
    <w:p>
      <w:pPr>
        <w:spacing w:after="0" w:line="200" w:lineRule="exact"/>
        <w:rPr>
          <w:sz w:val="20"/>
          <w:szCs w:val="20"/>
          <w:color w:val="auto"/>
        </w:rPr>
      </w:pPr>
    </w:p>
    <w:p>
      <w:pPr>
        <w:spacing w:after="0" w:line="27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As of and for the three months ended June 30, 2022:</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520" w:type="dxa"/>
            <w:vAlign w:val="bottom"/>
          </w:tcPr>
          <w:p>
            <w:pPr>
              <w:spacing w:after="0"/>
              <w:rPr>
                <w:sz w:val="12"/>
                <w:szCs w:val="12"/>
                <w:color w:val="auto"/>
              </w:rPr>
            </w:pPr>
          </w:p>
        </w:tc>
        <w:tc>
          <w:tcPr>
            <w:tcW w:w="860" w:type="dxa"/>
            <w:vAlign w:val="bottom"/>
            <w:gridSpan w:val="3"/>
          </w:tcPr>
          <w:p>
            <w:pPr>
              <w:jc w:val="right"/>
              <w:ind w:right="93"/>
              <w:spacing w:after="0"/>
              <w:rPr>
                <w:sz w:val="20"/>
                <w:szCs w:val="20"/>
                <w:color w:val="auto"/>
              </w:rPr>
            </w:pPr>
            <w:r>
              <w:rPr>
                <w:rFonts w:ascii="Arial" w:cs="Arial" w:eastAsia="Arial" w:hAnsi="Arial"/>
                <w:sz w:val="12"/>
                <w:szCs w:val="12"/>
                <w:color w:val="auto"/>
              </w:rPr>
              <w:t>Restaurant</w:t>
            </w:r>
          </w:p>
        </w:tc>
        <w:tc>
          <w:tcPr>
            <w:tcW w:w="100" w:type="dxa"/>
            <w:vAlign w:val="bottom"/>
          </w:tcPr>
          <w:p>
            <w:pPr>
              <w:spacing w:after="0"/>
              <w:rPr>
                <w:sz w:val="12"/>
                <w:szCs w:val="12"/>
                <w:color w:val="auto"/>
              </w:rPr>
            </w:pPr>
          </w:p>
        </w:tc>
        <w:tc>
          <w:tcPr>
            <w:tcW w:w="860" w:type="dxa"/>
            <w:vAlign w:val="bottom"/>
            <w:gridSpan w:val="4"/>
          </w:tcPr>
          <w:p>
            <w:pPr>
              <w:jc w:val="right"/>
              <w:ind w:right="170"/>
              <w:spacing w:after="0"/>
              <w:rPr>
                <w:sz w:val="20"/>
                <w:szCs w:val="20"/>
                <w:color w:val="auto"/>
              </w:rPr>
            </w:pPr>
            <w:r>
              <w:rPr>
                <w:rFonts w:ascii="Arial" w:cs="Arial" w:eastAsia="Arial" w:hAnsi="Arial"/>
                <w:sz w:val="12"/>
                <w:szCs w:val="12"/>
                <w:color w:val="auto"/>
              </w:rPr>
              <w:t>Dun &amp;</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gridSpan w:val="3"/>
            <w:vMerge w:val="restart"/>
          </w:tcPr>
          <w:p>
            <w:pPr>
              <w:jc w:val="right"/>
              <w:ind w:right="170"/>
              <w:spacing w:after="0"/>
              <w:rPr>
                <w:sz w:val="20"/>
                <w:szCs w:val="20"/>
                <w:color w:val="auto"/>
              </w:rPr>
            </w:pPr>
            <w:r>
              <w:rPr>
                <w:rFonts w:ascii="Arial" w:cs="Arial" w:eastAsia="Arial" w:hAnsi="Arial"/>
                <w:sz w:val="12"/>
                <w:szCs w:val="12"/>
                <w:color w:val="auto"/>
                <w:w w:val="82"/>
              </w:rPr>
              <w:t>Paysafe</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vMerge w:val="restart"/>
          </w:tcPr>
          <w:p>
            <w:pPr>
              <w:spacing w:after="0"/>
              <w:rPr>
                <w:sz w:val="20"/>
                <w:szCs w:val="20"/>
                <w:color w:val="auto"/>
              </w:rPr>
            </w:pPr>
            <w:r>
              <w:rPr>
                <w:rFonts w:ascii="Arial" w:cs="Arial" w:eastAsia="Arial" w:hAnsi="Arial"/>
                <w:sz w:val="12"/>
                <w:szCs w:val="12"/>
                <w:color w:val="auto"/>
              </w:rPr>
              <w:t>Alight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5"/>
            <w:vMerge w:val="restart"/>
          </w:tcPr>
          <w:p>
            <w:pPr>
              <w:jc w:val="right"/>
              <w:ind w:right="320"/>
              <w:spacing w:after="0"/>
              <w:rPr>
                <w:sz w:val="20"/>
                <w:szCs w:val="20"/>
                <w:color w:val="auto"/>
              </w:rPr>
            </w:pPr>
            <w:r>
              <w:rPr>
                <w:rFonts w:ascii="Arial" w:cs="Arial" w:eastAsia="Arial" w:hAnsi="Arial"/>
                <w:sz w:val="12"/>
                <w:szCs w:val="12"/>
                <w:color w:val="auto"/>
              </w:rPr>
              <w:t>Sightline</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3"/>
          </w:tcPr>
          <w:p>
            <w:pPr>
              <w:jc w:val="right"/>
              <w:ind w:right="280"/>
              <w:spacing w:after="0"/>
              <w:rPr>
                <w:sz w:val="20"/>
                <w:szCs w:val="20"/>
                <w:color w:val="auto"/>
              </w:rPr>
            </w:pPr>
            <w:r>
              <w:rPr>
                <w:rFonts w:ascii="Arial" w:cs="Arial" w:eastAsia="Arial" w:hAnsi="Arial"/>
                <w:sz w:val="12"/>
                <w:szCs w:val="12"/>
                <w:color w:val="auto"/>
                <w:w w:val="97"/>
              </w:rPr>
              <w:t>Corporate</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3"/>
          </w:tcPr>
          <w:p>
            <w:pPr>
              <w:ind w:left="20"/>
              <w:spacing w:after="0"/>
              <w:rPr>
                <w:sz w:val="20"/>
                <w:szCs w:val="20"/>
                <w:color w:val="auto"/>
              </w:rPr>
            </w:pPr>
            <w:r>
              <w:rPr>
                <w:rFonts w:ascii="Arial" w:cs="Arial" w:eastAsia="Arial" w:hAnsi="Arial"/>
                <w:sz w:val="12"/>
                <w:szCs w:val="12"/>
                <w:color w:val="auto"/>
              </w:rPr>
              <w:t>Affiliate</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vMerge w:val="restart"/>
          </w:tcPr>
          <w:p>
            <w:pPr>
              <w:jc w:val="right"/>
              <w:ind w:right="230"/>
              <w:spacing w:after="0"/>
              <w:rPr>
                <w:sz w:val="20"/>
                <w:szCs w:val="20"/>
                <w:color w:val="auto"/>
              </w:rPr>
            </w:pPr>
            <w:r>
              <w:rPr>
                <w:rFonts w:ascii="Arial" w:cs="Arial" w:eastAsia="Arial" w:hAnsi="Arial"/>
                <w:sz w:val="12"/>
                <w:szCs w:val="12"/>
                <w:color w:val="auto"/>
              </w:rPr>
              <w:t>Total</w:t>
            </w:r>
          </w:p>
        </w:tc>
        <w:tc>
          <w:tcPr>
            <w:tcW w:w="0" w:type="dxa"/>
            <w:vAlign w:val="bottom"/>
          </w:tcPr>
          <w:p>
            <w:pPr>
              <w:spacing w:after="0"/>
              <w:rPr>
                <w:sz w:val="1"/>
                <w:szCs w:val="1"/>
                <w:color w:val="auto"/>
              </w:rPr>
            </w:pPr>
          </w:p>
        </w:tc>
      </w:tr>
      <w:tr>
        <w:trPr>
          <w:trHeight w:val="156"/>
        </w:trPr>
        <w:tc>
          <w:tcPr>
            <w:tcW w:w="3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gridSpan w:val="2"/>
          </w:tcPr>
          <w:p>
            <w:pPr>
              <w:jc w:val="right"/>
              <w:ind w:right="213"/>
              <w:spacing w:after="0"/>
              <w:rPr>
                <w:sz w:val="20"/>
                <w:szCs w:val="20"/>
                <w:color w:val="auto"/>
              </w:rPr>
            </w:pPr>
            <w:r>
              <w:rPr>
                <w:rFonts w:ascii="Arial" w:cs="Arial" w:eastAsia="Arial" w:hAnsi="Arial"/>
                <w:sz w:val="12"/>
                <w:szCs w:val="12"/>
                <w:color w:val="auto"/>
                <w:w w:val="89"/>
              </w:rPr>
              <w:t>Group</w:t>
            </w:r>
          </w:p>
        </w:tc>
        <w:tc>
          <w:tcPr>
            <w:tcW w:w="100" w:type="dxa"/>
            <w:vAlign w:val="bottom"/>
          </w:tcPr>
          <w:p>
            <w:pPr>
              <w:spacing w:after="0"/>
              <w:rPr>
                <w:sz w:val="13"/>
                <w:szCs w:val="13"/>
                <w:color w:val="auto"/>
              </w:rPr>
            </w:pPr>
          </w:p>
        </w:tc>
        <w:tc>
          <w:tcPr>
            <w:tcW w:w="860" w:type="dxa"/>
            <w:vAlign w:val="bottom"/>
            <w:gridSpan w:val="4"/>
          </w:tcPr>
          <w:p>
            <w:pPr>
              <w:jc w:val="right"/>
              <w:ind w:right="90"/>
              <w:spacing w:after="0"/>
              <w:rPr>
                <w:sz w:val="20"/>
                <w:szCs w:val="20"/>
                <w:color w:val="auto"/>
              </w:rPr>
            </w:pPr>
            <w:r>
              <w:rPr>
                <w:rFonts w:ascii="Arial" w:cs="Arial" w:eastAsia="Arial" w:hAnsi="Arial"/>
                <w:sz w:val="12"/>
                <w:szCs w:val="12"/>
                <w:color w:val="auto"/>
              </w:rPr>
              <w:t>Bradstreet</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gridSpan w:val="3"/>
            <w:vMerge w:val="continue"/>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5"/>
            <w:vMerge w:val="continue"/>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3"/>
          </w:tcPr>
          <w:p>
            <w:pPr>
              <w:jc w:val="right"/>
              <w:ind w:right="300"/>
              <w:spacing w:after="0"/>
              <w:rPr>
                <w:sz w:val="20"/>
                <w:szCs w:val="20"/>
                <w:color w:val="auto"/>
              </w:rPr>
            </w:pPr>
            <w:r>
              <w:rPr>
                <w:rFonts w:ascii="Arial" w:cs="Arial" w:eastAsia="Arial" w:hAnsi="Arial"/>
                <w:sz w:val="12"/>
                <w:szCs w:val="12"/>
                <w:color w:val="auto"/>
                <w:w w:val="93"/>
              </w:rPr>
              <w:t>and Other</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4"/>
          </w:tcPr>
          <w:p>
            <w:pPr>
              <w:jc w:val="right"/>
              <w:ind w:right="260"/>
              <w:spacing w:after="0"/>
              <w:rPr>
                <w:sz w:val="20"/>
                <w:szCs w:val="20"/>
                <w:color w:val="auto"/>
              </w:rPr>
            </w:pPr>
            <w:r>
              <w:rPr>
                <w:rFonts w:ascii="Arial" w:cs="Arial" w:eastAsia="Arial" w:hAnsi="Arial"/>
                <w:sz w:val="12"/>
                <w:szCs w:val="12"/>
                <w:color w:val="auto"/>
              </w:rPr>
              <w:t>Elimination</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35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3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5"/>
          </w:tcPr>
          <w:p>
            <w:pPr>
              <w:jc w:val="right"/>
              <w:spacing w:after="0"/>
              <w:rPr>
                <w:sz w:val="20"/>
                <w:szCs w:val="20"/>
                <w:color w:val="auto"/>
              </w:rPr>
            </w:pPr>
            <w:r>
              <w:rPr>
                <w:rFonts w:ascii="Arial" w:cs="Arial" w:eastAsia="Arial" w:hAnsi="Arial"/>
                <w:sz w:val="14"/>
                <w:szCs w:val="14"/>
                <w:color w:val="auto"/>
              </w:rPr>
              <w:t>(in millions)</w:t>
            </w: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3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Restaurant revenues</w:t>
            </w:r>
          </w:p>
        </w:tc>
        <w:tc>
          <w:tcPr>
            <w:tcW w:w="26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w w:val="76"/>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166.7</w:t>
            </w:r>
          </w:p>
        </w:tc>
        <w:tc>
          <w:tcPr>
            <w:tcW w:w="420" w:type="dxa"/>
            <w:vAlign w:val="bottom"/>
            <w:gridSpan w:val="2"/>
            <w:shd w:val="clear" w:color="auto" w:fill="CCEEFF"/>
          </w:tcPr>
          <w:p>
            <w:pPr>
              <w:jc w:val="right"/>
              <w:ind w:right="153"/>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80" w:type="dxa"/>
            <w:vAlign w:val="bottom"/>
            <w:gridSpan w:val="3"/>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76"/>
              </w:rPr>
              <w:t>$</w:t>
            </w:r>
          </w:p>
        </w:tc>
        <w:tc>
          <w:tcPr>
            <w:tcW w:w="1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166.7</w:t>
            </w:r>
          </w:p>
        </w:tc>
        <w:tc>
          <w:tcPr>
            <w:tcW w:w="0" w:type="dxa"/>
            <w:vAlign w:val="bottom"/>
          </w:tcPr>
          <w:p>
            <w:pPr>
              <w:spacing w:after="0"/>
              <w:rPr>
                <w:sz w:val="1"/>
                <w:szCs w:val="1"/>
                <w:color w:val="auto"/>
              </w:rPr>
            </w:pPr>
          </w:p>
        </w:tc>
      </w:tr>
      <w:tr>
        <w:trPr>
          <w:trHeight w:val="192"/>
        </w:trPr>
        <w:tc>
          <w:tcPr>
            <w:tcW w:w="35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operating revenues</w:t>
            </w:r>
          </w:p>
        </w:tc>
        <w:tc>
          <w:tcPr>
            <w:tcW w:w="2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537.3</w:t>
            </w: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1"/>
              </w:rPr>
              <w:t>367.7</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715.0</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13.9</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ind w:left="320"/>
              <w:spacing w:after="0"/>
              <w:rPr>
                <w:sz w:val="20"/>
                <w:szCs w:val="20"/>
                <w:color w:val="auto"/>
              </w:rPr>
            </w:pPr>
            <w:r>
              <w:rPr>
                <w:rFonts w:ascii="Arial" w:cs="Arial" w:eastAsia="Arial" w:hAnsi="Arial"/>
                <w:sz w:val="14"/>
                <w:szCs w:val="14"/>
                <w:color w:val="auto"/>
              </w:rPr>
              <w:t>7.8</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(1,633.9)</w:t>
            </w: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w:t>
            </w:r>
          </w:p>
        </w:tc>
        <w:tc>
          <w:tcPr>
            <w:tcW w:w="0" w:type="dxa"/>
            <w:vAlign w:val="bottom"/>
          </w:tcPr>
          <w:p>
            <w:pPr>
              <w:spacing w:after="0"/>
              <w:rPr>
                <w:sz w:val="1"/>
                <w:szCs w:val="1"/>
                <w:color w:val="auto"/>
              </w:rPr>
            </w:pPr>
          </w:p>
        </w:tc>
      </w:tr>
      <w:tr>
        <w:trPr>
          <w:trHeight w:val="186"/>
        </w:trPr>
        <w:tc>
          <w:tcPr>
            <w:tcW w:w="3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Revenues from external customers</w:t>
            </w:r>
          </w:p>
        </w:tc>
        <w:tc>
          <w:tcPr>
            <w:tcW w:w="26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166.7</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537.3</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1"/>
              </w:rPr>
              <w:t>367.7</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715.0</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ind w:left="320"/>
              <w:spacing w:after="0"/>
              <w:rPr>
                <w:sz w:val="20"/>
                <w:szCs w:val="20"/>
                <w:color w:val="auto"/>
              </w:rPr>
            </w:pPr>
            <w:r>
              <w:rPr>
                <w:rFonts w:ascii="Arial" w:cs="Arial" w:eastAsia="Arial" w:hAnsi="Arial"/>
                <w:sz w:val="14"/>
                <w:szCs w:val="14"/>
                <w:color w:val="auto"/>
              </w:rPr>
              <w:t>7.8</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(1,633.9)</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174.5</w:t>
            </w:r>
          </w:p>
        </w:tc>
        <w:tc>
          <w:tcPr>
            <w:tcW w:w="0" w:type="dxa"/>
            <w:vAlign w:val="bottom"/>
          </w:tcPr>
          <w:p>
            <w:pPr>
              <w:spacing w:after="0"/>
              <w:rPr>
                <w:sz w:val="1"/>
                <w:szCs w:val="1"/>
                <w:color w:val="auto"/>
              </w:rPr>
            </w:pPr>
          </w:p>
        </w:tc>
      </w:tr>
      <w:tr>
        <w:trPr>
          <w:trHeight w:val="141"/>
        </w:trPr>
        <w:tc>
          <w:tcPr>
            <w:tcW w:w="3520" w:type="dxa"/>
            <w:vAlign w:val="bottom"/>
          </w:tcPr>
          <w:p>
            <w:pPr>
              <w:ind w:left="20"/>
              <w:spacing w:after="0" w:line="141" w:lineRule="exact"/>
              <w:rPr>
                <w:sz w:val="20"/>
                <w:szCs w:val="20"/>
                <w:color w:val="auto"/>
              </w:rPr>
            </w:pPr>
            <w:r>
              <w:rPr>
                <w:rFonts w:ascii="Arial" w:cs="Arial" w:eastAsia="Arial" w:hAnsi="Arial"/>
                <w:sz w:val="14"/>
                <w:szCs w:val="14"/>
                <w:color w:val="auto"/>
                <w:w w:val="96"/>
              </w:rPr>
              <w:t>Interest investment and other income (expense), including</w:t>
            </w:r>
          </w:p>
        </w:tc>
        <w:tc>
          <w:tcPr>
            <w:tcW w:w="260" w:type="dxa"/>
            <w:vAlign w:val="bottom"/>
          </w:tcPr>
          <w:p>
            <w:pPr>
              <w:spacing w:after="0"/>
              <w:rPr>
                <w:sz w:val="12"/>
                <w:szCs w:val="12"/>
                <w:color w:val="auto"/>
              </w:rPr>
            </w:pPr>
          </w:p>
        </w:tc>
        <w:tc>
          <w:tcPr>
            <w:tcW w:w="600" w:type="dxa"/>
            <w:vAlign w:val="bottom"/>
            <w:gridSpan w:val="2"/>
            <w:vMerge w:val="restart"/>
          </w:tcPr>
          <w:p>
            <w:pPr>
              <w:jc w:val="right"/>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vMerge w:val="restart"/>
          </w:tcPr>
          <w:p>
            <w:pPr>
              <w:jc w:val="right"/>
              <w:spacing w:after="0"/>
              <w:rPr>
                <w:sz w:val="20"/>
                <w:szCs w:val="20"/>
                <w:color w:val="auto"/>
              </w:rPr>
            </w:pPr>
            <w:r>
              <w:rPr>
                <w:rFonts w:ascii="Arial" w:cs="Arial" w:eastAsia="Arial" w:hAnsi="Arial"/>
                <w:sz w:val="14"/>
                <w:szCs w:val="14"/>
                <w:color w:val="auto"/>
              </w:rPr>
              <w:t>11.5</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vMerge w:val="restart"/>
          </w:tcPr>
          <w:p>
            <w:pPr>
              <w:jc w:val="right"/>
              <w:spacing w:after="0"/>
              <w:rPr>
                <w:sz w:val="20"/>
                <w:szCs w:val="20"/>
                <w:color w:val="auto"/>
              </w:rPr>
            </w:pPr>
            <w:r>
              <w:rPr>
                <w:rFonts w:ascii="Arial" w:cs="Arial" w:eastAsia="Arial" w:hAnsi="Arial"/>
                <w:sz w:val="14"/>
                <w:szCs w:val="14"/>
                <w:color w:val="auto"/>
              </w:rPr>
              <w:t>3.5</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vMerge w:val="restart"/>
          </w:tcPr>
          <w:p>
            <w:pPr>
              <w:jc w:val="right"/>
              <w:spacing w:after="0"/>
              <w:rPr>
                <w:sz w:val="20"/>
                <w:szCs w:val="20"/>
                <w:color w:val="auto"/>
              </w:rPr>
            </w:pPr>
            <w:r>
              <w:rPr>
                <w:rFonts w:ascii="Arial" w:cs="Arial" w:eastAsia="Arial" w:hAnsi="Arial"/>
                <w:sz w:val="14"/>
                <w:szCs w:val="14"/>
                <w:color w:val="auto"/>
              </w:rPr>
              <w:t>95.0</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3"/>
            <w:vMerge w:val="restart"/>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(195.5)</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(110.0)</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(193.5)</w:t>
            </w:r>
          </w:p>
        </w:tc>
        <w:tc>
          <w:tcPr>
            <w:tcW w:w="0" w:type="dxa"/>
            <w:vAlign w:val="bottom"/>
          </w:tcPr>
          <w:p>
            <w:pPr>
              <w:spacing w:after="0"/>
              <w:rPr>
                <w:sz w:val="1"/>
                <w:szCs w:val="1"/>
                <w:color w:val="auto"/>
              </w:rPr>
            </w:pPr>
          </w:p>
        </w:tc>
      </w:tr>
      <w:tr>
        <w:trPr>
          <w:trHeight w:val="186"/>
        </w:trPr>
        <w:tc>
          <w:tcPr>
            <w:tcW w:w="3520" w:type="dxa"/>
            <w:vAlign w:val="bottom"/>
          </w:tcPr>
          <w:p>
            <w:pPr>
              <w:ind w:left="20"/>
              <w:spacing w:after="0"/>
              <w:rPr>
                <w:sz w:val="20"/>
                <w:szCs w:val="20"/>
                <w:color w:val="auto"/>
              </w:rPr>
            </w:pPr>
            <w:r>
              <w:rPr>
                <w:rFonts w:ascii="Arial" w:cs="Arial" w:eastAsia="Arial" w:hAnsi="Arial"/>
                <w:sz w:val="14"/>
                <w:szCs w:val="14"/>
                <w:color w:val="auto"/>
              </w:rPr>
              <w:t>recognized gains (losses), net</w:t>
            </w:r>
          </w:p>
        </w:tc>
        <w:tc>
          <w:tcPr>
            <w:tcW w:w="260" w:type="dxa"/>
            <w:vAlign w:val="bottom"/>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3520" w:type="dxa"/>
            <w:vAlign w:val="bottom"/>
            <w:shd w:val="clear" w:color="auto" w:fill="CCEEFF"/>
          </w:tcPr>
          <w:p>
            <w:pPr>
              <w:ind w:left="20"/>
              <w:spacing w:after="0" w:line="131" w:lineRule="exact"/>
              <w:rPr>
                <w:sz w:val="20"/>
                <w:szCs w:val="20"/>
                <w:color w:val="auto"/>
              </w:rPr>
            </w:pPr>
            <w:r>
              <w:rPr>
                <w:rFonts w:ascii="Arial" w:cs="Arial" w:eastAsia="Arial" w:hAnsi="Arial"/>
                <w:sz w:val="14"/>
                <w:szCs w:val="14"/>
                <w:color w:val="auto"/>
                <w:w w:val="92"/>
              </w:rPr>
              <w:t>Total revenues, other income and recognized gains (losses),</w:t>
            </w:r>
          </w:p>
        </w:tc>
        <w:tc>
          <w:tcPr>
            <w:tcW w:w="26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168.7</w:t>
            </w:r>
          </w:p>
        </w:tc>
        <w:tc>
          <w:tcPr>
            <w:tcW w:w="100" w:type="dxa"/>
            <w:vAlign w:val="bottom"/>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548.8</w:t>
            </w:r>
          </w:p>
        </w:tc>
        <w:tc>
          <w:tcPr>
            <w:tcW w:w="2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w w:val="91"/>
              </w:rPr>
              <w:t>371.2</w:t>
            </w:r>
          </w:p>
        </w:tc>
        <w:tc>
          <w:tcPr>
            <w:tcW w:w="120" w:type="dxa"/>
            <w:vAlign w:val="bottom"/>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810.0</w:t>
            </w:r>
          </w:p>
        </w:tc>
        <w:tc>
          <w:tcPr>
            <w:tcW w:w="8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13.9</w:t>
            </w:r>
          </w:p>
        </w:tc>
        <w:tc>
          <w:tcPr>
            <w:tcW w:w="80" w:type="dxa"/>
            <w:vAlign w:val="bottom"/>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(187.7)</w:t>
            </w:r>
          </w:p>
        </w:tc>
        <w:tc>
          <w:tcPr>
            <w:tcW w:w="100" w:type="dxa"/>
            <w:vAlign w:val="bottom"/>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(1,743.9)</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(19.0)</w:t>
            </w:r>
          </w:p>
        </w:tc>
        <w:tc>
          <w:tcPr>
            <w:tcW w:w="0" w:type="dxa"/>
            <w:vAlign w:val="bottom"/>
          </w:tcPr>
          <w:p>
            <w:pPr>
              <w:spacing w:after="0"/>
              <w:rPr>
                <w:sz w:val="1"/>
                <w:szCs w:val="1"/>
                <w:color w:val="auto"/>
              </w:rPr>
            </w:pPr>
          </w:p>
        </w:tc>
      </w:tr>
      <w:tr>
        <w:trPr>
          <w:trHeight w:val="183"/>
        </w:trPr>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w:t>
            </w:r>
          </w:p>
        </w:tc>
        <w:tc>
          <w:tcPr>
            <w:tcW w:w="26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gridSpan w:val="2"/>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gridSpan w:val="3"/>
            <w:vMerge w:val="continue"/>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40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4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vMerge w:val="continue"/>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352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260" w:type="dxa"/>
            <w:vAlign w:val="bottom"/>
          </w:tcPr>
          <w:p>
            <w:pPr>
              <w:spacing w:after="0"/>
              <w:rPr>
                <w:sz w:val="16"/>
                <w:szCs w:val="16"/>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5.6</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40" w:type="dxa"/>
            <w:vAlign w:val="bottom"/>
            <w:gridSpan w:val="3"/>
          </w:tcPr>
          <w:p>
            <w:pPr>
              <w:jc w:val="right"/>
              <w:spacing w:after="0"/>
              <w:rPr>
                <w:sz w:val="20"/>
                <w:szCs w:val="20"/>
                <w:color w:val="auto"/>
              </w:rPr>
            </w:pPr>
            <w:r>
              <w:rPr>
                <w:rFonts w:ascii="Arial" w:cs="Arial" w:eastAsia="Arial" w:hAnsi="Arial"/>
                <w:sz w:val="14"/>
                <w:szCs w:val="14"/>
                <w:color w:val="auto"/>
              </w:rPr>
              <w:t>147.0</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63.4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13.0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1.5</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ind w:left="320"/>
              <w:spacing w:after="0"/>
              <w:rPr>
                <w:sz w:val="20"/>
                <w:szCs w:val="20"/>
                <w:color w:val="auto"/>
              </w:rPr>
            </w:pPr>
            <w:r>
              <w:rPr>
                <w:rFonts w:ascii="Arial" w:cs="Arial" w:eastAsia="Arial" w:hAnsi="Arial"/>
                <w:sz w:val="14"/>
                <w:szCs w:val="14"/>
                <w:color w:val="auto"/>
              </w:rPr>
              <w:t>0.6</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(224.9)</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208"/>
        </w:trPr>
        <w:tc>
          <w:tcPr>
            <w:tcW w:w="3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2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7"/>
              </w:rPr>
              <w:t>(41.9)</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8"/>
              </w:rPr>
              <w:t>(26.0)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96.9</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33"/>
        </w:trPr>
        <w:tc>
          <w:tcPr>
            <w:tcW w:w="3520" w:type="dxa"/>
            <w:vAlign w:val="bottom"/>
          </w:tcPr>
          <w:p>
            <w:pPr>
              <w:ind w:left="20"/>
              <w:spacing w:after="0" w:line="133" w:lineRule="exact"/>
              <w:rPr>
                <w:sz w:val="20"/>
                <w:szCs w:val="20"/>
                <w:color w:val="auto"/>
              </w:rPr>
            </w:pPr>
            <w:r>
              <w:rPr>
                <w:rFonts w:ascii="Arial" w:cs="Arial" w:eastAsia="Arial" w:hAnsi="Arial"/>
                <w:sz w:val="14"/>
                <w:szCs w:val="14"/>
                <w:color w:val="auto"/>
                <w:w w:val="94"/>
              </w:rPr>
              <w:t>(Loss) earnings before income taxes and equity in earnings</w:t>
            </w:r>
          </w:p>
        </w:tc>
        <w:tc>
          <w:tcPr>
            <w:tcW w:w="260" w:type="dxa"/>
            <w:vAlign w:val="bottom"/>
          </w:tcPr>
          <w:p>
            <w:pPr>
              <w:spacing w:after="0"/>
              <w:rPr>
                <w:sz w:val="11"/>
                <w:szCs w:val="11"/>
                <w:color w:val="auto"/>
              </w:rPr>
            </w:pPr>
          </w:p>
        </w:tc>
        <w:tc>
          <w:tcPr>
            <w:tcW w:w="600" w:type="dxa"/>
            <w:vAlign w:val="bottom"/>
            <w:gridSpan w:val="2"/>
            <w:vMerge w:val="restart"/>
          </w:tcPr>
          <w:p>
            <w:pPr>
              <w:jc w:val="right"/>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vMerge w:val="restart"/>
          </w:tcPr>
          <w:p>
            <w:pPr>
              <w:jc w:val="right"/>
              <w:spacing w:after="0"/>
              <w:rPr>
                <w:sz w:val="20"/>
                <w:szCs w:val="20"/>
                <w:color w:val="auto"/>
              </w:rPr>
            </w:pPr>
            <w:r>
              <w:rPr>
                <w:rFonts w:ascii="Arial" w:cs="Arial" w:eastAsia="Arial" w:hAnsi="Arial"/>
                <w:sz w:val="14"/>
                <w:szCs w:val="14"/>
                <w:color w:val="auto"/>
              </w:rPr>
              <w:t>(0.7)</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gridSpan w:val="3"/>
            <w:vMerge w:val="restart"/>
          </w:tcPr>
          <w:p>
            <w:pPr>
              <w:jc w:val="right"/>
              <w:spacing w:after="0"/>
              <w:rPr>
                <w:sz w:val="20"/>
                <w:szCs w:val="20"/>
                <w:color w:val="auto"/>
              </w:rPr>
            </w:pPr>
            <w:r>
              <w:rPr>
                <w:rFonts w:ascii="Arial" w:cs="Arial" w:eastAsia="Arial" w:hAnsi="Arial"/>
                <w:sz w:val="14"/>
                <w:szCs w:val="14"/>
                <w:color w:val="auto"/>
              </w:rPr>
              <w:t>(1,214.2)</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vMerge w:val="restart"/>
          </w:tcPr>
          <w:p>
            <w:pPr>
              <w:jc w:val="right"/>
              <w:spacing w:after="0"/>
              <w:rPr>
                <w:sz w:val="20"/>
                <w:szCs w:val="20"/>
                <w:color w:val="auto"/>
              </w:rPr>
            </w:pPr>
            <w:r>
              <w:rPr>
                <w:rFonts w:ascii="Arial" w:cs="Arial" w:eastAsia="Arial" w:hAnsi="Arial"/>
                <w:sz w:val="14"/>
                <w:szCs w:val="14"/>
                <w:color w:val="auto"/>
              </w:rPr>
              <w:t>43.0</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(5.9)</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(220.6)</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1,177.8</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(223.1)</w:t>
            </w:r>
          </w:p>
        </w:tc>
        <w:tc>
          <w:tcPr>
            <w:tcW w:w="0" w:type="dxa"/>
            <w:vAlign w:val="bottom"/>
          </w:tcPr>
          <w:p>
            <w:pPr>
              <w:spacing w:after="0"/>
              <w:rPr>
                <w:sz w:val="1"/>
                <w:szCs w:val="1"/>
                <w:color w:val="auto"/>
              </w:rPr>
            </w:pPr>
          </w:p>
        </w:tc>
      </w:tr>
      <w:tr>
        <w:trPr>
          <w:trHeight w:val="189"/>
        </w:trPr>
        <w:tc>
          <w:tcPr>
            <w:tcW w:w="3520" w:type="dxa"/>
            <w:vAlign w:val="bottom"/>
          </w:tcPr>
          <w:p>
            <w:pPr>
              <w:ind w:left="20"/>
              <w:spacing w:after="0"/>
              <w:rPr>
                <w:sz w:val="20"/>
                <w:szCs w:val="20"/>
                <w:color w:val="auto"/>
              </w:rPr>
            </w:pPr>
            <w:r>
              <w:rPr>
                <w:rFonts w:ascii="Arial" w:cs="Arial" w:eastAsia="Arial" w:hAnsi="Arial"/>
                <w:sz w:val="14"/>
                <w:szCs w:val="14"/>
                <w:color w:val="auto"/>
              </w:rPr>
              <w:t>(losses) of unconsolidated affiliates</w:t>
            </w:r>
          </w:p>
        </w:tc>
        <w:tc>
          <w:tcPr>
            <w:tcW w:w="260" w:type="dxa"/>
            <w:vAlign w:val="bottom"/>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tax (benefit) expense</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8"/>
              </w:rPr>
              <w:t>(43.4)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(66.5)</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52.5</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(66.5)</w:t>
            </w:r>
          </w:p>
        </w:tc>
        <w:tc>
          <w:tcPr>
            <w:tcW w:w="0" w:type="dxa"/>
            <w:vAlign w:val="bottom"/>
          </w:tcPr>
          <w:p>
            <w:pPr>
              <w:spacing w:after="0"/>
              <w:rPr>
                <w:sz w:val="1"/>
                <w:szCs w:val="1"/>
                <w:color w:val="auto"/>
              </w:rPr>
            </w:pPr>
          </w:p>
        </w:tc>
      </w:tr>
      <w:tr>
        <w:trPr>
          <w:trHeight w:val="121"/>
        </w:trPr>
        <w:tc>
          <w:tcPr>
            <w:tcW w:w="3520" w:type="dxa"/>
            <w:vAlign w:val="bottom"/>
          </w:tcPr>
          <w:p>
            <w:pPr>
              <w:ind w:left="20"/>
              <w:spacing w:after="0" w:line="121" w:lineRule="exact"/>
              <w:rPr>
                <w:sz w:val="20"/>
                <w:szCs w:val="20"/>
                <w:color w:val="auto"/>
              </w:rPr>
            </w:pPr>
            <w:r>
              <w:rPr>
                <w:rFonts w:ascii="Arial" w:cs="Arial" w:eastAsia="Arial" w:hAnsi="Arial"/>
                <w:sz w:val="13"/>
                <w:szCs w:val="13"/>
                <w:color w:val="auto"/>
              </w:rPr>
              <w:t>(Loss) earnings before equity in earnings of unconsolidated</w:t>
            </w:r>
          </w:p>
        </w:tc>
        <w:tc>
          <w:tcPr>
            <w:tcW w:w="26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3520" w:type="dxa"/>
            <w:vAlign w:val="bottom"/>
          </w:tcPr>
          <w:p>
            <w:pPr>
              <w:ind w:left="20"/>
              <w:spacing w:after="0"/>
              <w:rPr>
                <w:sz w:val="20"/>
                <w:szCs w:val="20"/>
                <w:color w:val="auto"/>
              </w:rPr>
            </w:pPr>
            <w:r>
              <w:rPr>
                <w:rFonts w:ascii="Arial" w:cs="Arial" w:eastAsia="Arial" w:hAnsi="Arial"/>
                <w:sz w:val="14"/>
                <w:szCs w:val="14"/>
                <w:color w:val="auto"/>
              </w:rPr>
              <w:t>affiliates</w:t>
            </w:r>
          </w:p>
        </w:tc>
        <w:tc>
          <w:tcPr>
            <w:tcW w:w="260" w:type="dxa"/>
            <w:vAlign w:val="bottom"/>
          </w:tcPr>
          <w:p>
            <w:pPr>
              <w:spacing w:after="0"/>
              <w:rPr>
                <w:sz w:val="15"/>
                <w:szCs w:val="15"/>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(0.6)</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gridSpan w:val="3"/>
          </w:tcPr>
          <w:p>
            <w:pPr>
              <w:jc w:val="right"/>
              <w:spacing w:after="0"/>
              <w:rPr>
                <w:sz w:val="20"/>
                <w:szCs w:val="20"/>
                <w:color w:val="auto"/>
              </w:rPr>
            </w:pPr>
            <w:r>
              <w:rPr>
                <w:rFonts w:ascii="Arial" w:cs="Arial" w:eastAsia="Arial" w:hAnsi="Arial"/>
                <w:sz w:val="14"/>
                <w:szCs w:val="14"/>
                <w:color w:val="auto"/>
              </w:rPr>
              <w:t>(1,170.8)</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52.0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(5.9)</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(154.1)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1,125.3</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(156.6)</w:t>
            </w:r>
          </w:p>
        </w:tc>
        <w:tc>
          <w:tcPr>
            <w:tcW w:w="0" w:type="dxa"/>
            <w:vAlign w:val="bottom"/>
          </w:tcPr>
          <w:p>
            <w:pPr>
              <w:spacing w:after="0"/>
              <w:rPr>
                <w:sz w:val="1"/>
                <w:szCs w:val="1"/>
                <w:color w:val="auto"/>
              </w:rPr>
            </w:pPr>
          </w:p>
        </w:tc>
      </w:tr>
      <w:tr>
        <w:trPr>
          <w:trHeight w:val="24"/>
        </w:trPr>
        <w:tc>
          <w:tcPr>
            <w:tcW w:w="3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Equity in earnings (losses) of unconsolidated affiliates</w:t>
            </w:r>
          </w:p>
        </w:tc>
        <w:tc>
          <w:tcPr>
            <w:tcW w:w="26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2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4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w:t>
            </w:r>
          </w:p>
        </w:tc>
        <w:tc>
          <w:tcPr>
            <w:tcW w:w="10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(101.6)</w:t>
            </w:r>
          </w:p>
        </w:tc>
        <w:tc>
          <w:tcPr>
            <w:tcW w:w="6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(108.0)</w:t>
            </w:r>
          </w:p>
        </w:tc>
        <w:tc>
          <w:tcPr>
            <w:tcW w:w="0" w:type="dxa"/>
            <w:vAlign w:val="bottom"/>
          </w:tcPr>
          <w:p>
            <w:pPr>
              <w:spacing w:after="0"/>
              <w:rPr>
                <w:sz w:val="1"/>
                <w:szCs w:val="1"/>
                <w:color w:val="auto"/>
              </w:rPr>
            </w:pPr>
          </w:p>
        </w:tc>
      </w:tr>
      <w:tr>
        <w:trPr>
          <w:trHeight w:val="195"/>
        </w:trPr>
        <w:tc>
          <w:tcPr>
            <w:tcW w:w="3520" w:type="dxa"/>
            <w:vAlign w:val="bottom"/>
          </w:tcPr>
          <w:p>
            <w:pPr>
              <w:ind w:left="20"/>
              <w:spacing w:after="0"/>
              <w:rPr>
                <w:sz w:val="20"/>
                <w:szCs w:val="20"/>
                <w:color w:val="auto"/>
              </w:rPr>
            </w:pPr>
            <w:r>
              <w:rPr>
                <w:rFonts w:ascii="Arial" w:cs="Arial" w:eastAsia="Arial" w:hAnsi="Arial"/>
                <w:sz w:val="14"/>
                <w:szCs w:val="14"/>
                <w:color w:val="auto"/>
              </w:rPr>
              <w:t>Net (loss) earnings</w:t>
            </w:r>
          </w:p>
        </w:tc>
        <w:tc>
          <w:tcPr>
            <w:tcW w:w="260" w:type="dxa"/>
            <w:vAlign w:val="bottom"/>
          </w:tcPr>
          <w:p>
            <w:pPr>
              <w:jc w:val="right"/>
              <w:ind w:right="112"/>
              <w:spacing w:after="0"/>
              <w:rPr>
                <w:sz w:val="20"/>
                <w:szCs w:val="20"/>
                <w:color w:val="auto"/>
              </w:rPr>
            </w:pPr>
            <w:r>
              <w:rPr>
                <w:rFonts w:ascii="Arial" w:cs="Arial" w:eastAsia="Arial" w:hAnsi="Arial"/>
                <w:sz w:val="14"/>
                <w:szCs w:val="14"/>
                <w:color w:val="auto"/>
                <w:w w:val="76"/>
              </w:rPr>
              <w:t>$</w:t>
            </w: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(2.6)</w:t>
            </w:r>
          </w:p>
        </w:tc>
        <w:tc>
          <w:tcPr>
            <w:tcW w:w="420" w:type="dxa"/>
            <w:vAlign w:val="bottom"/>
            <w:gridSpan w:val="2"/>
          </w:tcPr>
          <w:p>
            <w:pPr>
              <w:jc w:val="right"/>
              <w:ind w:right="153"/>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380" w:type="dxa"/>
            <w:vAlign w:val="bottom"/>
            <w:gridSpan w:val="3"/>
          </w:tcPr>
          <w:p>
            <w:pPr>
              <w:jc w:val="right"/>
              <w:ind w:right="89"/>
              <w:spacing w:after="0"/>
              <w:rPr>
                <w:sz w:val="20"/>
                <w:szCs w:val="20"/>
                <w:color w:val="auto"/>
              </w:rPr>
            </w:pPr>
            <w:r>
              <w:rPr>
                <w:rFonts w:ascii="Arial" w:cs="Arial" w:eastAsia="Arial" w:hAnsi="Arial"/>
                <w:sz w:val="14"/>
                <w:szCs w:val="14"/>
                <w:color w:val="auto"/>
              </w:rPr>
              <w:t>$</w:t>
            </w:r>
          </w:p>
        </w:tc>
        <w:tc>
          <w:tcPr>
            <w:tcW w:w="620" w:type="dxa"/>
            <w:vAlign w:val="bottom"/>
            <w:gridSpan w:val="3"/>
          </w:tcPr>
          <w:p>
            <w:pPr>
              <w:jc w:val="right"/>
              <w:spacing w:after="0"/>
              <w:rPr>
                <w:sz w:val="20"/>
                <w:szCs w:val="20"/>
                <w:color w:val="auto"/>
              </w:rPr>
            </w:pPr>
            <w:r>
              <w:rPr>
                <w:rFonts w:ascii="Arial" w:cs="Arial" w:eastAsia="Arial" w:hAnsi="Arial"/>
                <w:sz w:val="14"/>
                <w:szCs w:val="14"/>
                <w:color w:val="auto"/>
              </w:rPr>
              <w:t>(1,170.8)</w:t>
            </w:r>
          </w:p>
        </w:tc>
        <w:tc>
          <w:tcPr>
            <w:tcW w:w="280" w:type="dxa"/>
            <w:vAlign w:val="bottom"/>
            <w:gridSpan w:val="2"/>
          </w:tcPr>
          <w:p>
            <w:pPr>
              <w:jc w:val="right"/>
              <w:ind w:right="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52.0</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(5.9)</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gridSpan w:val="2"/>
          </w:tcPr>
          <w:p>
            <w:pPr>
              <w:jc w:val="right"/>
              <w:ind w:right="60"/>
              <w:spacing w:after="0"/>
              <w:rPr>
                <w:sz w:val="20"/>
                <w:szCs w:val="20"/>
                <w:color w:val="auto"/>
              </w:rPr>
            </w:pPr>
            <w:r>
              <w:rPr>
                <w:rFonts w:ascii="Arial" w:cs="Arial" w:eastAsia="Arial" w:hAnsi="Arial"/>
                <w:sz w:val="14"/>
                <w:szCs w:val="14"/>
                <w:color w:val="auto"/>
                <w:w w:val="76"/>
              </w:rPr>
              <w:t>$</w:t>
            </w:r>
          </w:p>
        </w:tc>
        <w:tc>
          <w:tcPr>
            <w:tcW w:w="1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(161.0)</w:t>
            </w:r>
          </w:p>
        </w:tc>
        <w:tc>
          <w:tcPr>
            <w:tcW w:w="100" w:type="dxa"/>
            <w:vAlign w:val="bottom"/>
          </w:tcPr>
          <w:p>
            <w:pPr>
              <w:spacing w:after="0"/>
              <w:rPr>
                <w:sz w:val="16"/>
                <w:szCs w:val="16"/>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1,023.7</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gridSpan w:val="2"/>
          </w:tcPr>
          <w:p>
            <w:pPr>
              <w:jc w:val="right"/>
              <w:ind w:right="69"/>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(264.6)</w:t>
            </w:r>
          </w:p>
        </w:tc>
        <w:tc>
          <w:tcPr>
            <w:tcW w:w="0" w:type="dxa"/>
            <w:vAlign w:val="bottom"/>
          </w:tcPr>
          <w:p>
            <w:pPr>
              <w:spacing w:after="0"/>
              <w:rPr>
                <w:sz w:val="1"/>
                <w:szCs w:val="1"/>
                <w:color w:val="auto"/>
              </w:rPr>
            </w:pPr>
          </w:p>
        </w:tc>
      </w:tr>
      <w:tr>
        <w:trPr>
          <w:trHeight w:val="20"/>
        </w:trPr>
        <w:tc>
          <w:tcPr>
            <w:tcW w:w="352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3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26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w w:val="76"/>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359.0</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53"/>
              <w:spacing w:after="0"/>
              <w:rPr>
                <w:sz w:val="20"/>
                <w:szCs w:val="20"/>
                <w:color w:val="auto"/>
              </w:rPr>
            </w:pPr>
            <w:r>
              <w:rPr>
                <w:rFonts w:ascii="Arial" w:cs="Arial" w:eastAsia="Arial" w:hAnsi="Arial"/>
                <w:sz w:val="14"/>
                <w:szCs w:val="14"/>
                <w:color w:val="auto"/>
              </w:rPr>
              <w:t>$</w:t>
            </w: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9,696.6</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6,501.3</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10,878.0</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176.2</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76"/>
              </w:rPr>
              <w:t>$</w:t>
            </w: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2,829.1</w:t>
            </w:r>
          </w:p>
        </w:tc>
        <w:tc>
          <w:tcPr>
            <w:tcW w:w="100" w:type="dxa"/>
            <w:vAlign w:val="bottom"/>
            <w:shd w:val="clear" w:color="auto" w:fill="CCEEFF"/>
          </w:tcPr>
          <w:p>
            <w:pPr>
              <w:spacing w:after="0"/>
              <w:rPr>
                <w:sz w:val="15"/>
                <w:szCs w:val="15"/>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(27,252.1)</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40" w:type="dxa"/>
            <w:vAlign w:val="bottom"/>
            <w:gridSpan w:val="2"/>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3,188.1</w:t>
            </w:r>
          </w:p>
        </w:tc>
        <w:tc>
          <w:tcPr>
            <w:tcW w:w="0" w:type="dxa"/>
            <w:vAlign w:val="bottom"/>
          </w:tcPr>
          <w:p>
            <w:pPr>
              <w:spacing w:after="0"/>
              <w:rPr>
                <w:sz w:val="1"/>
                <w:szCs w:val="1"/>
                <w:color w:val="auto"/>
              </w:rPr>
            </w:pPr>
          </w:p>
        </w:tc>
      </w:tr>
      <w:tr>
        <w:trPr>
          <w:trHeight w:val="180"/>
        </w:trPr>
        <w:tc>
          <w:tcPr>
            <w:tcW w:w="3520" w:type="dxa"/>
            <w:vAlign w:val="bottom"/>
          </w:tcPr>
          <w:p>
            <w:pPr>
              <w:ind w:left="20"/>
              <w:spacing w:after="0"/>
              <w:rPr>
                <w:sz w:val="20"/>
                <w:szCs w:val="20"/>
                <w:color w:val="auto"/>
              </w:rPr>
            </w:pPr>
            <w:r>
              <w:rPr>
                <w:rFonts w:ascii="Arial" w:cs="Arial" w:eastAsia="Arial" w:hAnsi="Arial"/>
                <w:sz w:val="14"/>
                <w:szCs w:val="14"/>
                <w:color w:val="auto"/>
              </w:rPr>
              <w:t>Goodwill</w:t>
            </w:r>
          </w:p>
        </w:tc>
        <w:tc>
          <w:tcPr>
            <w:tcW w:w="260" w:type="dxa"/>
            <w:vAlign w:val="bottom"/>
          </w:tcPr>
          <w:p>
            <w:pPr>
              <w:spacing w:after="0"/>
              <w:rPr>
                <w:sz w:val="15"/>
                <w:szCs w:val="15"/>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53.4</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gridSpan w:val="3"/>
          </w:tcPr>
          <w:p>
            <w:pPr>
              <w:jc w:val="right"/>
              <w:spacing w:after="0"/>
              <w:rPr>
                <w:sz w:val="20"/>
                <w:szCs w:val="20"/>
                <w:color w:val="auto"/>
              </w:rPr>
            </w:pPr>
            <w:r>
              <w:rPr>
                <w:rFonts w:ascii="Arial" w:cs="Arial" w:eastAsia="Arial" w:hAnsi="Arial"/>
                <w:sz w:val="14"/>
                <w:szCs w:val="14"/>
                <w:color w:val="auto"/>
              </w:rPr>
              <w:t>3,437.1</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gridSpan w:val="3"/>
          </w:tcPr>
          <w:p>
            <w:pPr>
              <w:jc w:val="right"/>
              <w:spacing w:after="0"/>
              <w:rPr>
                <w:sz w:val="20"/>
                <w:szCs w:val="20"/>
                <w:color w:val="auto"/>
              </w:rPr>
            </w:pPr>
            <w:r>
              <w:rPr>
                <w:rFonts w:ascii="Arial" w:cs="Arial" w:eastAsia="Arial" w:hAnsi="Arial"/>
                <w:sz w:val="14"/>
                <w:szCs w:val="14"/>
                <w:color w:val="auto"/>
              </w:rPr>
              <w:t>2,712.8</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w w:val="89"/>
              </w:rPr>
              <w:t>3,624.0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108.9</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(9,882.8)</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53.4</w:t>
            </w:r>
          </w:p>
        </w:tc>
        <w:tc>
          <w:tcPr>
            <w:tcW w:w="0" w:type="dxa"/>
            <w:vAlign w:val="bottom"/>
          </w:tcPr>
          <w:p>
            <w:pPr>
              <w:spacing w:after="0"/>
              <w:rPr>
                <w:sz w:val="1"/>
                <w:szCs w:val="1"/>
                <w:color w:val="auto"/>
              </w:rPr>
            </w:pPr>
          </w:p>
        </w:tc>
      </w:tr>
      <w:tr>
        <w:trPr>
          <w:trHeight w:val="429"/>
        </w:trPr>
        <w:tc>
          <w:tcPr>
            <w:tcW w:w="4380" w:type="dxa"/>
            <w:vAlign w:val="bottom"/>
            <w:gridSpan w:val="4"/>
          </w:tcPr>
          <w:p>
            <w:pPr>
              <w:ind w:left="320"/>
              <w:spacing w:after="0"/>
              <w:rPr>
                <w:sz w:val="20"/>
                <w:szCs w:val="20"/>
                <w:color w:val="auto"/>
              </w:rPr>
            </w:pPr>
            <w:r>
              <w:rPr>
                <w:rFonts w:ascii="Arial" w:cs="Arial" w:eastAsia="Arial" w:hAnsi="Arial"/>
                <w:sz w:val="18"/>
                <w:szCs w:val="18"/>
                <w:color w:val="auto"/>
              </w:rPr>
              <w:t>As of and for the six months ended June 30, 2023:</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3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gridSpan w:val="3"/>
          </w:tcPr>
          <w:p>
            <w:pPr>
              <w:jc w:val="right"/>
              <w:ind w:right="73"/>
              <w:spacing w:after="0"/>
              <w:rPr>
                <w:sz w:val="20"/>
                <w:szCs w:val="20"/>
                <w:color w:val="auto"/>
              </w:rPr>
            </w:pPr>
            <w:r>
              <w:rPr>
                <w:rFonts w:ascii="Arial" w:cs="Arial" w:eastAsia="Arial" w:hAnsi="Arial"/>
                <w:sz w:val="12"/>
                <w:szCs w:val="12"/>
                <w:color w:val="auto"/>
              </w:rPr>
              <w:t>Restaurant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4"/>
          </w:tcPr>
          <w:p>
            <w:pPr>
              <w:jc w:val="right"/>
              <w:ind w:right="169"/>
              <w:spacing w:after="0"/>
              <w:rPr>
                <w:sz w:val="20"/>
                <w:szCs w:val="20"/>
                <w:color w:val="auto"/>
              </w:rPr>
            </w:pPr>
            <w:r>
              <w:rPr>
                <w:rFonts w:ascii="Arial" w:cs="Arial" w:eastAsia="Arial" w:hAnsi="Arial"/>
                <w:sz w:val="12"/>
                <w:szCs w:val="12"/>
                <w:color w:val="auto"/>
              </w:rPr>
              <w:t>Dun &amp;</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gridSpan w:val="3"/>
            <w:vMerge w:val="restart"/>
          </w:tcPr>
          <w:p>
            <w:pPr>
              <w:jc w:val="right"/>
              <w:ind w:right="129"/>
              <w:spacing w:after="0"/>
              <w:rPr>
                <w:sz w:val="20"/>
                <w:szCs w:val="20"/>
                <w:color w:val="auto"/>
              </w:rPr>
            </w:pPr>
            <w:r>
              <w:rPr>
                <w:rFonts w:ascii="Arial" w:cs="Arial" w:eastAsia="Arial" w:hAnsi="Arial"/>
                <w:sz w:val="12"/>
                <w:szCs w:val="12"/>
                <w:color w:val="auto"/>
              </w:rPr>
              <w:t>Paysafe</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vMerge w:val="restart"/>
          </w:tcPr>
          <w:p>
            <w:pPr>
              <w:jc w:val="right"/>
              <w:spacing w:after="0"/>
              <w:rPr>
                <w:sz w:val="20"/>
                <w:szCs w:val="20"/>
                <w:color w:val="auto"/>
              </w:rPr>
            </w:pPr>
            <w:r>
              <w:rPr>
                <w:rFonts w:ascii="Arial" w:cs="Arial" w:eastAsia="Arial" w:hAnsi="Arial"/>
                <w:sz w:val="12"/>
                <w:szCs w:val="12"/>
                <w:color w:val="auto"/>
              </w:rPr>
              <w:t>Alight</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gridSpan w:val="3"/>
            <w:vMerge w:val="restart"/>
          </w:tcPr>
          <w:p>
            <w:pPr>
              <w:jc w:val="right"/>
              <w:ind w:right="140"/>
              <w:spacing w:after="0"/>
              <w:rPr>
                <w:sz w:val="20"/>
                <w:szCs w:val="20"/>
                <w:color w:val="auto"/>
              </w:rPr>
            </w:pPr>
            <w:r>
              <w:rPr>
                <w:rFonts w:ascii="Arial" w:cs="Arial" w:eastAsia="Arial" w:hAnsi="Arial"/>
                <w:sz w:val="12"/>
                <w:szCs w:val="12"/>
                <w:color w:val="auto"/>
                <w:w w:val="99"/>
              </w:rPr>
              <w:t>Sightline</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2"/>
                <w:szCs w:val="12"/>
                <w:color w:val="auto"/>
                <w:w w:val="99"/>
              </w:rPr>
              <w:t>Corporate and</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gridSpan w:val="3"/>
          </w:tcPr>
          <w:p>
            <w:pPr>
              <w:jc w:val="right"/>
              <w:ind w:right="260"/>
              <w:spacing w:after="0"/>
              <w:rPr>
                <w:sz w:val="20"/>
                <w:szCs w:val="20"/>
                <w:color w:val="auto"/>
              </w:rPr>
            </w:pPr>
            <w:r>
              <w:rPr>
                <w:rFonts w:ascii="Arial" w:cs="Arial" w:eastAsia="Arial" w:hAnsi="Arial"/>
                <w:sz w:val="12"/>
                <w:szCs w:val="12"/>
                <w:color w:val="auto"/>
              </w:rPr>
              <w:t>Affiliate</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vMerge w:val="restart"/>
          </w:tcPr>
          <w:p>
            <w:pPr>
              <w:jc w:val="right"/>
              <w:ind w:right="210"/>
              <w:spacing w:after="0"/>
              <w:rPr>
                <w:sz w:val="20"/>
                <w:szCs w:val="20"/>
                <w:color w:val="auto"/>
              </w:rPr>
            </w:pPr>
            <w:r>
              <w:rPr>
                <w:rFonts w:ascii="Arial" w:cs="Arial" w:eastAsia="Arial" w:hAnsi="Arial"/>
                <w:sz w:val="12"/>
                <w:szCs w:val="12"/>
                <w:color w:val="auto"/>
              </w:rPr>
              <w:t>Total</w:t>
            </w:r>
          </w:p>
        </w:tc>
        <w:tc>
          <w:tcPr>
            <w:tcW w:w="0" w:type="dxa"/>
            <w:vAlign w:val="bottom"/>
          </w:tcPr>
          <w:p>
            <w:pPr>
              <w:spacing w:after="0"/>
              <w:rPr>
                <w:sz w:val="1"/>
                <w:szCs w:val="1"/>
                <w:color w:val="auto"/>
              </w:rPr>
            </w:pPr>
          </w:p>
        </w:tc>
      </w:tr>
      <w:tr>
        <w:trPr>
          <w:trHeight w:val="166"/>
        </w:trPr>
        <w:tc>
          <w:tcPr>
            <w:tcW w:w="3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Borders>
              <w:bottom w:val="single" w:sz="8" w:color="auto"/>
            </w:tcBorders>
            <w:gridSpan w:val="3"/>
          </w:tcPr>
          <w:p>
            <w:pPr>
              <w:jc w:val="right"/>
              <w:ind w:right="173"/>
              <w:spacing w:after="0"/>
              <w:rPr>
                <w:sz w:val="20"/>
                <w:szCs w:val="20"/>
                <w:color w:val="auto"/>
              </w:rPr>
            </w:pPr>
            <w:r>
              <w:rPr>
                <w:rFonts w:ascii="Arial" w:cs="Arial" w:eastAsia="Arial" w:hAnsi="Arial"/>
                <w:sz w:val="12"/>
                <w:szCs w:val="12"/>
                <w:color w:val="auto"/>
              </w:rPr>
              <w:t>Group</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4"/>
          </w:tcPr>
          <w:p>
            <w:pPr>
              <w:jc w:val="right"/>
              <w:ind w:right="89"/>
              <w:spacing w:after="0"/>
              <w:rPr>
                <w:sz w:val="20"/>
                <w:szCs w:val="20"/>
                <w:color w:val="auto"/>
              </w:rPr>
            </w:pPr>
            <w:r>
              <w:rPr>
                <w:rFonts w:ascii="Arial" w:cs="Arial" w:eastAsia="Arial" w:hAnsi="Arial"/>
                <w:sz w:val="12"/>
                <w:szCs w:val="12"/>
                <w:color w:val="auto"/>
                <w:w w:val="97"/>
              </w:rPr>
              <w:t>Bradstreet</w:t>
            </w: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3"/>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gridSpan w:val="3"/>
            <w:vMerge w:val="continue"/>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2"/>
                <w:szCs w:val="12"/>
                <w:color w:val="auto"/>
              </w:rPr>
              <w:t>Other</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3"/>
          </w:tcPr>
          <w:p>
            <w:pPr>
              <w:ind w:left="20"/>
              <w:spacing w:after="0"/>
              <w:rPr>
                <w:sz w:val="20"/>
                <w:szCs w:val="20"/>
                <w:color w:val="auto"/>
              </w:rPr>
            </w:pPr>
            <w:r>
              <w:rPr>
                <w:rFonts w:ascii="Arial" w:cs="Arial" w:eastAsia="Arial" w:hAnsi="Arial"/>
                <w:sz w:val="12"/>
                <w:szCs w:val="12"/>
                <w:color w:val="auto"/>
              </w:rPr>
              <w:t>Elimination</w:t>
            </w: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gridSpan w:val="8"/>
          </w:tcPr>
          <w:p>
            <w:pPr>
              <w:jc w:val="right"/>
              <w:ind w:right="420"/>
              <w:spacing w:after="0"/>
              <w:rPr>
                <w:sz w:val="20"/>
                <w:szCs w:val="20"/>
                <w:color w:val="auto"/>
              </w:rPr>
            </w:pPr>
            <w:r>
              <w:rPr>
                <w:rFonts w:ascii="Arial" w:cs="Arial" w:eastAsia="Arial" w:hAnsi="Arial"/>
                <w:sz w:val="14"/>
                <w:szCs w:val="14"/>
                <w:color w:val="auto"/>
              </w:rPr>
              <w:t>(in millions)</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Restaurant revenues</w:t>
            </w:r>
          </w:p>
        </w:tc>
        <w:tc>
          <w:tcPr>
            <w:tcW w:w="2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33"/>
              <w:spacing w:after="0"/>
              <w:rPr>
                <w:sz w:val="20"/>
                <w:szCs w:val="20"/>
                <w:color w:val="auto"/>
              </w:rPr>
            </w:pPr>
            <w:r>
              <w:rPr>
                <w:rFonts w:ascii="Arial" w:cs="Arial" w:eastAsia="Arial" w:hAnsi="Arial"/>
                <w:sz w:val="14"/>
                <w:szCs w:val="14"/>
                <w:color w:val="auto"/>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96"/>
              </w:rPr>
              <w:t>293.7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99"/>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4"/>
                <w:szCs w:val="14"/>
                <w:color w:val="auto"/>
                <w:w w:val="76"/>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293.7</w:t>
            </w:r>
          </w:p>
        </w:tc>
        <w:tc>
          <w:tcPr>
            <w:tcW w:w="0" w:type="dxa"/>
            <w:vAlign w:val="bottom"/>
          </w:tcPr>
          <w:p>
            <w:pPr>
              <w:spacing w:after="0"/>
              <w:rPr>
                <w:sz w:val="1"/>
                <w:szCs w:val="1"/>
                <w:color w:val="auto"/>
              </w:rPr>
            </w:pPr>
          </w:p>
        </w:tc>
      </w:tr>
      <w:tr>
        <w:trPr>
          <w:trHeight w:val="183"/>
        </w:trPr>
        <w:tc>
          <w:tcPr>
            <w:tcW w:w="3520" w:type="dxa"/>
            <w:vAlign w:val="bottom"/>
          </w:tcPr>
          <w:p>
            <w:pPr>
              <w:ind w:left="20"/>
              <w:spacing w:after="0"/>
              <w:rPr>
                <w:sz w:val="20"/>
                <w:szCs w:val="20"/>
                <w:color w:val="auto"/>
              </w:rPr>
            </w:pPr>
            <w:r>
              <w:rPr>
                <w:rFonts w:ascii="Arial" w:cs="Arial" w:eastAsia="Arial" w:hAnsi="Arial"/>
                <w:sz w:val="14"/>
                <w:szCs w:val="14"/>
                <w:color w:val="auto"/>
              </w:rPr>
              <w:t>Other operating revenues</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1,095.1</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771.3</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1,637.0</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color w:val="auto"/>
              </w:rPr>
              <w:t>17.9</w:t>
            </w:r>
          </w:p>
        </w:tc>
        <w:tc>
          <w:tcPr>
            <w:tcW w:w="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color w:val="auto"/>
              </w:rPr>
              <w:t>13.4</w:t>
            </w:r>
          </w:p>
        </w:tc>
        <w:tc>
          <w:tcPr>
            <w:tcW w:w="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(3,521.3)</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13.4</w:t>
            </w:r>
          </w:p>
        </w:tc>
        <w:tc>
          <w:tcPr>
            <w:tcW w:w="0" w:type="dxa"/>
            <w:vAlign w:val="bottom"/>
          </w:tcPr>
          <w:p>
            <w:pPr>
              <w:spacing w:after="0"/>
              <w:rPr>
                <w:sz w:val="1"/>
                <w:szCs w:val="1"/>
                <w:color w:val="auto"/>
              </w:rPr>
            </w:pPr>
          </w:p>
        </w:tc>
      </w:tr>
      <w:tr>
        <w:trPr>
          <w:trHeight w:val="195"/>
        </w:trPr>
        <w:tc>
          <w:tcPr>
            <w:tcW w:w="3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Revenues from external customers</w:t>
            </w:r>
          </w:p>
        </w:tc>
        <w:tc>
          <w:tcPr>
            <w:tcW w:w="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96"/>
              </w:rPr>
              <w:t>293.7</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1,095.1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771.3</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1,637.0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17.9</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13.4</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(3,521.3)</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307.1</w:t>
            </w:r>
          </w:p>
        </w:tc>
        <w:tc>
          <w:tcPr>
            <w:tcW w:w="0" w:type="dxa"/>
            <w:vAlign w:val="bottom"/>
          </w:tcPr>
          <w:p>
            <w:pPr>
              <w:spacing w:after="0"/>
              <w:rPr>
                <w:sz w:val="1"/>
                <w:szCs w:val="1"/>
                <w:color w:val="auto"/>
              </w:rPr>
            </w:pPr>
          </w:p>
        </w:tc>
      </w:tr>
      <w:tr>
        <w:trPr>
          <w:trHeight w:val="141"/>
        </w:trPr>
        <w:tc>
          <w:tcPr>
            <w:tcW w:w="3780" w:type="dxa"/>
            <w:vAlign w:val="bottom"/>
            <w:gridSpan w:val="2"/>
          </w:tcPr>
          <w:p>
            <w:pPr>
              <w:ind w:left="20"/>
              <w:spacing w:after="0" w:line="141" w:lineRule="exact"/>
              <w:rPr>
                <w:sz w:val="20"/>
                <w:szCs w:val="20"/>
                <w:color w:val="auto"/>
              </w:rPr>
            </w:pPr>
            <w:r>
              <w:rPr>
                <w:rFonts w:ascii="Arial" w:cs="Arial" w:eastAsia="Arial" w:hAnsi="Arial"/>
                <w:sz w:val="14"/>
                <w:szCs w:val="14"/>
                <w:color w:val="auto"/>
                <w:w w:val="91"/>
              </w:rPr>
              <w:t>Interest, investment and other income, including recognized gains</w:t>
            </w: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gridSpan w:val="2"/>
            <w:vMerge w:val="restart"/>
          </w:tcPr>
          <w:p>
            <w:pPr>
              <w:jc w:val="right"/>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80" w:type="dxa"/>
            <w:vAlign w:val="bottom"/>
            <w:gridSpan w:val="3"/>
            <w:vMerge w:val="restart"/>
          </w:tcPr>
          <w:p>
            <w:pPr>
              <w:jc w:val="right"/>
              <w:spacing w:after="0"/>
              <w:rPr>
                <w:sz w:val="20"/>
                <w:szCs w:val="20"/>
                <w:color w:val="auto"/>
              </w:rPr>
            </w:pPr>
            <w:r>
              <w:rPr>
                <w:rFonts w:ascii="Arial" w:cs="Arial" w:eastAsia="Arial" w:hAnsi="Arial"/>
                <w:sz w:val="14"/>
                <w:szCs w:val="14"/>
                <w:color w:val="auto"/>
              </w:rPr>
              <w:t>4.6</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3"/>
            <w:vMerge w:val="restart"/>
          </w:tcPr>
          <w:p>
            <w:pPr>
              <w:jc w:val="right"/>
              <w:spacing w:after="0"/>
              <w:rPr>
                <w:sz w:val="20"/>
                <w:szCs w:val="20"/>
                <w:color w:val="auto"/>
              </w:rPr>
            </w:pPr>
            <w:r>
              <w:rPr>
                <w:rFonts w:ascii="Arial" w:cs="Arial" w:eastAsia="Arial" w:hAnsi="Arial"/>
                <w:sz w:val="14"/>
                <w:szCs w:val="14"/>
                <w:color w:val="auto"/>
              </w:rPr>
              <w:t>(11.6)</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3"/>
            <w:vMerge w:val="restart"/>
          </w:tcPr>
          <w:p>
            <w:pPr>
              <w:jc w:val="right"/>
              <w:spacing w:after="0"/>
              <w:rPr>
                <w:sz w:val="20"/>
                <w:szCs w:val="20"/>
                <w:color w:val="auto"/>
              </w:rPr>
            </w:pPr>
            <w:r>
              <w:rPr>
                <w:rFonts w:ascii="Arial" w:cs="Arial" w:eastAsia="Arial" w:hAnsi="Arial"/>
                <w:sz w:val="14"/>
                <w:szCs w:val="14"/>
                <w:color w:val="auto"/>
              </w:rPr>
              <w:t>(51.0)</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3"/>
            <w:vMerge w:val="restart"/>
          </w:tcPr>
          <w:p>
            <w:pPr>
              <w:jc w:val="right"/>
              <w:ind w:right="20"/>
              <w:spacing w:after="0"/>
              <w:rPr>
                <w:sz w:val="20"/>
                <w:szCs w:val="20"/>
                <w:color w:val="auto"/>
              </w:rPr>
            </w:pPr>
            <w:r>
              <w:rPr>
                <w:rFonts w:ascii="Arial" w:cs="Arial" w:eastAsia="Arial" w:hAnsi="Arial"/>
                <w:sz w:val="14"/>
                <w:szCs w:val="14"/>
                <w:color w:val="auto"/>
              </w:rPr>
              <w:t>1.8</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15.5</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56.2</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15.4</w:t>
            </w:r>
          </w:p>
        </w:tc>
        <w:tc>
          <w:tcPr>
            <w:tcW w:w="0" w:type="dxa"/>
            <w:vAlign w:val="bottom"/>
          </w:tcPr>
          <w:p>
            <w:pPr>
              <w:spacing w:after="0"/>
              <w:rPr>
                <w:sz w:val="1"/>
                <w:szCs w:val="1"/>
                <w:color w:val="auto"/>
              </w:rPr>
            </w:pPr>
          </w:p>
        </w:tc>
      </w:tr>
      <w:tr>
        <w:trPr>
          <w:trHeight w:val="186"/>
        </w:trPr>
        <w:tc>
          <w:tcPr>
            <w:tcW w:w="35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(losses), net</w:t>
            </w:r>
          </w:p>
        </w:tc>
        <w:tc>
          <w:tcPr>
            <w:tcW w:w="26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gridSpan w:val="3"/>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gridSpan w:val="3"/>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gridSpan w:val="3"/>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gridSpan w:val="3"/>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gridSpan w:val="2"/>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gridSpan w:val="2"/>
            <w:vMerge w:val="continue"/>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3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revenues and other income</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4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w w:val="96"/>
              </w:rPr>
              <w:t>293.6</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4"/>
                <w:szCs w:val="14"/>
                <w:color w:val="auto"/>
              </w:rPr>
              <w:t>1,099.7</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color w:val="auto"/>
              </w:rPr>
              <w:t>759.7</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color w:val="auto"/>
              </w:rPr>
              <w:t>1,586.0</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19.7</w:t>
            </w:r>
          </w:p>
        </w:tc>
        <w:tc>
          <w:tcPr>
            <w:tcW w:w="4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28.9</w:t>
            </w:r>
          </w:p>
        </w:tc>
        <w:tc>
          <w:tcPr>
            <w:tcW w:w="2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(3,465.1)</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322.5</w:t>
            </w:r>
          </w:p>
        </w:tc>
        <w:tc>
          <w:tcPr>
            <w:tcW w:w="0" w:type="dxa"/>
            <w:vAlign w:val="bottom"/>
          </w:tcPr>
          <w:p>
            <w:pPr>
              <w:spacing w:after="0"/>
              <w:rPr>
                <w:sz w:val="1"/>
                <w:szCs w:val="1"/>
                <w:color w:val="auto"/>
              </w:rPr>
            </w:pPr>
          </w:p>
        </w:tc>
      </w:tr>
      <w:tr>
        <w:trPr>
          <w:trHeight w:val="176"/>
        </w:trPr>
        <w:tc>
          <w:tcPr>
            <w:tcW w:w="352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gridSpan w:val="2"/>
          </w:tcPr>
          <w:p>
            <w:pPr>
              <w:jc w:val="right"/>
              <w:spacing w:after="0"/>
              <w:rPr>
                <w:sz w:val="20"/>
                <w:szCs w:val="20"/>
                <w:color w:val="auto"/>
              </w:rPr>
            </w:pPr>
            <w:r>
              <w:rPr>
                <w:rFonts w:ascii="Arial" w:cs="Arial" w:eastAsia="Arial" w:hAnsi="Arial"/>
                <w:sz w:val="14"/>
                <w:szCs w:val="14"/>
                <w:color w:val="auto"/>
              </w:rPr>
              <w:t>8.9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gridSpan w:val="3"/>
          </w:tcPr>
          <w:p>
            <w:pPr>
              <w:jc w:val="right"/>
              <w:spacing w:after="0"/>
              <w:rPr>
                <w:sz w:val="20"/>
                <w:szCs w:val="20"/>
                <w:color w:val="auto"/>
              </w:rPr>
            </w:pPr>
            <w:r>
              <w:rPr>
                <w:rFonts w:ascii="Arial" w:cs="Arial" w:eastAsia="Arial" w:hAnsi="Arial"/>
                <w:sz w:val="14"/>
                <w:szCs w:val="14"/>
                <w:color w:val="auto"/>
                <w:w w:val="85"/>
              </w:rPr>
              <w:t>290.4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gridSpan w:val="3"/>
          </w:tcPr>
          <w:p>
            <w:pPr>
              <w:jc w:val="right"/>
              <w:spacing w:after="0"/>
              <w:rPr>
                <w:sz w:val="20"/>
                <w:szCs w:val="20"/>
                <w:color w:val="auto"/>
              </w:rPr>
            </w:pPr>
            <w:r>
              <w:rPr>
                <w:rFonts w:ascii="Arial" w:cs="Arial" w:eastAsia="Arial" w:hAnsi="Arial"/>
                <w:sz w:val="14"/>
                <w:szCs w:val="14"/>
                <w:color w:val="auto"/>
              </w:rPr>
              <w:t>131.2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3"/>
          </w:tcPr>
          <w:p>
            <w:pPr>
              <w:jc w:val="right"/>
              <w:spacing w:after="0"/>
              <w:rPr>
                <w:sz w:val="20"/>
                <w:szCs w:val="20"/>
                <w:color w:val="auto"/>
              </w:rPr>
            </w:pPr>
            <w:r>
              <w:rPr>
                <w:rFonts w:ascii="Arial" w:cs="Arial" w:eastAsia="Arial" w:hAnsi="Arial"/>
                <w:sz w:val="14"/>
                <w:szCs w:val="14"/>
                <w:color w:val="auto"/>
              </w:rPr>
              <w:t>210.0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gridSpan w:val="3"/>
          </w:tcPr>
          <w:p>
            <w:pPr>
              <w:jc w:val="right"/>
              <w:ind w:right="20"/>
              <w:spacing w:after="0"/>
              <w:rPr>
                <w:sz w:val="20"/>
                <w:szCs w:val="20"/>
                <w:color w:val="auto"/>
              </w:rPr>
            </w:pPr>
            <w:r>
              <w:rPr>
                <w:rFonts w:ascii="Arial" w:cs="Arial" w:eastAsia="Arial" w:hAnsi="Arial"/>
                <w:sz w:val="14"/>
                <w:szCs w:val="14"/>
                <w:color w:val="auto"/>
              </w:rPr>
              <w:t>4.2</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rPr>
              <w:t>0.8</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4"/>
                <w:szCs w:val="14"/>
                <w:color w:val="auto"/>
              </w:rPr>
              <w:t>(635.8)</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9.7</w:t>
            </w:r>
          </w:p>
        </w:tc>
        <w:tc>
          <w:tcPr>
            <w:tcW w:w="0" w:type="dxa"/>
            <w:vAlign w:val="bottom"/>
          </w:tcPr>
          <w:p>
            <w:pPr>
              <w:spacing w:after="0"/>
              <w:rPr>
                <w:sz w:val="1"/>
                <w:szCs w:val="1"/>
                <w:color w:val="auto"/>
              </w:rPr>
            </w:pPr>
          </w:p>
        </w:tc>
      </w:tr>
      <w:tr>
        <w:trPr>
          <w:trHeight w:val="202"/>
        </w:trPr>
        <w:tc>
          <w:tcPr>
            <w:tcW w:w="3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(111.4)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(75.1)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(66.0)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(5.8)</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252.5</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w:t>
            </w:r>
          </w:p>
        </w:tc>
        <w:tc>
          <w:tcPr>
            <w:tcW w:w="0" w:type="dxa"/>
            <w:vAlign w:val="bottom"/>
          </w:tcPr>
          <w:p>
            <w:pPr>
              <w:spacing w:after="0"/>
              <w:rPr>
                <w:sz w:val="1"/>
                <w:szCs w:val="1"/>
                <w:color w:val="auto"/>
              </w:rPr>
            </w:pPr>
          </w:p>
        </w:tc>
      </w:tr>
      <w:tr>
        <w:trPr>
          <w:trHeight w:val="141"/>
        </w:trPr>
        <w:tc>
          <w:tcPr>
            <w:tcW w:w="3520" w:type="dxa"/>
            <w:vAlign w:val="bottom"/>
          </w:tcPr>
          <w:p>
            <w:pPr>
              <w:ind w:left="20"/>
              <w:spacing w:after="0" w:line="141" w:lineRule="exact"/>
              <w:rPr>
                <w:sz w:val="20"/>
                <w:szCs w:val="20"/>
                <w:color w:val="auto"/>
              </w:rPr>
            </w:pPr>
            <w:r>
              <w:rPr>
                <w:rFonts w:ascii="Arial" w:cs="Arial" w:eastAsia="Arial" w:hAnsi="Arial"/>
                <w:sz w:val="14"/>
                <w:szCs w:val="14"/>
                <w:color w:val="auto"/>
                <w:w w:val="94"/>
              </w:rPr>
              <w:t>Loss before income taxes and equity in earnings (losses) of</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3520" w:type="dxa"/>
            <w:vAlign w:val="bottom"/>
          </w:tcPr>
          <w:p>
            <w:pPr>
              <w:ind w:left="20"/>
              <w:spacing w:after="0"/>
              <w:rPr>
                <w:sz w:val="20"/>
                <w:szCs w:val="20"/>
                <w:color w:val="auto"/>
              </w:rPr>
            </w:pPr>
            <w:r>
              <w:rPr>
                <w:rFonts w:ascii="Arial" w:cs="Arial" w:eastAsia="Arial" w:hAnsi="Arial"/>
                <w:sz w:val="14"/>
                <w:szCs w:val="14"/>
                <w:color w:val="auto"/>
              </w:rPr>
              <w:t>unconsolidated affiliates</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20" w:type="dxa"/>
            <w:vAlign w:val="bottom"/>
            <w:gridSpan w:val="2"/>
          </w:tcPr>
          <w:p>
            <w:pPr>
              <w:jc w:val="right"/>
              <w:spacing w:after="0"/>
              <w:rPr>
                <w:sz w:val="20"/>
                <w:szCs w:val="20"/>
                <w:color w:val="auto"/>
              </w:rPr>
            </w:pPr>
            <w:r>
              <w:rPr>
                <w:rFonts w:ascii="Arial" w:cs="Arial" w:eastAsia="Arial" w:hAnsi="Arial"/>
                <w:sz w:val="14"/>
                <w:szCs w:val="14"/>
                <w:color w:val="auto"/>
              </w:rPr>
              <w:t>(11.1)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80" w:type="dxa"/>
            <w:vAlign w:val="bottom"/>
            <w:gridSpan w:val="3"/>
          </w:tcPr>
          <w:p>
            <w:pPr>
              <w:jc w:val="right"/>
              <w:spacing w:after="0"/>
              <w:rPr>
                <w:sz w:val="20"/>
                <w:szCs w:val="20"/>
                <w:color w:val="auto"/>
              </w:rPr>
            </w:pPr>
            <w:r>
              <w:rPr>
                <w:rFonts w:ascii="Arial" w:cs="Arial" w:eastAsia="Arial" w:hAnsi="Arial"/>
                <w:sz w:val="14"/>
                <w:szCs w:val="14"/>
                <w:color w:val="auto"/>
                <w:w w:val="87"/>
              </w:rPr>
              <w:t>(82.4)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gridSpan w:val="3"/>
          </w:tcPr>
          <w:p>
            <w:pPr>
              <w:jc w:val="right"/>
              <w:spacing w:after="0"/>
              <w:rPr>
                <w:sz w:val="20"/>
                <w:szCs w:val="20"/>
                <w:color w:val="auto"/>
              </w:rPr>
            </w:pPr>
            <w:r>
              <w:rPr>
                <w:rFonts w:ascii="Arial" w:cs="Arial" w:eastAsia="Arial" w:hAnsi="Arial"/>
                <w:sz w:val="14"/>
                <w:szCs w:val="14"/>
                <w:color w:val="auto"/>
              </w:rPr>
              <w:t>(33.5)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3"/>
          </w:tcPr>
          <w:p>
            <w:pPr>
              <w:jc w:val="right"/>
              <w:spacing w:after="0"/>
              <w:rPr>
                <w:sz w:val="20"/>
                <w:szCs w:val="20"/>
                <w:color w:val="auto"/>
              </w:rPr>
            </w:pPr>
            <w:r>
              <w:rPr>
                <w:rFonts w:ascii="Arial" w:cs="Arial" w:eastAsia="Arial" w:hAnsi="Arial"/>
                <w:sz w:val="14"/>
                <w:szCs w:val="14"/>
                <w:color w:val="auto"/>
              </w:rPr>
              <w:t>(151.0)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gridSpan w:val="4"/>
          </w:tcPr>
          <w:p>
            <w:pPr>
              <w:jc w:val="right"/>
              <w:spacing w:after="0"/>
              <w:rPr>
                <w:sz w:val="20"/>
                <w:szCs w:val="20"/>
                <w:color w:val="auto"/>
              </w:rPr>
            </w:pPr>
            <w:r>
              <w:rPr>
                <w:rFonts w:ascii="Arial" w:cs="Arial" w:eastAsia="Arial" w:hAnsi="Arial"/>
                <w:sz w:val="14"/>
                <w:szCs w:val="14"/>
                <w:color w:val="auto"/>
              </w:rPr>
              <w:t>(16.4)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gridSpan w:val="2"/>
          </w:tcPr>
          <w:p>
            <w:pPr>
              <w:ind w:left="300"/>
              <w:spacing w:after="0"/>
              <w:rPr>
                <w:sz w:val="20"/>
                <w:szCs w:val="20"/>
                <w:color w:val="auto"/>
              </w:rPr>
            </w:pPr>
            <w:r>
              <w:rPr>
                <w:rFonts w:ascii="Arial" w:cs="Arial" w:eastAsia="Arial" w:hAnsi="Arial"/>
                <w:sz w:val="14"/>
                <w:szCs w:val="14"/>
                <w:color w:val="auto"/>
                <w:w w:val="92"/>
              </w:rPr>
              <w:t>(24.2)</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283.3</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(35.3)</w:t>
            </w:r>
          </w:p>
        </w:tc>
        <w:tc>
          <w:tcPr>
            <w:tcW w:w="0" w:type="dxa"/>
            <w:vAlign w:val="bottom"/>
          </w:tcPr>
          <w:p>
            <w:pPr>
              <w:spacing w:after="0"/>
              <w:rPr>
                <w:sz w:val="1"/>
                <w:szCs w:val="1"/>
                <w:color w:val="auto"/>
              </w:rPr>
            </w:pPr>
          </w:p>
        </w:tc>
      </w:tr>
      <w:tr>
        <w:trPr>
          <w:trHeight w:val="205"/>
        </w:trPr>
        <w:tc>
          <w:tcPr>
            <w:tcW w:w="3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tax benefit</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4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3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color w:val="auto"/>
                <w:w w:val="87"/>
              </w:rPr>
              <w:t>(29.3)</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2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gridSpan w:val="2"/>
            <w:shd w:val="clear" w:color="auto" w:fill="CCEEFF"/>
          </w:tcPr>
          <w:p>
            <w:pPr>
              <w:ind w:left="300"/>
              <w:spacing w:after="0"/>
              <w:rPr>
                <w:sz w:val="20"/>
                <w:szCs w:val="20"/>
                <w:color w:val="auto"/>
              </w:rPr>
            </w:pPr>
            <w:r>
              <w:rPr>
                <w:rFonts w:ascii="Arial" w:cs="Arial" w:eastAsia="Arial" w:hAnsi="Arial"/>
                <w:sz w:val="14"/>
                <w:szCs w:val="14"/>
                <w:color w:val="auto"/>
                <w:w w:val="92"/>
              </w:rPr>
              <w:t>(19.7)</w:t>
            </w:r>
          </w:p>
        </w:tc>
        <w:tc>
          <w:tcPr>
            <w:tcW w:w="2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30.2</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(19.2)</w:t>
            </w:r>
          </w:p>
        </w:tc>
        <w:tc>
          <w:tcPr>
            <w:tcW w:w="0" w:type="dxa"/>
            <w:vAlign w:val="bottom"/>
          </w:tcPr>
          <w:p>
            <w:pPr>
              <w:spacing w:after="0"/>
              <w:rPr>
                <w:sz w:val="1"/>
                <w:szCs w:val="1"/>
                <w:color w:val="auto"/>
              </w:rPr>
            </w:pPr>
          </w:p>
        </w:tc>
      </w:tr>
      <w:tr>
        <w:trPr>
          <w:trHeight w:val="176"/>
        </w:trPr>
        <w:tc>
          <w:tcPr>
            <w:tcW w:w="3780" w:type="dxa"/>
            <w:vAlign w:val="bottom"/>
            <w:gridSpan w:val="2"/>
          </w:tcPr>
          <w:p>
            <w:pPr>
              <w:ind w:left="20"/>
              <w:spacing w:after="0"/>
              <w:rPr>
                <w:sz w:val="20"/>
                <w:szCs w:val="20"/>
                <w:color w:val="auto"/>
              </w:rPr>
            </w:pPr>
            <w:r>
              <w:rPr>
                <w:rFonts w:ascii="Arial" w:cs="Arial" w:eastAsia="Arial" w:hAnsi="Arial"/>
                <w:sz w:val="14"/>
                <w:szCs w:val="14"/>
                <w:color w:val="auto"/>
                <w:w w:val="91"/>
              </w:rPr>
              <w:t>Loss before equity in (losses) earnings of unconsolidated affiliates</w:t>
            </w: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gridSpan w:val="2"/>
          </w:tcPr>
          <w:p>
            <w:pPr>
              <w:jc w:val="right"/>
              <w:spacing w:after="0"/>
              <w:rPr>
                <w:sz w:val="20"/>
                <w:szCs w:val="20"/>
                <w:color w:val="auto"/>
              </w:rPr>
            </w:pPr>
            <w:r>
              <w:rPr>
                <w:rFonts w:ascii="Arial" w:cs="Arial" w:eastAsia="Arial" w:hAnsi="Arial"/>
                <w:sz w:val="14"/>
                <w:szCs w:val="14"/>
                <w:color w:val="auto"/>
              </w:rPr>
              <w:t>(11.6)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gridSpan w:val="3"/>
          </w:tcPr>
          <w:p>
            <w:pPr>
              <w:jc w:val="right"/>
              <w:spacing w:after="0"/>
              <w:rPr>
                <w:sz w:val="20"/>
                <w:szCs w:val="20"/>
                <w:color w:val="auto"/>
              </w:rPr>
            </w:pPr>
            <w:r>
              <w:rPr>
                <w:rFonts w:ascii="Arial" w:cs="Arial" w:eastAsia="Arial" w:hAnsi="Arial"/>
                <w:sz w:val="14"/>
                <w:szCs w:val="14"/>
                <w:color w:val="auto"/>
                <w:w w:val="87"/>
              </w:rPr>
              <w:t>(53.1)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gridSpan w:val="3"/>
          </w:tcPr>
          <w:p>
            <w:pPr>
              <w:jc w:val="right"/>
              <w:spacing w:after="0"/>
              <w:rPr>
                <w:sz w:val="20"/>
                <w:szCs w:val="20"/>
                <w:color w:val="auto"/>
              </w:rPr>
            </w:pPr>
            <w:r>
              <w:rPr>
                <w:rFonts w:ascii="Arial" w:cs="Arial" w:eastAsia="Arial" w:hAnsi="Arial"/>
                <w:sz w:val="14"/>
                <w:szCs w:val="14"/>
                <w:color w:val="auto"/>
              </w:rPr>
              <w:t>(37.6)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3"/>
          </w:tcPr>
          <w:p>
            <w:pPr>
              <w:jc w:val="right"/>
              <w:spacing w:after="0"/>
              <w:rPr>
                <w:sz w:val="20"/>
                <w:szCs w:val="20"/>
                <w:color w:val="auto"/>
              </w:rPr>
            </w:pPr>
            <w:r>
              <w:rPr>
                <w:rFonts w:ascii="Arial" w:cs="Arial" w:eastAsia="Arial" w:hAnsi="Arial"/>
                <w:sz w:val="14"/>
                <w:szCs w:val="14"/>
                <w:color w:val="auto"/>
              </w:rPr>
              <w:t>(146.0)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gridSpan w:val="4"/>
          </w:tcPr>
          <w:p>
            <w:pPr>
              <w:jc w:val="right"/>
              <w:spacing w:after="0"/>
              <w:rPr>
                <w:sz w:val="20"/>
                <w:szCs w:val="20"/>
                <w:color w:val="auto"/>
              </w:rPr>
            </w:pPr>
            <w:r>
              <w:rPr>
                <w:rFonts w:ascii="Arial" w:cs="Arial" w:eastAsia="Arial" w:hAnsi="Arial"/>
                <w:sz w:val="14"/>
                <w:szCs w:val="14"/>
                <w:color w:val="auto"/>
              </w:rPr>
              <w:t>(16.4)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(4.5)</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253.1</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(16.1)</w:t>
            </w:r>
          </w:p>
        </w:tc>
        <w:tc>
          <w:tcPr>
            <w:tcW w:w="0" w:type="dxa"/>
            <w:vAlign w:val="bottom"/>
          </w:tcPr>
          <w:p>
            <w:pPr>
              <w:spacing w:after="0"/>
              <w:rPr>
                <w:sz w:val="1"/>
                <w:szCs w:val="1"/>
                <w:color w:val="auto"/>
              </w:rPr>
            </w:pPr>
          </w:p>
        </w:tc>
      </w:tr>
      <w:tr>
        <w:trPr>
          <w:trHeight w:val="196"/>
        </w:trPr>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Equity in earnings (losses) of unconsolidated affiliates</w:t>
            </w:r>
          </w:p>
        </w:tc>
        <w:tc>
          <w:tcPr>
            <w:tcW w:w="2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3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2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w w:val="99"/>
              </w:rPr>
              <w:t>—</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gridSpan w:val="2"/>
            <w:shd w:val="clear" w:color="auto" w:fill="CCEEFF"/>
          </w:tcPr>
          <w:p>
            <w:pPr>
              <w:ind w:left="300"/>
              <w:spacing w:after="0"/>
              <w:rPr>
                <w:sz w:val="20"/>
                <w:szCs w:val="20"/>
                <w:color w:val="auto"/>
              </w:rPr>
            </w:pPr>
            <w:r>
              <w:rPr>
                <w:rFonts w:ascii="Arial" w:cs="Arial" w:eastAsia="Arial" w:hAnsi="Arial"/>
                <w:sz w:val="14"/>
                <w:szCs w:val="14"/>
                <w:color w:val="auto"/>
                <w:w w:val="92"/>
              </w:rPr>
              <w:t>(42.0)</w:t>
            </w:r>
          </w:p>
        </w:tc>
        <w:tc>
          <w:tcPr>
            <w:tcW w:w="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(40.7)</w:t>
            </w:r>
          </w:p>
        </w:tc>
        <w:tc>
          <w:tcPr>
            <w:tcW w:w="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(81.2)</w:t>
            </w:r>
          </w:p>
        </w:tc>
        <w:tc>
          <w:tcPr>
            <w:tcW w:w="0" w:type="dxa"/>
            <w:vAlign w:val="bottom"/>
          </w:tcPr>
          <w:p>
            <w:pPr>
              <w:spacing w:after="0"/>
              <w:rPr>
                <w:sz w:val="1"/>
                <w:szCs w:val="1"/>
                <w:color w:val="auto"/>
              </w:rPr>
            </w:pPr>
          </w:p>
        </w:tc>
      </w:tr>
      <w:tr>
        <w:trPr>
          <w:trHeight w:val="198"/>
        </w:trPr>
        <w:tc>
          <w:tcPr>
            <w:tcW w:w="3520" w:type="dxa"/>
            <w:vAlign w:val="bottom"/>
          </w:tcPr>
          <w:p>
            <w:pPr>
              <w:ind w:left="20"/>
              <w:spacing w:after="0"/>
              <w:rPr>
                <w:sz w:val="20"/>
                <w:szCs w:val="20"/>
                <w:color w:val="auto"/>
              </w:rPr>
            </w:pPr>
            <w:r>
              <w:rPr>
                <w:rFonts w:ascii="Arial" w:cs="Arial" w:eastAsia="Arial" w:hAnsi="Arial"/>
                <w:sz w:val="14"/>
                <w:szCs w:val="14"/>
                <w:color w:val="auto"/>
              </w:rPr>
              <w:t>Net (loss) earnings</w:t>
            </w:r>
          </w:p>
        </w:tc>
        <w:tc>
          <w:tcPr>
            <w:tcW w:w="260" w:type="dxa"/>
            <w:vAlign w:val="bottom"/>
          </w:tcPr>
          <w:p>
            <w:pPr>
              <w:spacing w:after="0"/>
              <w:rPr>
                <w:sz w:val="17"/>
                <w:szCs w:val="17"/>
                <w:color w:val="auto"/>
              </w:rPr>
            </w:pPr>
          </w:p>
        </w:tc>
        <w:tc>
          <w:tcPr>
            <w:tcW w:w="600" w:type="dxa"/>
            <w:vAlign w:val="bottom"/>
            <w:gridSpan w:val="2"/>
          </w:tcPr>
          <w:p>
            <w:pPr>
              <w:jc w:val="right"/>
              <w:ind w:right="233"/>
              <w:spacing w:after="0"/>
              <w:rPr>
                <w:sz w:val="20"/>
                <w:szCs w:val="20"/>
                <w:color w:val="auto"/>
              </w:rPr>
            </w:pPr>
            <w:r>
              <w:rPr>
                <w:rFonts w:ascii="Arial" w:cs="Arial" w:eastAsia="Arial" w:hAnsi="Arial"/>
                <w:sz w:val="14"/>
                <w:szCs w:val="14"/>
                <w:color w:val="auto"/>
              </w:rPr>
              <w:t>$</w:t>
            </w:r>
          </w:p>
        </w:tc>
        <w:tc>
          <w:tcPr>
            <w:tcW w:w="420" w:type="dxa"/>
            <w:vAlign w:val="bottom"/>
            <w:gridSpan w:val="2"/>
          </w:tcPr>
          <w:p>
            <w:pPr>
              <w:jc w:val="right"/>
              <w:spacing w:after="0"/>
              <w:rPr>
                <w:sz w:val="20"/>
                <w:szCs w:val="20"/>
                <w:color w:val="auto"/>
              </w:rPr>
            </w:pPr>
            <w:r>
              <w:rPr>
                <w:rFonts w:ascii="Arial" w:cs="Arial" w:eastAsia="Arial" w:hAnsi="Arial"/>
                <w:sz w:val="14"/>
                <w:szCs w:val="14"/>
                <w:color w:val="auto"/>
              </w:rPr>
              <w:t>(11.6)</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7"/>
                <w:szCs w:val="17"/>
                <w:color w:val="auto"/>
              </w:rPr>
            </w:pPr>
          </w:p>
        </w:tc>
        <w:tc>
          <w:tcPr>
            <w:tcW w:w="380" w:type="dxa"/>
            <w:vAlign w:val="bottom"/>
            <w:gridSpan w:val="3"/>
          </w:tcPr>
          <w:p>
            <w:pPr>
              <w:jc w:val="right"/>
              <w:spacing w:after="0"/>
              <w:rPr>
                <w:sz w:val="20"/>
                <w:szCs w:val="20"/>
                <w:color w:val="auto"/>
              </w:rPr>
            </w:pPr>
            <w:r>
              <w:rPr>
                <w:rFonts w:ascii="Arial" w:cs="Arial" w:eastAsia="Arial" w:hAnsi="Arial"/>
                <w:sz w:val="14"/>
                <w:szCs w:val="14"/>
                <w:color w:val="auto"/>
                <w:w w:val="87"/>
              </w:rPr>
              <w:t>(51.6)</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3"/>
          </w:tcPr>
          <w:p>
            <w:pPr>
              <w:jc w:val="right"/>
              <w:spacing w:after="0"/>
              <w:rPr>
                <w:sz w:val="20"/>
                <w:szCs w:val="20"/>
                <w:color w:val="auto"/>
              </w:rPr>
            </w:pPr>
            <w:r>
              <w:rPr>
                <w:rFonts w:ascii="Arial" w:cs="Arial" w:eastAsia="Arial" w:hAnsi="Arial"/>
                <w:sz w:val="14"/>
                <w:szCs w:val="14"/>
                <w:color w:val="auto"/>
              </w:rPr>
              <w:t>(37.6)</w:t>
            </w:r>
          </w:p>
        </w:tc>
        <w:tc>
          <w:tcPr>
            <w:tcW w:w="200" w:type="dxa"/>
            <w:vAlign w:val="bottom"/>
            <w:gridSpan w:val="2"/>
          </w:tcPr>
          <w:p>
            <w:pPr>
              <w:ind w:left="120"/>
              <w:spacing w:after="0"/>
              <w:rPr>
                <w:sz w:val="20"/>
                <w:szCs w:val="20"/>
                <w:color w:val="auto"/>
              </w:rPr>
            </w:pPr>
            <w:r>
              <w:rPr>
                <w:rFonts w:ascii="Arial" w:cs="Arial" w:eastAsia="Arial" w:hAnsi="Arial"/>
                <w:sz w:val="14"/>
                <w:szCs w:val="14"/>
                <w:color w:val="auto"/>
                <w:w w:val="76"/>
              </w:rPr>
              <w:t>$</w:t>
            </w:r>
          </w:p>
        </w:tc>
        <w:tc>
          <w:tcPr>
            <w:tcW w:w="700" w:type="dxa"/>
            <w:vAlign w:val="bottom"/>
            <w:gridSpan w:val="3"/>
          </w:tcPr>
          <w:p>
            <w:pPr>
              <w:jc w:val="right"/>
              <w:spacing w:after="0"/>
              <w:rPr>
                <w:sz w:val="20"/>
                <w:szCs w:val="20"/>
                <w:color w:val="auto"/>
              </w:rPr>
            </w:pPr>
            <w:r>
              <w:rPr>
                <w:rFonts w:ascii="Arial" w:cs="Arial" w:eastAsia="Arial" w:hAnsi="Arial"/>
                <w:sz w:val="14"/>
                <w:szCs w:val="14"/>
                <w:color w:val="auto"/>
              </w:rPr>
              <w:t>(146.0)</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4"/>
          </w:tcPr>
          <w:p>
            <w:pPr>
              <w:jc w:val="right"/>
              <w:spacing w:after="0"/>
              <w:rPr>
                <w:sz w:val="20"/>
                <w:szCs w:val="20"/>
                <w:color w:val="auto"/>
              </w:rPr>
            </w:pPr>
            <w:r>
              <w:rPr>
                <w:rFonts w:ascii="Arial" w:cs="Arial" w:eastAsia="Arial" w:hAnsi="Arial"/>
                <w:sz w:val="14"/>
                <w:szCs w:val="14"/>
                <w:color w:val="auto"/>
              </w:rPr>
              <w:t>(16.4)</w:t>
            </w:r>
          </w:p>
        </w:tc>
        <w:tc>
          <w:tcPr>
            <w:tcW w:w="100" w:type="dxa"/>
            <w:vAlign w:val="bottom"/>
          </w:tcPr>
          <w:p>
            <w:pPr>
              <w:spacing w:after="0"/>
              <w:rPr>
                <w:sz w:val="17"/>
                <w:szCs w:val="17"/>
                <w:color w:val="auto"/>
              </w:rPr>
            </w:pPr>
          </w:p>
        </w:tc>
        <w:tc>
          <w:tcPr>
            <w:tcW w:w="160" w:type="dxa"/>
            <w:vAlign w:val="bottom"/>
          </w:tcPr>
          <w:p>
            <w:pPr>
              <w:jc w:val="right"/>
              <w:ind w:right="14"/>
              <w:spacing w:after="0"/>
              <w:rPr>
                <w:sz w:val="20"/>
                <w:szCs w:val="20"/>
                <w:color w:val="auto"/>
              </w:rPr>
            </w:pPr>
            <w:r>
              <w:rPr>
                <w:rFonts w:ascii="Arial" w:cs="Arial" w:eastAsia="Arial" w:hAnsi="Arial"/>
                <w:sz w:val="14"/>
                <w:szCs w:val="14"/>
                <w:color w:val="auto"/>
                <w:w w:val="76"/>
              </w:rPr>
              <w:t>$</w:t>
            </w:r>
          </w:p>
        </w:tc>
        <w:tc>
          <w:tcPr>
            <w:tcW w:w="660" w:type="dxa"/>
            <w:vAlign w:val="bottom"/>
            <w:gridSpan w:val="2"/>
          </w:tcPr>
          <w:p>
            <w:pPr>
              <w:ind w:left="300"/>
              <w:spacing w:after="0"/>
              <w:rPr>
                <w:sz w:val="20"/>
                <w:szCs w:val="20"/>
                <w:color w:val="auto"/>
              </w:rPr>
            </w:pPr>
            <w:r>
              <w:rPr>
                <w:rFonts w:ascii="Arial" w:cs="Arial" w:eastAsia="Arial" w:hAnsi="Arial"/>
                <w:sz w:val="14"/>
                <w:szCs w:val="14"/>
                <w:color w:val="auto"/>
                <w:w w:val="92"/>
              </w:rPr>
              <w:t>(46.5)</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212.4</w:t>
            </w:r>
          </w:p>
        </w:tc>
        <w:tc>
          <w:tcPr>
            <w:tcW w:w="40" w:type="dxa"/>
            <w:vAlign w:val="bottom"/>
          </w:tcPr>
          <w:p>
            <w:pPr>
              <w:spacing w:after="0"/>
              <w:rPr>
                <w:sz w:val="17"/>
                <w:szCs w:val="17"/>
                <w:color w:val="auto"/>
              </w:rPr>
            </w:pPr>
          </w:p>
        </w:tc>
        <w:tc>
          <w:tcPr>
            <w:tcW w:w="240" w:type="dxa"/>
            <w:vAlign w:val="bottom"/>
            <w:gridSpan w:val="2"/>
          </w:tcPr>
          <w:p>
            <w:pPr>
              <w:jc w:val="right"/>
              <w:ind w:right="9"/>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(97.3)</w:t>
            </w:r>
          </w:p>
        </w:tc>
        <w:tc>
          <w:tcPr>
            <w:tcW w:w="0" w:type="dxa"/>
            <w:vAlign w:val="bottom"/>
          </w:tcPr>
          <w:p>
            <w:pPr>
              <w:spacing w:after="0"/>
              <w:rPr>
                <w:sz w:val="1"/>
                <w:szCs w:val="1"/>
                <w:color w:val="auto"/>
              </w:rPr>
            </w:pPr>
          </w:p>
        </w:tc>
      </w:tr>
      <w:tr>
        <w:trPr>
          <w:trHeight w:val="20"/>
        </w:trPr>
        <w:tc>
          <w:tcPr>
            <w:tcW w:w="35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3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2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233"/>
              <w:spacing w:after="0"/>
              <w:rPr>
                <w:sz w:val="20"/>
                <w:szCs w:val="20"/>
                <w:color w:val="auto"/>
              </w:rPr>
            </w:pPr>
            <w:r>
              <w:rPr>
                <w:rFonts w:ascii="Arial" w:cs="Arial" w:eastAsia="Arial" w:hAnsi="Arial"/>
                <w:sz w:val="14"/>
                <w:szCs w:val="14"/>
                <w:color w:val="auto"/>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96"/>
              </w:rPr>
              <w:t>318.4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9,267.2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5,734.6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10,772.0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169.1</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4"/>
                <w:szCs w:val="14"/>
                <w:color w:val="auto"/>
                <w:w w:val="76"/>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2,677.2</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(25,942.9)</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2,995.6</w:t>
            </w:r>
          </w:p>
        </w:tc>
        <w:tc>
          <w:tcPr>
            <w:tcW w:w="0" w:type="dxa"/>
            <w:vAlign w:val="bottom"/>
          </w:tcPr>
          <w:p>
            <w:pPr>
              <w:spacing w:after="0"/>
              <w:rPr>
                <w:sz w:val="1"/>
                <w:szCs w:val="1"/>
                <w:color w:val="auto"/>
              </w:rPr>
            </w:pPr>
          </w:p>
        </w:tc>
      </w:tr>
      <w:tr>
        <w:trPr>
          <w:trHeight w:val="180"/>
        </w:trPr>
        <w:tc>
          <w:tcPr>
            <w:tcW w:w="3520" w:type="dxa"/>
            <w:vAlign w:val="bottom"/>
          </w:tcPr>
          <w:p>
            <w:pPr>
              <w:ind w:left="20"/>
              <w:spacing w:after="0"/>
              <w:rPr>
                <w:sz w:val="20"/>
                <w:szCs w:val="20"/>
                <w:color w:val="auto"/>
              </w:rPr>
            </w:pPr>
            <w:r>
              <w:rPr>
                <w:rFonts w:ascii="Arial" w:cs="Arial" w:eastAsia="Arial" w:hAnsi="Arial"/>
                <w:sz w:val="14"/>
                <w:szCs w:val="14"/>
                <w:color w:val="auto"/>
              </w:rPr>
              <w:t>Goodwill</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gridSpan w:val="2"/>
          </w:tcPr>
          <w:p>
            <w:pPr>
              <w:jc w:val="right"/>
              <w:spacing w:after="0"/>
              <w:rPr>
                <w:sz w:val="20"/>
                <w:szCs w:val="20"/>
                <w:color w:val="auto"/>
              </w:rPr>
            </w:pPr>
            <w:r>
              <w:rPr>
                <w:rFonts w:ascii="Arial" w:cs="Arial" w:eastAsia="Arial" w:hAnsi="Arial"/>
                <w:sz w:val="14"/>
                <w:szCs w:val="14"/>
                <w:color w:val="auto"/>
              </w:rPr>
              <w:t>53.4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4"/>
          </w:tcPr>
          <w:p>
            <w:pPr>
              <w:jc w:val="right"/>
              <w:spacing w:after="0"/>
              <w:rPr>
                <w:sz w:val="20"/>
                <w:szCs w:val="20"/>
                <w:color w:val="auto"/>
              </w:rPr>
            </w:pPr>
            <w:r>
              <w:rPr>
                <w:rFonts w:ascii="Arial" w:cs="Arial" w:eastAsia="Arial" w:hAnsi="Arial"/>
                <w:sz w:val="14"/>
                <w:szCs w:val="14"/>
                <w:color w:val="auto"/>
              </w:rPr>
              <w:t>3,422.4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gridSpan w:val="3"/>
          </w:tcPr>
          <w:p>
            <w:pPr>
              <w:jc w:val="right"/>
              <w:spacing w:after="0"/>
              <w:rPr>
                <w:sz w:val="20"/>
                <w:szCs w:val="20"/>
                <w:color w:val="auto"/>
              </w:rPr>
            </w:pPr>
            <w:r>
              <w:rPr>
                <w:rFonts w:ascii="Arial" w:cs="Arial" w:eastAsia="Arial" w:hAnsi="Arial"/>
                <w:sz w:val="14"/>
                <w:szCs w:val="14"/>
                <w:color w:val="auto"/>
              </w:rPr>
              <w:t>2,009.1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3"/>
          </w:tcPr>
          <w:p>
            <w:pPr>
              <w:jc w:val="right"/>
              <w:spacing w:after="0"/>
              <w:rPr>
                <w:sz w:val="20"/>
                <w:szCs w:val="20"/>
                <w:color w:val="auto"/>
              </w:rPr>
            </w:pPr>
            <w:r>
              <w:rPr>
                <w:rFonts w:ascii="Arial" w:cs="Arial" w:eastAsia="Arial" w:hAnsi="Arial"/>
                <w:sz w:val="14"/>
                <w:szCs w:val="14"/>
                <w:color w:val="auto"/>
              </w:rPr>
              <w:t>3,681.0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gridSpan w:val="3"/>
          </w:tcPr>
          <w:p>
            <w:pPr>
              <w:jc w:val="right"/>
              <w:ind w:right="20"/>
              <w:spacing w:after="0"/>
              <w:rPr>
                <w:sz w:val="20"/>
                <w:szCs w:val="20"/>
                <w:color w:val="auto"/>
              </w:rPr>
            </w:pPr>
            <w:r>
              <w:rPr>
                <w:rFonts w:ascii="Arial" w:cs="Arial" w:eastAsia="Arial" w:hAnsi="Arial"/>
                <w:sz w:val="14"/>
                <w:szCs w:val="14"/>
                <w:color w:val="auto"/>
              </w:rPr>
              <w:t>109.0</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4"/>
                <w:szCs w:val="14"/>
                <w:color w:val="auto"/>
              </w:rPr>
              <w:t>(9,221.5)</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53.4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CONDENSED CONSOLIDATED FINANCIAL STATEMENTS (UNAUDITED) — </w:t>
      </w:r>
      <w:r>
        <w:rPr>
          <w:rFonts w:ascii="Arial" w:cs="Arial" w:eastAsia="Arial" w:hAnsi="Arial"/>
          <w:sz w:val="16"/>
          <w:szCs w:val="16"/>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As of and for the six months ended June 30, 2022:</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ind w:right="70"/>
              <w:spacing w:after="0"/>
              <w:rPr>
                <w:sz w:val="20"/>
                <w:szCs w:val="20"/>
                <w:color w:val="auto"/>
              </w:rPr>
            </w:pPr>
            <w:r>
              <w:rPr>
                <w:rFonts w:ascii="Arial" w:cs="Arial" w:eastAsia="Arial" w:hAnsi="Arial"/>
                <w:sz w:val="12"/>
                <w:szCs w:val="12"/>
                <w:color w:val="auto"/>
                <w:w w:val="91"/>
              </w:rPr>
              <w:t>Restaurant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ind w:right="150"/>
              <w:spacing w:after="0"/>
              <w:rPr>
                <w:sz w:val="20"/>
                <w:szCs w:val="20"/>
                <w:color w:val="auto"/>
              </w:rPr>
            </w:pPr>
            <w:r>
              <w:rPr>
                <w:rFonts w:ascii="Arial" w:cs="Arial" w:eastAsia="Arial" w:hAnsi="Arial"/>
                <w:sz w:val="12"/>
                <w:szCs w:val="12"/>
                <w:color w:val="auto"/>
              </w:rPr>
              <w:t>Dun &amp;</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ind w:right="70"/>
              <w:spacing w:after="0"/>
              <w:rPr>
                <w:sz w:val="20"/>
                <w:szCs w:val="20"/>
                <w:color w:val="auto"/>
              </w:rPr>
            </w:pPr>
            <w:r>
              <w:rPr>
                <w:rFonts w:ascii="Arial" w:cs="Arial" w:eastAsia="Arial" w:hAnsi="Arial"/>
                <w:sz w:val="12"/>
                <w:szCs w:val="12"/>
                <w:color w:val="auto"/>
              </w:rPr>
              <w:t>Corporate</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ind w:right="110"/>
              <w:spacing w:after="0"/>
              <w:rPr>
                <w:sz w:val="20"/>
                <w:szCs w:val="20"/>
                <w:color w:val="auto"/>
              </w:rPr>
            </w:pPr>
            <w:r>
              <w:rPr>
                <w:rFonts w:ascii="Arial" w:cs="Arial" w:eastAsia="Arial" w:hAnsi="Arial"/>
                <w:sz w:val="12"/>
                <w:szCs w:val="12"/>
                <w:color w:val="auto"/>
              </w:rPr>
              <w:t>Affiliate</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2"/>
                <w:szCs w:val="12"/>
                <w:color w:val="auto"/>
              </w:rPr>
              <w:t>Group</w:t>
            </w: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70"/>
              <w:spacing w:after="0"/>
              <w:rPr>
                <w:sz w:val="20"/>
                <w:szCs w:val="20"/>
                <w:color w:val="auto"/>
              </w:rPr>
            </w:pPr>
            <w:r>
              <w:rPr>
                <w:rFonts w:ascii="Arial" w:cs="Arial" w:eastAsia="Arial" w:hAnsi="Arial"/>
                <w:sz w:val="12"/>
                <w:szCs w:val="12"/>
                <w:color w:val="auto"/>
                <w:w w:val="93"/>
              </w:rPr>
              <w:t>Bradstreet</w:t>
            </w: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50"/>
              <w:spacing w:after="0"/>
              <w:rPr>
                <w:sz w:val="20"/>
                <w:szCs w:val="20"/>
                <w:color w:val="auto"/>
              </w:rPr>
            </w:pPr>
            <w:r>
              <w:rPr>
                <w:rFonts w:ascii="Arial" w:cs="Arial" w:eastAsia="Arial" w:hAnsi="Arial"/>
                <w:sz w:val="12"/>
                <w:szCs w:val="12"/>
                <w:color w:val="auto"/>
                <w:w w:val="96"/>
              </w:rPr>
              <w:t>Paysafe</w:t>
            </w: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0"/>
              <w:spacing w:after="0"/>
              <w:rPr>
                <w:sz w:val="20"/>
                <w:szCs w:val="20"/>
                <w:color w:val="auto"/>
              </w:rPr>
            </w:pPr>
            <w:r>
              <w:rPr>
                <w:rFonts w:ascii="Arial" w:cs="Arial" w:eastAsia="Arial" w:hAnsi="Arial"/>
                <w:sz w:val="12"/>
                <w:szCs w:val="12"/>
                <w:color w:val="auto"/>
              </w:rPr>
              <w:t>Alight</w:t>
            </w: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10"/>
              <w:spacing w:after="0"/>
              <w:rPr>
                <w:sz w:val="20"/>
                <w:szCs w:val="20"/>
                <w:color w:val="auto"/>
              </w:rPr>
            </w:pPr>
            <w:r>
              <w:rPr>
                <w:rFonts w:ascii="Arial" w:cs="Arial" w:eastAsia="Arial" w:hAnsi="Arial"/>
                <w:sz w:val="12"/>
                <w:szCs w:val="12"/>
                <w:color w:val="auto"/>
              </w:rPr>
              <w:t>Sightline</w:t>
            </w: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90"/>
              <w:spacing w:after="0"/>
              <w:rPr>
                <w:sz w:val="20"/>
                <w:szCs w:val="20"/>
                <w:color w:val="auto"/>
              </w:rPr>
            </w:pPr>
            <w:r>
              <w:rPr>
                <w:rFonts w:ascii="Arial" w:cs="Arial" w:eastAsia="Arial" w:hAnsi="Arial"/>
                <w:sz w:val="12"/>
                <w:szCs w:val="12"/>
                <w:color w:val="auto"/>
                <w:w w:val="97"/>
              </w:rPr>
              <w:t>and Other</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2"/>
                <w:szCs w:val="12"/>
                <w:color w:val="auto"/>
                <w:w w:val="98"/>
              </w:rPr>
              <w:t>Elimination</w:t>
            </w: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210"/>
              <w:spacing w:after="0"/>
              <w:rPr>
                <w:sz w:val="20"/>
                <w:szCs w:val="20"/>
                <w:color w:val="auto"/>
              </w:rPr>
            </w:pPr>
            <w:r>
              <w:rPr>
                <w:rFonts w:ascii="Arial" w:cs="Arial" w:eastAsia="Arial" w:hAnsi="Arial"/>
                <w:sz w:val="12"/>
                <w:szCs w:val="12"/>
                <w:color w:val="auto"/>
              </w:rPr>
              <w:t>Total</w:t>
            </w:r>
          </w:p>
        </w:tc>
        <w:tc>
          <w:tcPr>
            <w:tcW w:w="0" w:type="dxa"/>
            <w:vAlign w:val="bottom"/>
          </w:tcPr>
          <w:p>
            <w:pPr>
              <w:spacing w:after="0"/>
              <w:rPr>
                <w:sz w:val="1"/>
                <w:szCs w:val="1"/>
                <w:color w:val="auto"/>
              </w:rPr>
            </w:pPr>
          </w:p>
        </w:tc>
      </w:tr>
      <w:tr>
        <w:trPr>
          <w:trHeight w:val="189"/>
        </w:trPr>
        <w:tc>
          <w:tcPr>
            <w:tcW w:w="4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gridSpan w:val="4"/>
          </w:tcPr>
          <w:p>
            <w:pPr>
              <w:jc w:val="right"/>
              <w:ind w:right="430"/>
              <w:spacing w:after="0"/>
              <w:rPr>
                <w:sz w:val="20"/>
                <w:szCs w:val="20"/>
                <w:color w:val="auto"/>
              </w:rPr>
            </w:pPr>
            <w:r>
              <w:rPr>
                <w:rFonts w:ascii="Arial" w:cs="Arial" w:eastAsia="Arial" w:hAnsi="Arial"/>
                <w:sz w:val="14"/>
                <w:szCs w:val="14"/>
                <w:color w:val="auto"/>
              </w:rPr>
              <w:t>(in millions)</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Restaurant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328.8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328.8</w:t>
            </w:r>
          </w:p>
        </w:tc>
        <w:tc>
          <w:tcPr>
            <w:tcW w:w="0" w:type="dxa"/>
            <w:vAlign w:val="bottom"/>
          </w:tcPr>
          <w:p>
            <w:pPr>
              <w:spacing w:after="0"/>
              <w:rPr>
                <w:sz w:val="1"/>
                <w:szCs w:val="1"/>
                <w:color w:val="auto"/>
              </w:rPr>
            </w:pPr>
          </w:p>
        </w:tc>
      </w:tr>
      <w:tr>
        <w:trPr>
          <w:trHeight w:val="193"/>
        </w:trPr>
        <w:tc>
          <w:tcPr>
            <w:tcW w:w="41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operating revenues</w:t>
            </w:r>
          </w:p>
        </w:tc>
        <w:tc>
          <w:tcPr>
            <w:tcW w:w="1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1,073.3</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739.3</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1,440.0</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27.9</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13.1</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(3,280.5)</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13.1</w:t>
            </w:r>
          </w:p>
        </w:tc>
        <w:tc>
          <w:tcPr>
            <w:tcW w:w="0" w:type="dxa"/>
            <w:vAlign w:val="bottom"/>
          </w:tcPr>
          <w:p>
            <w:pPr>
              <w:spacing w:after="0"/>
              <w:rPr>
                <w:sz w:val="1"/>
                <w:szCs w:val="1"/>
                <w:color w:val="auto"/>
              </w:rPr>
            </w:pPr>
          </w:p>
        </w:tc>
      </w:tr>
      <w:tr>
        <w:trPr>
          <w:trHeight w:val="198"/>
        </w:trPr>
        <w:tc>
          <w:tcPr>
            <w:tcW w:w="4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Revenues from external customers</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328.8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1,073.3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739.3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1,440.0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13.1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(3,280.5)</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341.9</w:t>
            </w:r>
          </w:p>
        </w:tc>
        <w:tc>
          <w:tcPr>
            <w:tcW w:w="0" w:type="dxa"/>
            <w:vAlign w:val="bottom"/>
          </w:tcPr>
          <w:p>
            <w:pPr>
              <w:spacing w:after="0"/>
              <w:rPr>
                <w:sz w:val="1"/>
                <w:szCs w:val="1"/>
                <w:color w:val="auto"/>
              </w:rPr>
            </w:pPr>
          </w:p>
        </w:tc>
      </w:tr>
      <w:tr>
        <w:trPr>
          <w:trHeight w:val="133"/>
        </w:trPr>
        <w:tc>
          <w:tcPr>
            <w:tcW w:w="4100" w:type="dxa"/>
            <w:vAlign w:val="bottom"/>
          </w:tcPr>
          <w:p>
            <w:pPr>
              <w:ind w:left="20"/>
              <w:spacing w:after="0" w:line="133" w:lineRule="exact"/>
              <w:rPr>
                <w:sz w:val="20"/>
                <w:szCs w:val="20"/>
                <w:color w:val="auto"/>
              </w:rPr>
            </w:pPr>
            <w:r>
              <w:rPr>
                <w:rFonts w:ascii="Arial" w:cs="Arial" w:eastAsia="Arial" w:hAnsi="Arial"/>
                <w:sz w:val="14"/>
                <w:szCs w:val="14"/>
                <w:color w:val="auto"/>
              </w:rPr>
              <w:t>Interest investment and other income, including recognized gains</w:t>
            </w:r>
          </w:p>
        </w:tc>
        <w:tc>
          <w:tcPr>
            <w:tcW w:w="10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67.6</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vMerge w:val="restart"/>
          </w:tcPr>
          <w:p>
            <w:pPr>
              <w:jc w:val="right"/>
              <w:ind w:right="10"/>
              <w:spacing w:after="0"/>
              <w:rPr>
                <w:sz w:val="20"/>
                <w:szCs w:val="20"/>
                <w:color w:val="auto"/>
              </w:rPr>
            </w:pPr>
            <w:r>
              <w:rPr>
                <w:rFonts w:ascii="Arial" w:cs="Arial" w:eastAsia="Arial" w:hAnsi="Arial"/>
                <w:sz w:val="14"/>
                <w:szCs w:val="14"/>
                <w:color w:val="auto"/>
              </w:rPr>
              <w:t>114.0</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(460.1)</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(184.1)</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(458.7)</w:t>
            </w:r>
          </w:p>
        </w:tc>
        <w:tc>
          <w:tcPr>
            <w:tcW w:w="0" w:type="dxa"/>
            <w:vAlign w:val="bottom"/>
          </w:tcPr>
          <w:p>
            <w:pPr>
              <w:spacing w:after="0"/>
              <w:rPr>
                <w:sz w:val="1"/>
                <w:szCs w:val="1"/>
                <w:color w:val="auto"/>
              </w:rPr>
            </w:pPr>
          </w:p>
        </w:tc>
      </w:tr>
      <w:tr>
        <w:trPr>
          <w:trHeight w:val="183"/>
        </w:trPr>
        <w:tc>
          <w:tcPr>
            <w:tcW w:w="4100" w:type="dxa"/>
            <w:vAlign w:val="bottom"/>
          </w:tcPr>
          <w:p>
            <w:pPr>
              <w:ind w:left="20"/>
              <w:spacing w:after="0"/>
              <w:rPr>
                <w:sz w:val="20"/>
                <w:szCs w:val="20"/>
                <w:color w:val="auto"/>
              </w:rPr>
            </w:pPr>
            <w:r>
              <w:rPr>
                <w:rFonts w:ascii="Arial" w:cs="Arial" w:eastAsia="Arial" w:hAnsi="Arial"/>
                <w:sz w:val="14"/>
                <w:szCs w:val="14"/>
                <w:color w:val="auto"/>
              </w:rPr>
              <w:t>(losses), net</w:t>
            </w: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revenues and other income</w:t>
            </w:r>
          </w:p>
        </w:tc>
        <w:tc>
          <w:tcPr>
            <w:tcW w:w="10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330.2</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1,075.8</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806.9</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1,554.0</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27.9</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(447.0)</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(3,464.6)</w:t>
            </w: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(116.8)</w:t>
            </w:r>
          </w:p>
        </w:tc>
        <w:tc>
          <w:tcPr>
            <w:tcW w:w="0" w:type="dxa"/>
            <w:vAlign w:val="bottom"/>
          </w:tcPr>
          <w:p>
            <w:pPr>
              <w:spacing w:after="0"/>
              <w:rPr>
                <w:sz w:val="1"/>
                <w:szCs w:val="1"/>
                <w:color w:val="auto"/>
              </w:rPr>
            </w:pPr>
          </w:p>
        </w:tc>
      </w:tr>
      <w:tr>
        <w:trPr>
          <w:trHeight w:val="188"/>
        </w:trPr>
        <w:tc>
          <w:tcPr>
            <w:tcW w:w="410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296.4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127.4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jc w:val="right"/>
              <w:ind w:right="10"/>
              <w:spacing w:after="0"/>
              <w:rPr>
                <w:sz w:val="20"/>
                <w:szCs w:val="20"/>
                <w:color w:val="auto"/>
              </w:rPr>
            </w:pPr>
            <w:r>
              <w:rPr>
                <w:rFonts w:ascii="Arial" w:cs="Arial" w:eastAsia="Arial" w:hAnsi="Arial"/>
                <w:sz w:val="14"/>
                <w:szCs w:val="14"/>
                <w:color w:val="auto"/>
              </w:rPr>
              <w:t>194.0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ind w:right="10"/>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(621.5)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12.0</w:t>
            </w:r>
          </w:p>
        </w:tc>
        <w:tc>
          <w:tcPr>
            <w:tcW w:w="0" w:type="dxa"/>
            <w:vAlign w:val="bottom"/>
          </w:tcPr>
          <w:p>
            <w:pPr>
              <w:spacing w:after="0"/>
              <w:rPr>
                <w:sz w:val="1"/>
                <w:szCs w:val="1"/>
                <w:color w:val="auto"/>
              </w:rPr>
            </w:pPr>
          </w:p>
        </w:tc>
      </w:tr>
      <w:tr>
        <w:trPr>
          <w:trHeight w:val="195"/>
        </w:trPr>
        <w:tc>
          <w:tcPr>
            <w:tcW w:w="4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(89.1)</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(47.5)</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(58.0)</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194.6</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141"/>
        </w:trPr>
        <w:tc>
          <w:tcPr>
            <w:tcW w:w="4100" w:type="dxa"/>
            <w:vAlign w:val="bottom"/>
          </w:tcPr>
          <w:p>
            <w:pPr>
              <w:ind w:left="20"/>
              <w:spacing w:after="0" w:line="141" w:lineRule="exact"/>
              <w:rPr>
                <w:sz w:val="20"/>
                <w:szCs w:val="20"/>
                <w:color w:val="auto"/>
              </w:rPr>
            </w:pPr>
            <w:r>
              <w:rPr>
                <w:rFonts w:ascii="Arial" w:cs="Arial" w:eastAsia="Arial" w:hAnsi="Arial"/>
                <w:sz w:val="14"/>
                <w:szCs w:val="14"/>
                <w:color w:val="auto"/>
                <w:w w:val="93"/>
              </w:rPr>
              <w:t>(Loss) earnings before income taxes and equity in earnings (losses) of</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4100" w:type="dxa"/>
            <w:vAlign w:val="bottom"/>
          </w:tcPr>
          <w:p>
            <w:pPr>
              <w:ind w:left="20"/>
              <w:spacing w:after="0"/>
              <w:rPr>
                <w:sz w:val="20"/>
                <w:szCs w:val="20"/>
                <w:color w:val="auto"/>
              </w:rPr>
            </w:pPr>
            <w:r>
              <w:rPr>
                <w:rFonts w:ascii="Arial" w:cs="Arial" w:eastAsia="Arial" w:hAnsi="Arial"/>
                <w:sz w:val="14"/>
                <w:szCs w:val="14"/>
                <w:color w:val="auto"/>
              </w:rPr>
              <w:t>unconsolidated affiliates</w:t>
            </w: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(40.5)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(1,142.7)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right"/>
              <w:ind w:right="10"/>
              <w:spacing w:after="0"/>
              <w:rPr>
                <w:sz w:val="20"/>
                <w:szCs w:val="20"/>
                <w:color w:val="auto"/>
              </w:rPr>
            </w:pPr>
            <w:r>
              <w:rPr>
                <w:rFonts w:ascii="Arial" w:cs="Arial" w:eastAsia="Arial" w:hAnsi="Arial"/>
                <w:sz w:val="14"/>
                <w:szCs w:val="14"/>
                <w:color w:val="auto"/>
              </w:rPr>
              <w:t>31.0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(12.9)</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(558.5)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1,165.1</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(566.3)</w:t>
            </w:r>
          </w:p>
        </w:tc>
        <w:tc>
          <w:tcPr>
            <w:tcW w:w="0" w:type="dxa"/>
            <w:vAlign w:val="bottom"/>
          </w:tcPr>
          <w:p>
            <w:pPr>
              <w:spacing w:after="0"/>
              <w:rPr>
                <w:sz w:val="1"/>
                <w:szCs w:val="1"/>
                <w:color w:val="auto"/>
              </w:rPr>
            </w:pPr>
          </w:p>
        </w:tc>
      </w:tr>
      <w:tr>
        <w:trPr>
          <w:trHeight w:val="24"/>
        </w:trPr>
        <w:tc>
          <w:tcPr>
            <w:tcW w:w="4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Income tax expense (benefit)</w:t>
            </w:r>
          </w:p>
        </w:tc>
        <w:tc>
          <w:tcPr>
            <w:tcW w:w="10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(9.4)</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(62.4)</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(127.7)</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79.8</w:t>
            </w: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(128.4)</w:t>
            </w:r>
          </w:p>
        </w:tc>
        <w:tc>
          <w:tcPr>
            <w:tcW w:w="0" w:type="dxa"/>
            <w:vAlign w:val="bottom"/>
          </w:tcPr>
          <w:p>
            <w:pPr>
              <w:spacing w:after="0"/>
              <w:rPr>
                <w:sz w:val="1"/>
                <w:szCs w:val="1"/>
                <w:color w:val="auto"/>
              </w:rPr>
            </w:pPr>
          </w:p>
        </w:tc>
      </w:tr>
      <w:tr>
        <w:trPr>
          <w:trHeight w:val="137"/>
        </w:trPr>
        <w:tc>
          <w:tcPr>
            <w:tcW w:w="4100" w:type="dxa"/>
            <w:vAlign w:val="bottom"/>
          </w:tcPr>
          <w:p>
            <w:pPr>
              <w:ind w:left="20"/>
              <w:spacing w:after="0" w:line="137" w:lineRule="exact"/>
              <w:rPr>
                <w:sz w:val="20"/>
                <w:szCs w:val="20"/>
                <w:color w:val="auto"/>
              </w:rPr>
            </w:pPr>
            <w:r>
              <w:rPr>
                <w:rFonts w:ascii="Arial" w:cs="Arial" w:eastAsia="Arial" w:hAnsi="Arial"/>
                <w:sz w:val="14"/>
                <w:szCs w:val="14"/>
                <w:color w:val="auto"/>
                <w:w w:val="96"/>
              </w:rPr>
              <w:t>(Loss) earnings before equity in earnings (losses) of unconsolidated</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4100" w:type="dxa"/>
            <w:vAlign w:val="bottom"/>
          </w:tcPr>
          <w:p>
            <w:pPr>
              <w:ind w:left="20"/>
              <w:spacing w:after="0"/>
              <w:rPr>
                <w:sz w:val="20"/>
                <w:szCs w:val="20"/>
                <w:color w:val="auto"/>
              </w:rPr>
            </w:pPr>
            <w:r>
              <w:rPr>
                <w:rFonts w:ascii="Arial" w:cs="Arial" w:eastAsia="Arial" w:hAnsi="Arial"/>
                <w:sz w:val="14"/>
                <w:szCs w:val="14"/>
                <w:color w:val="auto"/>
              </w:rPr>
              <w:t>affiliates</w:t>
            </w: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(31.1)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(1,080.3)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jc w:val="right"/>
              <w:ind w:right="10"/>
              <w:spacing w:after="0"/>
              <w:rPr>
                <w:sz w:val="20"/>
                <w:szCs w:val="20"/>
                <w:color w:val="auto"/>
              </w:rPr>
            </w:pPr>
            <w:r>
              <w:rPr>
                <w:rFonts w:ascii="Arial" w:cs="Arial" w:eastAsia="Arial" w:hAnsi="Arial"/>
                <w:sz w:val="14"/>
                <w:szCs w:val="14"/>
                <w:color w:val="auto"/>
              </w:rPr>
              <w:t>39.0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(12.9)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(430.8)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1,085.3</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(437.9)</w:t>
            </w:r>
          </w:p>
        </w:tc>
        <w:tc>
          <w:tcPr>
            <w:tcW w:w="0" w:type="dxa"/>
            <w:vAlign w:val="bottom"/>
          </w:tcPr>
          <w:p>
            <w:pPr>
              <w:spacing w:after="0"/>
              <w:rPr>
                <w:sz w:val="1"/>
                <w:szCs w:val="1"/>
                <w:color w:val="auto"/>
              </w:rPr>
            </w:pPr>
          </w:p>
        </w:tc>
      </w:tr>
      <w:tr>
        <w:trPr>
          <w:trHeight w:val="205"/>
        </w:trPr>
        <w:tc>
          <w:tcPr>
            <w:tcW w:w="4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 in earnings (losses) of unconsolidated affiliates</w:t>
            </w:r>
          </w:p>
        </w:tc>
        <w:tc>
          <w:tcPr>
            <w:tcW w:w="1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23.2</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(100.6)</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(76.1)</w:t>
            </w:r>
          </w:p>
        </w:tc>
        <w:tc>
          <w:tcPr>
            <w:tcW w:w="0" w:type="dxa"/>
            <w:vAlign w:val="bottom"/>
          </w:tcPr>
          <w:p>
            <w:pPr>
              <w:spacing w:after="0"/>
              <w:rPr>
                <w:sz w:val="1"/>
                <w:szCs w:val="1"/>
                <w:color w:val="auto"/>
              </w:rPr>
            </w:pPr>
          </w:p>
        </w:tc>
      </w:tr>
      <w:tr>
        <w:trPr>
          <w:trHeight w:val="179"/>
        </w:trPr>
        <w:tc>
          <w:tcPr>
            <w:tcW w:w="4100" w:type="dxa"/>
            <w:vAlign w:val="bottom"/>
          </w:tcPr>
          <w:p>
            <w:pPr>
              <w:ind w:left="20"/>
              <w:spacing w:after="0"/>
              <w:rPr>
                <w:sz w:val="20"/>
                <w:szCs w:val="20"/>
                <w:color w:val="auto"/>
              </w:rPr>
            </w:pPr>
            <w:r>
              <w:rPr>
                <w:rFonts w:ascii="Arial" w:cs="Arial" w:eastAsia="Arial" w:hAnsi="Arial"/>
                <w:sz w:val="14"/>
                <w:szCs w:val="14"/>
                <w:color w:val="auto"/>
              </w:rPr>
              <w:t>Net (loss) earnings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w:t>
            </w:r>
          </w:p>
        </w:tc>
        <w:tc>
          <w:tcPr>
            <w:tcW w:w="10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(29.8)</w:t>
            </w:r>
          </w:p>
        </w:tc>
        <w:tc>
          <w:tcPr>
            <w:tcW w:w="100" w:type="dxa"/>
            <w:vAlign w:val="bottom"/>
          </w:tcPr>
          <w:p>
            <w:pPr>
              <w:spacing w:after="0"/>
              <w:rPr>
                <w:sz w:val="15"/>
                <w:szCs w:val="15"/>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(1,080.3)</w:t>
            </w:r>
          </w:p>
        </w:tc>
        <w:tc>
          <w:tcPr>
            <w:tcW w:w="100" w:type="dxa"/>
            <w:vAlign w:val="bottom"/>
          </w:tcPr>
          <w:p>
            <w:pPr>
              <w:spacing w:after="0"/>
              <w:rPr>
                <w:sz w:val="15"/>
                <w:szCs w:val="15"/>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39.0</w:t>
            </w:r>
          </w:p>
        </w:tc>
        <w:tc>
          <w:tcPr>
            <w:tcW w:w="8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(12.9)</w:t>
            </w:r>
          </w:p>
        </w:tc>
        <w:tc>
          <w:tcPr>
            <w:tcW w:w="8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(407.6)</w:t>
            </w:r>
          </w:p>
        </w:tc>
        <w:tc>
          <w:tcPr>
            <w:tcW w:w="10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984.7</w:t>
            </w:r>
          </w:p>
        </w:tc>
        <w:tc>
          <w:tcPr>
            <w:tcW w:w="120" w:type="dxa"/>
            <w:vAlign w:val="bottom"/>
          </w:tcPr>
          <w:p>
            <w:pPr>
              <w:spacing w:after="0"/>
              <w:rPr>
                <w:sz w:val="15"/>
                <w:szCs w:val="15"/>
                <w:color w:val="auto"/>
              </w:rPr>
            </w:pPr>
          </w:p>
        </w:tc>
        <w:tc>
          <w:tcPr>
            <w:tcW w:w="1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(514.0)</w:t>
            </w:r>
          </w:p>
        </w:tc>
        <w:tc>
          <w:tcPr>
            <w:tcW w:w="0" w:type="dxa"/>
            <w:vAlign w:val="bottom"/>
          </w:tcPr>
          <w:p>
            <w:pPr>
              <w:spacing w:after="0"/>
              <w:rPr>
                <w:sz w:val="1"/>
                <w:szCs w:val="1"/>
                <w:color w:val="auto"/>
              </w:rPr>
            </w:pPr>
          </w:p>
        </w:tc>
      </w:tr>
      <w:tr>
        <w:trPr>
          <w:trHeight w:val="20"/>
        </w:trPr>
        <w:tc>
          <w:tcPr>
            <w:tcW w:w="4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359.0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9,696.6</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6,501.3</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10,878.0</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176.2</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2,829.1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(27,252.1)</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3,188.1</w:t>
            </w:r>
          </w:p>
        </w:tc>
        <w:tc>
          <w:tcPr>
            <w:tcW w:w="0" w:type="dxa"/>
            <w:vAlign w:val="bottom"/>
          </w:tcPr>
          <w:p>
            <w:pPr>
              <w:spacing w:after="0"/>
              <w:rPr>
                <w:sz w:val="1"/>
                <w:szCs w:val="1"/>
                <w:color w:val="auto"/>
              </w:rPr>
            </w:pPr>
          </w:p>
        </w:tc>
      </w:tr>
      <w:tr>
        <w:trPr>
          <w:trHeight w:val="180"/>
        </w:trPr>
        <w:tc>
          <w:tcPr>
            <w:tcW w:w="4100" w:type="dxa"/>
            <w:vAlign w:val="bottom"/>
          </w:tcPr>
          <w:p>
            <w:pPr>
              <w:ind w:left="20"/>
              <w:spacing w:after="0"/>
              <w:rPr>
                <w:sz w:val="20"/>
                <w:szCs w:val="20"/>
                <w:color w:val="auto"/>
              </w:rPr>
            </w:pPr>
            <w:r>
              <w:rPr>
                <w:rFonts w:ascii="Arial" w:cs="Arial" w:eastAsia="Arial" w:hAnsi="Arial"/>
                <w:sz w:val="14"/>
                <w:szCs w:val="14"/>
                <w:color w:val="auto"/>
              </w:rPr>
              <w:t>Goodwill</w:t>
            </w: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53.4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3,437.1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2,712.8</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right"/>
              <w:ind w:right="10"/>
              <w:spacing w:after="0"/>
              <w:rPr>
                <w:sz w:val="20"/>
                <w:szCs w:val="20"/>
                <w:color w:val="auto"/>
              </w:rPr>
            </w:pPr>
            <w:r>
              <w:rPr>
                <w:rFonts w:ascii="Arial" w:cs="Arial" w:eastAsia="Arial" w:hAnsi="Arial"/>
                <w:sz w:val="14"/>
                <w:szCs w:val="14"/>
                <w:color w:val="auto"/>
              </w:rPr>
              <w:t>3,624.0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108.9</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(9,882.8)</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53.4</w:t>
            </w: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activities in our segments include the following:</w:t>
      </w:r>
    </w:p>
    <w:p>
      <w:pPr>
        <w:sectPr>
          <w:pgSz w:w="11900" w:h="16838" w:orient="portrait"/>
          <w:cols w:equalWidth="0" w:num="1">
            <w:col w:w="11240"/>
          </w:cols>
          <w:pgMar w:left="320" w:top="121" w:right="339" w:bottom="1440" w:gutter="0" w:footer="0" w:header="0"/>
        </w:sectPr>
      </w:pPr>
    </w:p>
    <w:p>
      <w:pPr>
        <w:spacing w:after="0" w:line="111"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auto"/>
        </w:rPr>
        <w:t>•</w:t>
      </w:r>
    </w:p>
    <w:p>
      <w:pPr>
        <w:spacing w:after="0" w:line="20" w:lineRule="exact"/>
        <w:rPr>
          <w:sz w:val="20"/>
          <w:szCs w:val="20"/>
          <w:color w:val="auto"/>
        </w:rPr>
      </w:pPr>
      <w:r>
        <w:rPr>
          <w:sz w:val="20"/>
          <w:szCs w:val="20"/>
          <w:color w:val="auto"/>
        </w:rPr>
        <w:br w:type="column"/>
      </w:r>
    </w:p>
    <w:p>
      <w:pPr>
        <w:spacing w:after="0" w:line="9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Restaurant Group. </w:t>
      </w:r>
      <w:r>
        <w:rPr>
          <w:rFonts w:ascii="Arial" w:cs="Arial" w:eastAsia="Arial" w:hAnsi="Arial"/>
          <w:sz w:val="18"/>
          <w:szCs w:val="18"/>
          <w:color w:val="auto"/>
        </w:rPr>
        <w:t>This segment consists primarily of the operations of O'Charley's and 99 Restaurants in which we have 65.4%</w:t>
      </w:r>
      <w:r>
        <w:rPr>
          <w:rFonts w:ascii="Arial" w:cs="Arial" w:eastAsia="Arial" w:hAnsi="Arial"/>
          <w:sz w:val="18"/>
          <w:szCs w:val="18"/>
          <w:i w:val="1"/>
          <w:iCs w:val="1"/>
          <w:color w:val="auto"/>
        </w:rPr>
        <w:t xml:space="preserve"> </w:t>
      </w:r>
      <w:r>
        <w:rPr>
          <w:rFonts w:ascii="Arial" w:cs="Arial" w:eastAsia="Arial" w:hAnsi="Arial"/>
          <w:sz w:val="18"/>
          <w:szCs w:val="18"/>
          <w:color w:val="auto"/>
        </w:rPr>
        <w:t>and 88.5% ownership interests, respectively. O'Charley's and 99 Restaurants and their affiliates are the owners and operators of the O'Charley's and Ninety Nine Restaurants restaurant concepts, respectively.</w:t>
      </w:r>
    </w:p>
    <w:p>
      <w:pPr>
        <w:spacing w:after="0" w:line="83" w:lineRule="exact"/>
        <w:rPr>
          <w:sz w:val="20"/>
          <w:szCs w:val="20"/>
          <w:color w:val="auto"/>
        </w:rPr>
      </w:pPr>
    </w:p>
    <w:p>
      <w:pPr>
        <w:sectPr>
          <w:pgSz w:w="11900" w:h="16838" w:orient="portrait"/>
          <w:cols w:equalWidth="0" w:num="2">
            <w:col w:w="300" w:space="340"/>
            <w:col w:w="10600"/>
          </w:cols>
          <w:pgMar w:left="320" w:top="121" w:right="339" w:bottom="1440" w:gutter="0" w:footer="0" w:header="0"/>
          <w:type w:val="continuous"/>
        </w:sectPr>
      </w:pPr>
    </w:p>
    <w:p>
      <w:pPr>
        <w:jc w:val="both"/>
        <w:ind w:left="640" w:hanging="395"/>
        <w:spacing w:after="0" w:line="264" w:lineRule="auto"/>
        <w:tabs>
          <w:tab w:leader="none" w:pos="640" w:val="left"/>
        </w:tabs>
        <w:numPr>
          <w:ilvl w:val="0"/>
          <w:numId w:val="7"/>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Dun &amp; Bradstreet. </w:t>
      </w:r>
      <w:r>
        <w:rPr>
          <w:rFonts w:ascii="Arial" w:cs="Arial" w:eastAsia="Arial" w:hAnsi="Arial"/>
          <w:sz w:val="17"/>
          <w:szCs w:val="17"/>
          <w:color w:val="auto"/>
        </w:rPr>
        <w:t>This segment consists of our 18.0% ownership interest in Dun &amp; Bradstreet. Dun &amp; Bradstreet is a leading global provider of</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business decisioning data and analytics. Clients embed D&amp;B's trusted, end-to-end solutions into their daily workflows to enhance salesforce productivity, gain visibility into key markets, inform commercial credit decisions and confirm that suppliers are financially viable and compliant with laws and regulations. Dun &amp; Bradstreet's solutions support its clients’ mission critical business operations by providing proprietary and curated data and analytics to help drive informed decisions and improved outcomes. Dun &amp; Bradstreet's global commercial database as of December 31, 2022 contained hundreds of millions of business records. Our chief operating decision maker reviews the full financial results of Dun &amp; Bradstreet for purposes of assessing performance and allocating resources. Thus, we consider Dun &amp; Bradstreet a reportable segment and have included the full results of Dun &amp; Bradstreet in the tables above. We account for Dun &amp; Bradstreet using the equity method of accounting; therefore, its results do not consolidate into ours. Accordingly, we have presented the elimination of Dun &amp; Bradstreet's results in the </w:t>
      </w:r>
      <w:r>
        <w:rPr>
          <w:rFonts w:ascii="Arial" w:cs="Arial" w:eastAsia="Arial" w:hAnsi="Arial"/>
          <w:sz w:val="17"/>
          <w:szCs w:val="17"/>
          <w:i w:val="1"/>
          <w:iCs w:val="1"/>
          <w:color w:val="auto"/>
        </w:rPr>
        <w:t>Affiliate Elimination</w:t>
      </w:r>
      <w:r>
        <w:rPr>
          <w:rFonts w:ascii="Arial" w:cs="Arial" w:eastAsia="Arial" w:hAnsi="Arial"/>
          <w:sz w:val="17"/>
          <w:szCs w:val="17"/>
          <w:color w:val="auto"/>
        </w:rPr>
        <w:t xml:space="preserve"> section of the segment presentation above.</w:t>
      </w:r>
    </w:p>
    <w:p>
      <w:pPr>
        <w:spacing w:after="0" w:line="78" w:lineRule="exact"/>
        <w:rPr>
          <w:rFonts w:ascii="Arial" w:cs="Arial" w:eastAsia="Arial" w:hAnsi="Arial"/>
          <w:sz w:val="17"/>
          <w:szCs w:val="17"/>
          <w:i w:val="1"/>
          <w:iCs w:val="1"/>
          <w:color w:val="auto"/>
        </w:rPr>
      </w:pPr>
    </w:p>
    <w:p>
      <w:pPr>
        <w:jc w:val="both"/>
        <w:ind w:left="640" w:hanging="395"/>
        <w:spacing w:after="0" w:line="305" w:lineRule="auto"/>
        <w:tabs>
          <w:tab w:leader="none" w:pos="640" w:val="left"/>
        </w:tabs>
        <w:numPr>
          <w:ilvl w:val="0"/>
          <w:numId w:val="7"/>
        </w:numPr>
        <w:rPr>
          <w:rFonts w:ascii="Arial" w:cs="Arial" w:eastAsia="Arial" w:hAnsi="Arial"/>
          <w:sz w:val="15"/>
          <w:szCs w:val="15"/>
          <w:i w:val="1"/>
          <w:iCs w:val="1"/>
          <w:color w:val="auto"/>
        </w:rPr>
      </w:pPr>
      <w:r>
        <w:rPr>
          <w:rFonts w:ascii="Arial" w:cs="Arial" w:eastAsia="Arial" w:hAnsi="Arial"/>
          <w:sz w:val="15"/>
          <w:szCs w:val="15"/>
          <w:i w:val="1"/>
          <w:iCs w:val="1"/>
          <w:color w:val="auto"/>
        </w:rPr>
        <w:t>Alight</w:t>
      </w:r>
      <w:r>
        <w:rPr>
          <w:rFonts w:ascii="Arial" w:cs="Arial" w:eastAsia="Arial" w:hAnsi="Arial"/>
          <w:sz w:val="15"/>
          <w:szCs w:val="15"/>
          <w:color w:val="auto"/>
        </w:rPr>
        <w:t>. This segment consists of our 9.7% ownership interest in Alight. Alight is a leading cloud-based human capital technology and services</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provider that powers confident health, wealth and wellbeing decisions for millions of people and their dependents. Its Alight Worklife® platform combines data and analytics with a simple, seamless user experience. Supported by its global delivery capabilities, Alight Worklife is transforming the employee experience for people around the world through personalized, data-driven health, wealth, pay and wellbeing insights. Our chief operating decision maker reviews the full financial results of Alight for purposes of assessing performance and allocating resources. Thus, we consider Alight a reportable segment and have included the full results of Alight subsequent to our initial acquisition of an ownership interest in the tables above. We account for Alight using the equity method of accounting, and therefore, its results do not consolidate into ours. Accordingly, we have presented the elimination of Alight's results in the </w:t>
      </w:r>
      <w:r>
        <w:rPr>
          <w:rFonts w:ascii="Arial" w:cs="Arial" w:eastAsia="Arial" w:hAnsi="Arial"/>
          <w:sz w:val="15"/>
          <w:szCs w:val="15"/>
          <w:i w:val="1"/>
          <w:iCs w:val="1"/>
          <w:color w:val="auto"/>
        </w:rPr>
        <w:t>Affiliate Elimination</w:t>
      </w:r>
      <w:r>
        <w:rPr>
          <w:rFonts w:ascii="Arial" w:cs="Arial" w:eastAsia="Arial" w:hAnsi="Arial"/>
          <w:sz w:val="15"/>
          <w:szCs w:val="15"/>
          <w:color w:val="auto"/>
        </w:rPr>
        <w:t xml:space="preserve"> section of the segment presentation above.</w:t>
      </w:r>
    </w:p>
    <w:p>
      <w:pPr>
        <w:spacing w:after="0" w:line="50" w:lineRule="exact"/>
        <w:rPr>
          <w:rFonts w:ascii="Arial" w:cs="Arial" w:eastAsia="Arial" w:hAnsi="Arial"/>
          <w:sz w:val="15"/>
          <w:szCs w:val="15"/>
          <w:i w:val="1"/>
          <w:iCs w:val="1"/>
          <w:color w:val="auto"/>
        </w:rPr>
      </w:pPr>
    </w:p>
    <w:p>
      <w:pPr>
        <w:jc w:val="both"/>
        <w:ind w:left="640" w:hanging="395"/>
        <w:spacing w:after="0" w:line="313" w:lineRule="auto"/>
        <w:tabs>
          <w:tab w:leader="none" w:pos="640" w:val="left"/>
        </w:tabs>
        <w:numPr>
          <w:ilvl w:val="0"/>
          <w:numId w:val="7"/>
        </w:numPr>
        <w:rPr>
          <w:rFonts w:ascii="Arial" w:cs="Arial" w:eastAsia="Arial" w:hAnsi="Arial"/>
          <w:sz w:val="15"/>
          <w:szCs w:val="15"/>
          <w:i w:val="1"/>
          <w:iCs w:val="1"/>
          <w:color w:val="auto"/>
        </w:rPr>
      </w:pPr>
      <w:r>
        <w:rPr>
          <w:rFonts w:ascii="Arial" w:cs="Arial" w:eastAsia="Arial" w:hAnsi="Arial"/>
          <w:sz w:val="15"/>
          <w:szCs w:val="15"/>
          <w:i w:val="1"/>
          <w:iCs w:val="1"/>
          <w:color w:val="auto"/>
        </w:rPr>
        <w:t>Paysafe</w:t>
      </w:r>
      <w:r>
        <w:rPr>
          <w:rFonts w:ascii="Arial" w:cs="Arial" w:eastAsia="Arial" w:hAnsi="Arial"/>
          <w:sz w:val="15"/>
          <w:szCs w:val="15"/>
          <w:color w:val="auto"/>
        </w:rPr>
        <w:t>. This segment consists of our 5.5% ownership interest in Paysafe. Paysafe is a leading payments platform with an extensive track record of</w:t>
      </w:r>
      <w:r>
        <w:rPr>
          <w:rFonts w:ascii="Arial" w:cs="Arial" w:eastAsia="Arial" w:hAnsi="Arial"/>
          <w:sz w:val="15"/>
          <w:szCs w:val="15"/>
          <w:i w:val="1"/>
          <w:iCs w:val="1"/>
          <w:color w:val="auto"/>
        </w:rPr>
        <w:t xml:space="preserve"> </w:t>
      </w:r>
      <w:r>
        <w:rPr>
          <w:rFonts w:ascii="Arial" w:cs="Arial" w:eastAsia="Arial" w:hAnsi="Arial"/>
          <w:sz w:val="15"/>
          <w:szCs w:val="15"/>
          <w:color w:val="auto"/>
        </w:rPr>
        <w:t>serving merchants and consumers in the global entertainment sectors. Its core purpose is to enable businesses and consumers to connect and transact seamlessly through industry-leading capabilities in payment processing, digital wallet, and online cash solutions. Our chief operating decision maker reviews the full financial results of Paysafe for purposes of assessing performance and allocating resources. Thus, we consider Paysafe a reportable segment and have included the full results of Paysafe subsequent to our initial acquisition of an ownership</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CONDENSED CONSOLIDATED FINANCIAL STATEMENTS (UNAUDITED) — </w:t>
      </w:r>
      <w:r>
        <w:rPr>
          <w:rFonts w:ascii="Arial" w:cs="Arial" w:eastAsia="Arial" w:hAnsi="Arial"/>
          <w:sz w:val="16"/>
          <w:szCs w:val="16"/>
          <w:b w:val="1"/>
          <w:bCs w:val="1"/>
          <w:color w:val="auto"/>
        </w:rPr>
        <w:t>continued</w:t>
      </w:r>
    </w:p>
    <w:p>
      <w:pPr>
        <w:spacing w:after="0" w:line="200" w:lineRule="exact"/>
        <w:rPr>
          <w:sz w:val="20"/>
          <w:szCs w:val="20"/>
          <w:color w:val="auto"/>
        </w:rPr>
      </w:pPr>
    </w:p>
    <w:p>
      <w:pPr>
        <w:spacing w:after="0" w:line="378" w:lineRule="exact"/>
        <w:rPr>
          <w:sz w:val="20"/>
          <w:szCs w:val="20"/>
          <w:color w:val="auto"/>
        </w:rPr>
      </w:pPr>
    </w:p>
    <w:p>
      <w:pPr>
        <w:jc w:val="both"/>
        <w:ind w:left="640"/>
        <w:spacing w:after="0" w:line="269" w:lineRule="auto"/>
        <w:rPr>
          <w:sz w:val="20"/>
          <w:szCs w:val="20"/>
          <w:color w:val="auto"/>
        </w:rPr>
      </w:pPr>
      <w:r>
        <w:rPr>
          <w:rFonts w:ascii="Arial" w:cs="Arial" w:eastAsia="Arial" w:hAnsi="Arial"/>
          <w:sz w:val="17"/>
          <w:szCs w:val="17"/>
          <w:color w:val="auto"/>
        </w:rPr>
        <w:t xml:space="preserve">interest in the tables above. We account for Paysafe using the equity method of accounting, and therefore, its results do not consolidate into ours. Accordingly, we have presented the elimination of Paysafe's results in the </w:t>
      </w:r>
      <w:r>
        <w:rPr>
          <w:rFonts w:ascii="Arial" w:cs="Arial" w:eastAsia="Arial" w:hAnsi="Arial"/>
          <w:sz w:val="17"/>
          <w:szCs w:val="17"/>
          <w:i w:val="1"/>
          <w:iCs w:val="1"/>
          <w:color w:val="auto"/>
        </w:rPr>
        <w:t>Affiliate Elimination</w:t>
      </w:r>
      <w:r>
        <w:rPr>
          <w:rFonts w:ascii="Arial" w:cs="Arial" w:eastAsia="Arial" w:hAnsi="Arial"/>
          <w:sz w:val="17"/>
          <w:szCs w:val="17"/>
          <w:color w:val="auto"/>
        </w:rPr>
        <w:t xml:space="preserve"> section of the segment presentation above. We report our equity in earnings or loss of Paysafe on a three-month lag. Accordingly, our net earnings and the segment tables above, respectively, for the three and six months ended June 30, 2023 and 2022, include our equity in Paysafe’s earnings and complete results of Paysafe, respectively, for the three and six months ended March 31, 2023 and 2022, respectively.</w:t>
      </w:r>
    </w:p>
    <w:p>
      <w:pPr>
        <w:spacing w:after="0" w:line="72" w:lineRule="exact"/>
        <w:rPr>
          <w:sz w:val="20"/>
          <w:szCs w:val="20"/>
          <w:color w:val="auto"/>
        </w:rPr>
      </w:pPr>
    </w:p>
    <w:p>
      <w:pPr>
        <w:jc w:val="both"/>
        <w:ind w:left="640" w:hanging="395"/>
        <w:spacing w:after="0" w:line="264" w:lineRule="auto"/>
        <w:tabs>
          <w:tab w:leader="none" w:pos="640" w:val="left"/>
        </w:tabs>
        <w:numPr>
          <w:ilvl w:val="0"/>
          <w:numId w:val="8"/>
        </w:numPr>
        <w:rPr>
          <w:rFonts w:ascii="Arial" w:cs="Arial" w:eastAsia="Arial" w:hAnsi="Arial"/>
          <w:sz w:val="17"/>
          <w:szCs w:val="17"/>
          <w:i w:val="1"/>
          <w:iCs w:val="1"/>
          <w:color w:val="auto"/>
        </w:rPr>
      </w:pPr>
      <w:r>
        <w:rPr>
          <w:rFonts w:ascii="Arial" w:cs="Arial" w:eastAsia="Arial" w:hAnsi="Arial"/>
          <w:sz w:val="17"/>
          <w:szCs w:val="17"/>
          <w:i w:val="1"/>
          <w:iCs w:val="1"/>
          <w:color w:val="auto"/>
        </w:rPr>
        <w:t>Sightline</w:t>
      </w:r>
      <w:r>
        <w:rPr>
          <w:rFonts w:ascii="Arial" w:cs="Arial" w:eastAsia="Arial" w:hAnsi="Arial"/>
          <w:sz w:val="17"/>
          <w:szCs w:val="17"/>
          <w:color w:val="auto"/>
        </w:rPr>
        <w:t>. This segment consists of our 32.4% ownership interest in Sightline Payments. Sightline Payments is a leading digital payments provider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and mobile application developer to the United States' sports betting and casino gaming market. Our chief operating decision maker reviews the full financial results of Sightline for purposes of assessing performance and allocating resources. Thus, we consider Sightline a reportable segment and have included the full results of Sightline subsequent to our initial acquisition of an ownership interest in the tables above. We account for Sightline using the equity method of accounting, and therefore, its results do not consolidate into ours. Accordingly, we have presented the elimination of Sightline's results in the </w:t>
      </w:r>
      <w:r>
        <w:rPr>
          <w:rFonts w:ascii="Arial" w:cs="Arial" w:eastAsia="Arial" w:hAnsi="Arial"/>
          <w:sz w:val="17"/>
          <w:szCs w:val="17"/>
          <w:i w:val="1"/>
          <w:iCs w:val="1"/>
          <w:color w:val="auto"/>
        </w:rPr>
        <w:t>Affiliate Elimination</w:t>
      </w:r>
      <w:r>
        <w:rPr>
          <w:rFonts w:ascii="Arial" w:cs="Arial" w:eastAsia="Arial" w:hAnsi="Arial"/>
          <w:sz w:val="17"/>
          <w:szCs w:val="17"/>
          <w:color w:val="auto"/>
        </w:rPr>
        <w:t xml:space="preserve"> section of the segment presentation above. We report our equity in earnings or loss of Sightline on a three-month lag. Accordingly, our net earnings and the segment tables above, respectively, for the three and six months ended June 30, 2023 and 2022, include our equity in Sightline’s earnings and complete results of Sightline, respectively, for the three and six months ended March 31, 2023 and 2022, respectively.</w:t>
      </w:r>
    </w:p>
    <w:p>
      <w:pPr>
        <w:spacing w:after="0" w:line="81" w:lineRule="exact"/>
        <w:rPr>
          <w:rFonts w:ascii="Arial" w:cs="Arial" w:eastAsia="Arial" w:hAnsi="Arial"/>
          <w:sz w:val="17"/>
          <w:szCs w:val="17"/>
          <w:i w:val="1"/>
          <w:iCs w:val="1"/>
          <w:color w:val="auto"/>
        </w:rPr>
      </w:pPr>
    </w:p>
    <w:p>
      <w:pPr>
        <w:ind w:left="640" w:hanging="395"/>
        <w:spacing w:after="0" w:line="265" w:lineRule="auto"/>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Corporate and Other. </w:t>
      </w:r>
      <w:r>
        <w:rPr>
          <w:rFonts w:ascii="Arial" w:cs="Arial" w:eastAsia="Arial" w:hAnsi="Arial"/>
          <w:sz w:val="18"/>
          <w:szCs w:val="18"/>
          <w:color w:val="auto"/>
        </w:rPr>
        <w:t>This nonreportable segment consists of our share in the operations of certain controlled portfolio companies and other equity</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interests, activity of the corporate holding company and certain intercompany eliminations and taxes.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F — Revenue Recognition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revenue consists of:</w:t>
      </w:r>
    </w:p>
    <w:p>
      <w:pPr>
        <w:spacing w:after="0" w:line="128"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3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60" w:type="dxa"/>
            <w:vAlign w:val="bottom"/>
            <w:tcBorders>
              <w:bottom w:val="single" w:sz="8" w:color="auto"/>
            </w:tcBorders>
            <w:gridSpan w:val="4"/>
          </w:tcPr>
          <w:p>
            <w:pPr>
              <w:ind w:left="560"/>
              <w:spacing w:after="0"/>
              <w:rPr>
                <w:sz w:val="20"/>
                <w:szCs w:val="20"/>
                <w:color w:val="auto"/>
              </w:rPr>
            </w:pPr>
            <w:r>
              <w:rPr>
                <w:rFonts w:ascii="Arial" w:cs="Arial" w:eastAsia="Arial" w:hAnsi="Arial"/>
                <w:sz w:val="14"/>
                <w:szCs w:val="14"/>
                <w:b w:val="1"/>
                <w:bCs w:val="1"/>
                <w:color w:val="auto"/>
                <w:w w:val="94"/>
              </w:rPr>
              <w:t>Three Months Ended June 30,</w:t>
            </w:r>
          </w:p>
        </w:tc>
        <w:tc>
          <w:tcPr>
            <w:tcW w:w="5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ind w:right="542"/>
              <w:spacing w:after="0"/>
              <w:rPr>
                <w:sz w:val="20"/>
                <w:szCs w:val="20"/>
                <w:color w:val="auto"/>
              </w:rPr>
            </w:pPr>
            <w:r>
              <w:rPr>
                <w:rFonts w:ascii="Arial" w:cs="Arial" w:eastAsia="Arial" w:hAnsi="Arial"/>
                <w:sz w:val="14"/>
                <w:szCs w:val="14"/>
                <w:b w:val="1"/>
                <w:bCs w:val="1"/>
                <w:color w:val="auto"/>
                <w:w w:val="98"/>
              </w:rPr>
              <w:t>Six months ended June 30,</w:t>
            </w:r>
          </w:p>
        </w:tc>
      </w:tr>
      <w:tr>
        <w:trPr>
          <w:trHeight w:val="191"/>
        </w:trPr>
        <w:tc>
          <w:tcPr>
            <w:tcW w:w="3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Borders>
              <w:bottom w:val="single" w:sz="8" w:color="auto"/>
            </w:tcBorders>
          </w:tcPr>
          <w:p>
            <w:pPr>
              <w:ind w:left="560"/>
              <w:spacing w:after="0"/>
              <w:rPr>
                <w:sz w:val="20"/>
                <w:szCs w:val="20"/>
                <w:color w:val="auto"/>
              </w:rPr>
            </w:pPr>
            <w:r>
              <w:rPr>
                <w:rFonts w:ascii="Arial" w:cs="Arial" w:eastAsia="Arial" w:hAnsi="Arial"/>
                <w:sz w:val="14"/>
                <w:szCs w:val="14"/>
                <w:b w:val="1"/>
                <w:bCs w:val="1"/>
                <w:color w:val="auto"/>
              </w:rPr>
              <w:t>2023</w:t>
            </w:r>
          </w:p>
        </w:tc>
        <w:tc>
          <w:tcPr>
            <w:tcW w:w="5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rPr>
              <w:t>2022</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2022</w:t>
            </w:r>
          </w:p>
        </w:tc>
      </w:tr>
      <w:tr>
        <w:trPr>
          <w:trHeight w:val="192"/>
        </w:trPr>
        <w:tc>
          <w:tcPr>
            <w:tcW w:w="3300" w:type="dxa"/>
            <w:vAlign w:val="bottom"/>
          </w:tcPr>
          <w:p>
            <w:pPr>
              <w:ind w:left="1160"/>
              <w:spacing w:after="0"/>
              <w:rPr>
                <w:sz w:val="20"/>
                <w:szCs w:val="20"/>
                <w:color w:val="auto"/>
              </w:rPr>
            </w:pPr>
            <w:r>
              <w:rPr>
                <w:rFonts w:ascii="Arial" w:cs="Arial" w:eastAsia="Arial" w:hAnsi="Arial"/>
                <w:sz w:val="14"/>
                <w:szCs w:val="14"/>
                <w:b w:val="1"/>
                <w:bCs w:val="1"/>
                <w:color w:val="auto"/>
              </w:rPr>
              <w:t>Revenue Stream</w:t>
            </w:r>
          </w:p>
        </w:tc>
        <w:tc>
          <w:tcPr>
            <w:tcW w:w="120" w:type="dxa"/>
            <w:vAlign w:val="bottom"/>
          </w:tcPr>
          <w:p>
            <w:pPr>
              <w:spacing w:after="0"/>
              <w:rPr>
                <w:sz w:val="16"/>
                <w:szCs w:val="16"/>
                <w:color w:val="auto"/>
              </w:rPr>
            </w:pPr>
          </w:p>
        </w:tc>
        <w:tc>
          <w:tcPr>
            <w:tcW w:w="18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Segment</w:t>
            </w:r>
          </w:p>
        </w:tc>
        <w:tc>
          <w:tcPr>
            <w:tcW w:w="9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4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94"/>
              </w:rPr>
              <w:t>Total Revenue</w:t>
            </w: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10"/>
        </w:trPr>
        <w:tc>
          <w:tcPr>
            <w:tcW w:w="330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Restaurant revenue:</w:t>
            </w:r>
          </w:p>
        </w:tc>
        <w:tc>
          <w:tcPr>
            <w:tcW w:w="120" w:type="dxa"/>
            <w:vAlign w:val="bottom"/>
          </w:tcPr>
          <w:p>
            <w:pPr>
              <w:spacing w:after="0"/>
              <w:rPr>
                <w:sz w:val="18"/>
                <w:szCs w:val="18"/>
                <w:color w:val="auto"/>
              </w:rPr>
            </w:pPr>
          </w:p>
        </w:tc>
        <w:tc>
          <w:tcPr>
            <w:tcW w:w="1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gridSpan w:val="3"/>
          </w:tcPr>
          <w:p>
            <w:pPr>
              <w:jc w:val="right"/>
              <w:ind w:right="200"/>
              <w:spacing w:after="0"/>
              <w:rPr>
                <w:sz w:val="20"/>
                <w:szCs w:val="20"/>
                <w:color w:val="auto"/>
              </w:rPr>
            </w:pPr>
            <w:r>
              <w:rPr>
                <w:rFonts w:ascii="Arial" w:cs="Arial" w:eastAsia="Arial" w:hAnsi="Arial"/>
                <w:sz w:val="14"/>
                <w:szCs w:val="14"/>
                <w:color w:val="auto"/>
              </w:rPr>
              <w:t>(in millions)</w:t>
            </w:r>
          </w:p>
        </w:tc>
        <w:tc>
          <w:tcPr>
            <w:tcW w:w="9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r>
      <w:tr>
        <w:trPr>
          <w:trHeight w:val="215"/>
        </w:trPr>
        <w:tc>
          <w:tcPr>
            <w:tcW w:w="33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Restaurant sales</w:t>
            </w:r>
          </w:p>
        </w:tc>
        <w:tc>
          <w:tcPr>
            <w:tcW w:w="12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88"/>
              </w:rPr>
              <w:t>Restaurant Group</w:t>
            </w:r>
          </w:p>
        </w:tc>
        <w:tc>
          <w:tcPr>
            <w:tcW w:w="920" w:type="dxa"/>
            <w:vAlign w:val="bottom"/>
            <w:shd w:val="clear" w:color="auto" w:fill="CCEEFF"/>
          </w:tcPr>
          <w:p>
            <w:pPr>
              <w:jc w:val="right"/>
              <w:ind w:right="745"/>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145.2</w:t>
            </w:r>
          </w:p>
        </w:tc>
        <w:tc>
          <w:tcPr>
            <w:tcW w:w="1040" w:type="dxa"/>
            <w:vAlign w:val="bottom"/>
            <w:gridSpan w:val="2"/>
            <w:shd w:val="clear" w:color="auto" w:fill="CCEEFF"/>
          </w:tcPr>
          <w:p>
            <w:pPr>
              <w:jc w:val="right"/>
              <w:ind w:right="84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w w:val="99"/>
              </w:rPr>
              <w:t>166.5</w:t>
            </w:r>
          </w:p>
        </w:tc>
        <w:tc>
          <w:tcPr>
            <w:tcW w:w="54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293.7</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328.2</w:t>
            </w:r>
          </w:p>
        </w:tc>
      </w:tr>
      <w:tr>
        <w:trPr>
          <w:trHeight w:val="210"/>
        </w:trPr>
        <w:tc>
          <w:tcPr>
            <w:tcW w:w="33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w:t>
            </w:r>
          </w:p>
        </w:tc>
        <w:tc>
          <w:tcPr>
            <w:tcW w:w="120" w:type="dxa"/>
            <w:vAlign w:val="bottom"/>
            <w:tcBorders>
              <w:bottom w:val="single" w:sz="8" w:color="CCEEFF"/>
            </w:tcBorders>
          </w:tcPr>
          <w:p>
            <w:pPr>
              <w:spacing w:after="0"/>
              <w:rPr>
                <w:sz w:val="18"/>
                <w:szCs w:val="18"/>
                <w:color w:val="auto"/>
              </w:rPr>
            </w:pPr>
          </w:p>
        </w:tc>
        <w:tc>
          <w:tcPr>
            <w:tcW w:w="1840" w:type="dxa"/>
            <w:vAlign w:val="bottom"/>
            <w:tcBorders>
              <w:bottom w:val="single" w:sz="8" w:color="CCEEFF"/>
            </w:tcBorders>
            <w:gridSpan w:val="2"/>
          </w:tcPr>
          <w:p>
            <w:pPr>
              <w:jc w:val="center"/>
              <w:ind w:right="120"/>
              <w:spacing w:after="0"/>
              <w:rPr>
                <w:sz w:val="20"/>
                <w:szCs w:val="20"/>
                <w:color w:val="auto"/>
              </w:rPr>
            </w:pPr>
            <w:r>
              <w:rPr>
                <w:rFonts w:ascii="Arial" w:cs="Arial" w:eastAsia="Arial" w:hAnsi="Arial"/>
                <w:sz w:val="16"/>
                <w:szCs w:val="16"/>
                <w:color w:val="auto"/>
                <w:w w:val="88"/>
              </w:rPr>
              <w:t>Restaurant Group</w:t>
            </w:r>
          </w:p>
        </w:tc>
        <w:tc>
          <w:tcPr>
            <w:tcW w:w="9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0.2</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0.6</w:t>
            </w:r>
          </w:p>
        </w:tc>
      </w:tr>
      <w:tr>
        <w:trPr>
          <w:trHeight w:val="208"/>
        </w:trPr>
        <w:tc>
          <w:tcPr>
            <w:tcW w:w="33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restaurant revenue</w:t>
            </w: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145.2</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w w:val="99"/>
              </w:rPr>
              <w:t>166.7</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293.7</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328.8</w:t>
            </w:r>
          </w:p>
        </w:tc>
      </w:tr>
      <w:tr>
        <w:trPr>
          <w:trHeight w:val="210"/>
        </w:trPr>
        <w:tc>
          <w:tcPr>
            <w:tcW w:w="3300" w:type="dxa"/>
            <w:vAlign w:val="bottom"/>
          </w:tcPr>
          <w:p>
            <w:pPr>
              <w:ind w:left="20"/>
              <w:spacing w:after="0"/>
              <w:rPr>
                <w:sz w:val="20"/>
                <w:szCs w:val="20"/>
                <w:color w:val="auto"/>
              </w:rPr>
            </w:pPr>
            <w:r>
              <w:rPr>
                <w:rFonts w:ascii="Arial" w:cs="Arial" w:eastAsia="Arial" w:hAnsi="Arial"/>
                <w:sz w:val="16"/>
                <w:szCs w:val="16"/>
                <w:color w:val="auto"/>
              </w:rPr>
              <w:t>Other operating revenue:</w:t>
            </w:r>
          </w:p>
        </w:tc>
        <w:tc>
          <w:tcPr>
            <w:tcW w:w="1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5"/>
        </w:trPr>
        <w:tc>
          <w:tcPr>
            <w:tcW w:w="33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Real estate and resort</w:t>
            </w:r>
          </w:p>
        </w:tc>
        <w:tc>
          <w:tcPr>
            <w:tcW w:w="12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89"/>
              </w:rPr>
              <w:t>Corporate and other</w:t>
            </w: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7.7</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12.6</w:t>
            </w:r>
          </w:p>
        </w:tc>
      </w:tr>
      <w:tr>
        <w:trPr>
          <w:trHeight w:val="210"/>
        </w:trPr>
        <w:tc>
          <w:tcPr>
            <w:tcW w:w="33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w:t>
            </w:r>
          </w:p>
        </w:tc>
        <w:tc>
          <w:tcPr>
            <w:tcW w:w="120" w:type="dxa"/>
            <w:vAlign w:val="bottom"/>
            <w:tcBorders>
              <w:bottom w:val="single" w:sz="8" w:color="CCEEFF"/>
            </w:tcBorders>
          </w:tcPr>
          <w:p>
            <w:pPr>
              <w:spacing w:after="0"/>
              <w:rPr>
                <w:sz w:val="18"/>
                <w:szCs w:val="18"/>
                <w:color w:val="auto"/>
              </w:rPr>
            </w:pPr>
          </w:p>
        </w:tc>
        <w:tc>
          <w:tcPr>
            <w:tcW w:w="1840" w:type="dxa"/>
            <w:vAlign w:val="bottom"/>
            <w:tcBorders>
              <w:bottom w:val="single" w:sz="8" w:color="CCEEFF"/>
            </w:tcBorders>
            <w:gridSpan w:val="2"/>
          </w:tcPr>
          <w:p>
            <w:pPr>
              <w:jc w:val="center"/>
              <w:ind w:right="120"/>
              <w:spacing w:after="0"/>
              <w:rPr>
                <w:sz w:val="20"/>
                <w:szCs w:val="20"/>
                <w:color w:val="auto"/>
              </w:rPr>
            </w:pPr>
            <w:r>
              <w:rPr>
                <w:rFonts w:ascii="Arial" w:cs="Arial" w:eastAsia="Arial" w:hAnsi="Arial"/>
                <w:sz w:val="16"/>
                <w:szCs w:val="16"/>
                <w:color w:val="auto"/>
                <w:w w:val="89"/>
              </w:rPr>
              <w:t>Corporate and other</w:t>
            </w:r>
          </w:p>
        </w:tc>
        <w:tc>
          <w:tcPr>
            <w:tcW w:w="9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0.5</w:t>
            </w:r>
          </w:p>
        </w:tc>
      </w:tr>
      <w:tr>
        <w:trPr>
          <w:trHeight w:val="206"/>
        </w:trPr>
        <w:tc>
          <w:tcPr>
            <w:tcW w:w="33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other operating revenue</w:t>
            </w:r>
          </w:p>
        </w:tc>
        <w:tc>
          <w:tcPr>
            <w:tcW w:w="12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100" w:type="dxa"/>
            <w:vAlign w:val="bottom"/>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7.8</w:t>
            </w:r>
          </w:p>
        </w:tc>
        <w:tc>
          <w:tcPr>
            <w:tcW w:w="10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w:t>
            </w: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13.1</w:t>
            </w:r>
          </w:p>
        </w:tc>
      </w:tr>
      <w:tr>
        <w:trPr>
          <w:trHeight w:val="208"/>
        </w:trPr>
        <w:tc>
          <w:tcPr>
            <w:tcW w:w="3300" w:type="dxa"/>
            <w:vAlign w:val="bottom"/>
          </w:tcPr>
          <w:p>
            <w:pPr>
              <w:ind w:left="340"/>
              <w:spacing w:after="0"/>
              <w:rPr>
                <w:sz w:val="20"/>
                <w:szCs w:val="20"/>
                <w:color w:val="auto"/>
              </w:rPr>
            </w:pPr>
            <w:r>
              <w:rPr>
                <w:rFonts w:ascii="Arial" w:cs="Arial" w:eastAsia="Arial" w:hAnsi="Arial"/>
                <w:sz w:val="16"/>
                <w:szCs w:val="16"/>
                <w:color w:val="auto"/>
              </w:rPr>
              <w:t>Total operating revenues</w:t>
            </w:r>
          </w:p>
        </w:tc>
        <w:tc>
          <w:tcPr>
            <w:tcW w:w="1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745"/>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spacing w:after="0"/>
              <w:rPr>
                <w:sz w:val="20"/>
                <w:szCs w:val="20"/>
                <w:color w:val="auto"/>
              </w:rPr>
            </w:pPr>
            <w:r>
              <w:rPr>
                <w:rFonts w:ascii="Arial" w:cs="Arial" w:eastAsia="Arial" w:hAnsi="Arial"/>
                <w:sz w:val="16"/>
                <w:szCs w:val="16"/>
                <w:color w:val="auto"/>
                <w:w w:val="99"/>
              </w:rPr>
              <w:t>152.8</w:t>
            </w:r>
          </w:p>
        </w:tc>
        <w:tc>
          <w:tcPr>
            <w:tcW w:w="1040" w:type="dxa"/>
            <w:vAlign w:val="bottom"/>
            <w:gridSpan w:val="2"/>
          </w:tcPr>
          <w:p>
            <w:pPr>
              <w:jc w:val="right"/>
              <w:ind w:right="840"/>
              <w:spacing w:after="0"/>
              <w:rPr>
                <w:sz w:val="20"/>
                <w:szCs w:val="20"/>
                <w:color w:val="auto"/>
              </w:rPr>
            </w:pPr>
            <w:r>
              <w:rPr>
                <w:rFonts w:ascii="Arial" w:cs="Arial" w:eastAsia="Arial" w:hAnsi="Arial"/>
                <w:sz w:val="16"/>
                <w:szCs w:val="16"/>
                <w:color w:val="auto"/>
              </w:rPr>
              <w:t>$</w:t>
            </w:r>
          </w:p>
        </w:tc>
        <w:tc>
          <w:tcPr>
            <w:tcW w:w="500" w:type="dxa"/>
            <w:vAlign w:val="bottom"/>
          </w:tcPr>
          <w:p>
            <w:pPr>
              <w:jc w:val="right"/>
              <w:ind w:right="2"/>
              <w:spacing w:after="0"/>
              <w:rPr>
                <w:sz w:val="20"/>
                <w:szCs w:val="20"/>
                <w:color w:val="auto"/>
              </w:rPr>
            </w:pPr>
            <w:r>
              <w:rPr>
                <w:rFonts w:ascii="Arial" w:cs="Arial" w:eastAsia="Arial" w:hAnsi="Arial"/>
                <w:sz w:val="16"/>
                <w:szCs w:val="16"/>
                <w:color w:val="auto"/>
                <w:w w:val="99"/>
              </w:rPr>
              <w:t>174.5</w:t>
            </w:r>
          </w:p>
        </w:tc>
        <w:tc>
          <w:tcPr>
            <w:tcW w:w="54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307.1</w:t>
            </w:r>
          </w:p>
        </w:tc>
        <w:tc>
          <w:tcPr>
            <w:tcW w:w="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2"/>
              <w:spacing w:after="0"/>
              <w:rPr>
                <w:sz w:val="20"/>
                <w:szCs w:val="20"/>
                <w:color w:val="auto"/>
              </w:rPr>
            </w:pPr>
            <w:r>
              <w:rPr>
                <w:rFonts w:ascii="Arial" w:cs="Arial" w:eastAsia="Arial" w:hAnsi="Arial"/>
                <w:sz w:val="16"/>
                <w:szCs w:val="16"/>
                <w:color w:val="auto"/>
              </w:rPr>
              <w:t>341.9</w:t>
            </w:r>
          </w:p>
        </w:tc>
      </w:tr>
      <w:tr>
        <w:trPr>
          <w:trHeight w:val="20"/>
        </w:trPr>
        <w:tc>
          <w:tcPr>
            <w:tcW w:w="3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173"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Restaurant revenue consists of restaurant sales and to a lesser extent, franchise revenue and other revenue. Restaurant sales include food and beverage sales and gift card breakage, are net of applicable state and local sales taxes and discounts, and are recognized at a point in time as services are performed and goods are provided.</w:t>
      </w:r>
    </w:p>
    <w:p>
      <w:pPr>
        <w:spacing w:after="0" w:line="83"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Other operating revenue consists of income generated by our resort operations, which includes sales of real estate, lodging rentals, food and beverage sales, and other income from various resort services offered. Revenue is recognized upon closing of the sale of real estate or once goods and services have been provided and billed to the customer.</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provides information about trade receivables and deferred revenue:</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410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June 30, 2023</w:t>
            </w:r>
          </w:p>
        </w:tc>
        <w:tc>
          <w:tcPr>
            <w:tcW w:w="420" w:type="dxa"/>
            <w:vAlign w:val="bottom"/>
          </w:tcPr>
          <w:p>
            <w:pPr>
              <w:spacing w:after="0"/>
              <w:rPr>
                <w:sz w:val="16"/>
                <w:szCs w:val="16"/>
                <w:color w:val="auto"/>
              </w:rPr>
            </w:pPr>
          </w:p>
        </w:tc>
        <w:tc>
          <w:tcPr>
            <w:tcW w:w="1740" w:type="dxa"/>
            <w:vAlign w:val="bottom"/>
            <w:gridSpan w:val="3"/>
          </w:tcPr>
          <w:p>
            <w:pPr>
              <w:ind w:left="340"/>
              <w:spacing w:after="0"/>
              <w:rPr>
                <w:sz w:val="20"/>
                <w:szCs w:val="20"/>
                <w:color w:val="auto"/>
              </w:rPr>
            </w:pPr>
            <w:r>
              <w:rPr>
                <w:rFonts w:ascii="Arial" w:cs="Arial" w:eastAsia="Arial" w:hAnsi="Arial"/>
                <w:sz w:val="14"/>
                <w:szCs w:val="14"/>
                <w:b w:val="1"/>
                <w:bCs w:val="1"/>
                <w:color w:val="auto"/>
              </w:rPr>
              <w:t>December 31, 2022</w:t>
            </w:r>
          </w:p>
        </w:tc>
      </w:tr>
      <w:tr>
        <w:trPr>
          <w:trHeight w:val="24"/>
        </w:trPr>
        <w:tc>
          <w:tcPr>
            <w:tcW w:w="20" w:type="dxa"/>
            <w:vAlign w:val="bottom"/>
          </w:tcPr>
          <w:p>
            <w:pPr>
              <w:spacing w:after="0"/>
              <w:rPr>
                <w:sz w:val="2"/>
                <w:szCs w:val="2"/>
                <w:color w:val="auto"/>
              </w:rPr>
            </w:pPr>
          </w:p>
        </w:tc>
        <w:tc>
          <w:tcPr>
            <w:tcW w:w="4100" w:type="dxa"/>
            <w:vAlign w:val="bottom"/>
          </w:tcPr>
          <w:p>
            <w:pPr>
              <w:spacing w:after="0"/>
              <w:rPr>
                <w:sz w:val="2"/>
                <w:szCs w:val="2"/>
                <w:color w:val="auto"/>
              </w:rPr>
            </w:pPr>
          </w:p>
        </w:tc>
        <w:tc>
          <w:tcPr>
            <w:tcW w:w="37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185"/>
        </w:trPr>
        <w:tc>
          <w:tcPr>
            <w:tcW w:w="20" w:type="dxa"/>
            <w:vAlign w:val="bottom"/>
          </w:tcPr>
          <w:p>
            <w:pPr>
              <w:spacing w:after="0"/>
              <w:rPr>
                <w:sz w:val="16"/>
                <w:szCs w:val="16"/>
                <w:color w:val="auto"/>
              </w:rPr>
            </w:pPr>
          </w:p>
        </w:tc>
        <w:tc>
          <w:tcPr>
            <w:tcW w:w="410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(In millions)</w:t>
            </w: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33"/>
        </w:trPr>
        <w:tc>
          <w:tcPr>
            <w:tcW w:w="20" w:type="dxa"/>
            <w:vAlign w:val="bottom"/>
          </w:tcPr>
          <w:p>
            <w:pPr>
              <w:spacing w:after="0"/>
              <w:rPr>
                <w:sz w:val="20"/>
                <w:szCs w:val="20"/>
                <w:color w:val="auto"/>
              </w:rPr>
            </w:pPr>
          </w:p>
        </w:tc>
        <w:tc>
          <w:tcPr>
            <w:tcW w:w="4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 receivables, net</w:t>
            </w:r>
          </w:p>
        </w:tc>
        <w:tc>
          <w:tcPr>
            <w:tcW w:w="4960" w:type="dxa"/>
            <w:vAlign w:val="bottom"/>
            <w:gridSpan w:val="2"/>
            <w:shd w:val="clear" w:color="auto" w:fill="CCEEFF"/>
          </w:tcPr>
          <w:p>
            <w:pPr>
              <w:jc w:val="right"/>
              <w:ind w:right="1049"/>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5.4</w:t>
            </w:r>
          </w:p>
        </w:tc>
        <w:tc>
          <w:tcPr>
            <w:tcW w:w="880" w:type="dxa"/>
            <w:vAlign w:val="bottom"/>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0" w:type="dxa"/>
            <w:vAlign w:val="bottom"/>
          </w:tcPr>
          <w:p>
            <w:pPr>
              <w:spacing w:after="0"/>
              <w:rPr>
                <w:sz w:val="20"/>
                <w:szCs w:val="20"/>
                <w:color w:val="auto"/>
              </w:rPr>
            </w:pPr>
          </w:p>
        </w:tc>
      </w:tr>
      <w:tr>
        <w:trPr>
          <w:trHeight w:val="224"/>
        </w:trPr>
        <w:tc>
          <w:tcPr>
            <w:tcW w:w="20" w:type="dxa"/>
            <w:vAlign w:val="bottom"/>
          </w:tcPr>
          <w:p>
            <w:pPr>
              <w:spacing w:after="0"/>
              <w:rPr>
                <w:sz w:val="19"/>
                <w:szCs w:val="19"/>
                <w:color w:val="auto"/>
              </w:rPr>
            </w:pPr>
          </w:p>
        </w:tc>
        <w:tc>
          <w:tcPr>
            <w:tcW w:w="4100" w:type="dxa"/>
            <w:vAlign w:val="bottom"/>
          </w:tcPr>
          <w:p>
            <w:pPr>
              <w:ind w:left="20"/>
              <w:spacing w:after="0"/>
              <w:rPr>
                <w:sz w:val="20"/>
                <w:szCs w:val="20"/>
                <w:color w:val="auto"/>
              </w:rPr>
            </w:pPr>
            <w:r>
              <w:rPr>
                <w:rFonts w:ascii="Arial" w:cs="Arial" w:eastAsia="Arial" w:hAnsi="Arial"/>
                <w:sz w:val="18"/>
                <w:szCs w:val="18"/>
                <w:color w:val="auto"/>
              </w:rPr>
              <w:t>Deferred revenue (contract liabilities)</w:t>
            </w:r>
          </w:p>
        </w:tc>
        <w:tc>
          <w:tcPr>
            <w:tcW w:w="37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20" w:type="dxa"/>
            <w:vAlign w:val="bottom"/>
          </w:tcPr>
          <w:p>
            <w:pPr>
              <w:jc w:val="right"/>
              <w:ind w:right="17"/>
              <w:spacing w:after="0"/>
              <w:rPr>
                <w:sz w:val="20"/>
                <w:szCs w:val="20"/>
                <w:color w:val="auto"/>
              </w:rPr>
            </w:pPr>
            <w:r>
              <w:rPr>
                <w:rFonts w:ascii="Arial" w:cs="Arial" w:eastAsia="Arial" w:hAnsi="Arial"/>
                <w:sz w:val="18"/>
                <w:szCs w:val="18"/>
                <w:color w:val="auto"/>
                <w:w w:val="85"/>
              </w:rPr>
              <w:t>14.2</w:t>
            </w:r>
          </w:p>
        </w:tc>
        <w:tc>
          <w:tcPr>
            <w:tcW w:w="8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18.6</w:t>
            </w:r>
          </w:p>
        </w:tc>
        <w:tc>
          <w:tcPr>
            <w:tcW w:w="20" w:type="dxa"/>
            <w:vAlign w:val="bottom"/>
          </w:tcPr>
          <w:p>
            <w:pPr>
              <w:spacing w:after="0"/>
              <w:rPr>
                <w:sz w:val="19"/>
                <w:szCs w:val="19"/>
                <w:color w:val="auto"/>
              </w:rPr>
            </w:pPr>
          </w:p>
        </w:tc>
      </w:tr>
      <w:tr>
        <w:trPr>
          <w:trHeight w:val="955"/>
        </w:trPr>
        <w:tc>
          <w:tcPr>
            <w:tcW w:w="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3720" w:type="dxa"/>
            <w:vAlign w:val="bottom"/>
          </w:tcPr>
          <w:p>
            <w:pPr>
              <w:jc w:val="right"/>
              <w:ind w:right="2032"/>
              <w:spacing w:after="0"/>
              <w:rPr>
                <w:sz w:val="20"/>
                <w:szCs w:val="20"/>
                <w:color w:val="auto"/>
              </w:rPr>
            </w:pPr>
            <w:r>
              <w:rPr>
                <w:rFonts w:ascii="Arial" w:cs="Arial" w:eastAsia="Arial" w:hAnsi="Arial"/>
                <w:sz w:val="18"/>
                <w:szCs w:val="18"/>
                <w:color w:val="auto"/>
              </w:rPr>
              <w:t>16</w:t>
            </w:r>
          </w:p>
        </w:tc>
        <w:tc>
          <w:tcPr>
            <w:tcW w:w="1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4"/>
        </w:trPr>
        <w:tc>
          <w:tcPr>
            <w:tcW w:w="20" w:type="dxa"/>
            <w:vAlign w:val="bottom"/>
            <w:tcBorders>
              <w:bottom w:val="single" w:sz="8" w:color="9A9A9A"/>
            </w:tcBorders>
          </w:tcPr>
          <w:p>
            <w:pPr>
              <w:spacing w:after="0"/>
              <w:rPr>
                <w:sz w:val="9"/>
                <w:szCs w:val="9"/>
                <w:color w:val="auto"/>
              </w:rPr>
            </w:pPr>
          </w:p>
        </w:tc>
        <w:tc>
          <w:tcPr>
            <w:tcW w:w="4100" w:type="dxa"/>
            <w:vAlign w:val="bottom"/>
            <w:tcBorders>
              <w:bottom w:val="single" w:sz="8" w:color="9A9A9A"/>
            </w:tcBorders>
          </w:tcPr>
          <w:p>
            <w:pPr>
              <w:spacing w:after="0"/>
              <w:rPr>
                <w:sz w:val="9"/>
                <w:szCs w:val="9"/>
                <w:color w:val="auto"/>
              </w:rPr>
            </w:pPr>
          </w:p>
        </w:tc>
        <w:tc>
          <w:tcPr>
            <w:tcW w:w="372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CONDENSED CONSOLIDATED FINANCIAL STATEMENTS (UNAUDITED) — </w:t>
      </w:r>
      <w:r>
        <w:rPr>
          <w:rFonts w:ascii="Arial" w:cs="Arial" w:eastAsia="Arial" w:hAnsi="Arial"/>
          <w:sz w:val="16"/>
          <w:szCs w:val="16"/>
          <w:b w:val="1"/>
          <w:bCs w:val="1"/>
          <w:color w:val="auto"/>
        </w:rPr>
        <w:t>continued</w:t>
      </w:r>
    </w:p>
    <w:p>
      <w:pPr>
        <w:spacing w:after="0" w:line="200" w:lineRule="exact"/>
        <w:rPr>
          <w:sz w:val="20"/>
          <w:szCs w:val="20"/>
          <w:color w:val="auto"/>
        </w:rPr>
      </w:pPr>
    </w:p>
    <w:p>
      <w:pPr>
        <w:spacing w:after="0" w:line="378"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Deferred revenue is recorded primarily for restaurant gift card sales. The unrecognized portion of such revenue is recorded as Deferred revenue in the Condensed Consolidated Balance Sheets. Revenue of $3.1 million and $5.2 million was recognized in the three months ended June 30, 2023 and 2022, respectively, and $4.8 million and $7.6 million in the six months ended, respectively, that was included in Deferred revenue at the beginning of the period.</w:t>
      </w:r>
    </w:p>
    <w:p>
      <w:pPr>
        <w:spacing w:after="0" w:line="3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There was no impairment related to contract balances.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G — Notes Payable</w:t>
      </w:r>
    </w:p>
    <w:p>
      <w:pPr>
        <w:spacing w:after="0" w:line="11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Notes payable, net consists of the following:</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tcPr>
          <w:p>
            <w:pPr>
              <w:jc w:val="right"/>
              <w:ind w:right="316"/>
              <w:spacing w:after="0"/>
              <w:rPr>
                <w:sz w:val="20"/>
                <w:szCs w:val="20"/>
                <w:color w:val="auto"/>
              </w:rPr>
            </w:pPr>
            <w:r>
              <w:rPr>
                <w:rFonts w:ascii="Arial" w:cs="Arial" w:eastAsia="Arial" w:hAnsi="Arial"/>
                <w:sz w:val="14"/>
                <w:szCs w:val="14"/>
                <w:b w:val="1"/>
                <w:bCs w:val="1"/>
                <w:color w:val="auto"/>
              </w:rPr>
              <w:t>June 30, 2023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jc w:val="right"/>
              <w:ind w:right="154"/>
              <w:spacing w:after="0"/>
              <w:rPr>
                <w:sz w:val="20"/>
                <w:szCs w:val="20"/>
                <w:color w:val="auto"/>
              </w:rPr>
            </w:pPr>
            <w:r>
              <w:rPr>
                <w:rFonts w:ascii="Arial" w:cs="Arial" w:eastAsia="Arial" w:hAnsi="Arial"/>
                <w:sz w:val="14"/>
                <w:szCs w:val="14"/>
                <w:b w:val="1"/>
                <w:bCs w:val="1"/>
                <w:color w:val="auto"/>
                <w:w w:val="95"/>
              </w:rPr>
              <w:t>December 31, 2022</w:t>
            </w:r>
          </w:p>
        </w:tc>
      </w:tr>
      <w:tr>
        <w:trPr>
          <w:trHeight w:val="24"/>
        </w:trPr>
        <w:tc>
          <w:tcPr>
            <w:tcW w:w="78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r>
      <w:tr>
        <w:trPr>
          <w:trHeight w:val="178"/>
        </w:trPr>
        <w:tc>
          <w:tcPr>
            <w:tcW w:w="7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120" w:type="dxa"/>
            <w:vAlign w:val="bottom"/>
            <w:gridSpan w:val="4"/>
          </w:tcPr>
          <w:p>
            <w:pPr>
              <w:jc w:val="right"/>
              <w:ind w:right="1234"/>
              <w:spacing w:after="0"/>
              <w:rPr>
                <w:sz w:val="20"/>
                <w:szCs w:val="20"/>
                <w:color w:val="auto"/>
              </w:rPr>
            </w:pPr>
            <w:r>
              <w:rPr>
                <w:rFonts w:ascii="Arial" w:cs="Arial" w:eastAsia="Arial" w:hAnsi="Arial"/>
                <w:sz w:val="14"/>
                <w:szCs w:val="14"/>
                <w:b w:val="1"/>
                <w:bCs w:val="1"/>
                <w:color w:val="auto"/>
              </w:rPr>
              <w:t>(In millions)</w:t>
            </w:r>
          </w:p>
        </w:tc>
      </w:tr>
      <w:tr>
        <w:trPr>
          <w:trHeight w:val="240"/>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2020 Margin Facility</w:t>
            </w:r>
          </w:p>
        </w:tc>
        <w:tc>
          <w:tcPr>
            <w:tcW w:w="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7860" w:type="dxa"/>
            <w:vAlign w:val="bottom"/>
          </w:tcPr>
          <w:p>
            <w:pPr>
              <w:ind w:left="20"/>
              <w:spacing w:after="0"/>
              <w:rPr>
                <w:sz w:val="20"/>
                <w:szCs w:val="20"/>
                <w:color w:val="auto"/>
              </w:rPr>
            </w:pPr>
            <w:r>
              <w:rPr>
                <w:rFonts w:ascii="Arial" w:cs="Arial" w:eastAsia="Arial" w:hAnsi="Arial"/>
                <w:sz w:val="18"/>
                <w:szCs w:val="18"/>
                <w:color w:val="auto"/>
              </w:rPr>
              <w:t>FNF Revolver</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84.7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84.7</w:t>
            </w:r>
          </w:p>
        </w:tc>
      </w:tr>
      <w:tr>
        <w:trPr>
          <w:trHeight w:val="226"/>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w:t>
            </w:r>
          </w:p>
        </w:tc>
      </w:tr>
      <w:tr>
        <w:trPr>
          <w:trHeight w:val="225"/>
        </w:trPr>
        <w:tc>
          <w:tcPr>
            <w:tcW w:w="7860" w:type="dxa"/>
            <w:vAlign w:val="bottom"/>
          </w:tcPr>
          <w:p>
            <w:pPr>
              <w:ind w:left="20"/>
              <w:spacing w:after="0"/>
              <w:rPr>
                <w:sz w:val="20"/>
                <w:szCs w:val="20"/>
                <w:color w:val="auto"/>
              </w:rPr>
            </w:pPr>
            <w:r>
              <w:rPr>
                <w:rFonts w:ascii="Arial" w:cs="Arial" w:eastAsia="Arial" w:hAnsi="Arial"/>
                <w:sz w:val="18"/>
                <w:szCs w:val="18"/>
                <w:color w:val="auto"/>
              </w:rPr>
              <w:t>Notes payable, total</w:t>
            </w:r>
          </w:p>
        </w:tc>
        <w:tc>
          <w:tcPr>
            <w:tcW w:w="260" w:type="dxa"/>
            <w:vAlign w:val="bottom"/>
          </w:tcPr>
          <w:p>
            <w:pPr>
              <w:jc w:val="right"/>
              <w:ind w:right="52"/>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103.3</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97.4</w:t>
            </w:r>
          </w:p>
        </w:tc>
      </w:tr>
      <w:tr>
        <w:trPr>
          <w:trHeight w:val="232"/>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Notes payable, current</w:t>
            </w:r>
          </w:p>
        </w:tc>
        <w:tc>
          <w:tcPr>
            <w:tcW w:w="26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19"/>
        </w:trPr>
        <w:tc>
          <w:tcPr>
            <w:tcW w:w="7860" w:type="dxa"/>
            <w:vAlign w:val="bottom"/>
          </w:tcPr>
          <w:p>
            <w:pPr>
              <w:ind w:left="20"/>
              <w:spacing w:after="0"/>
              <w:rPr>
                <w:sz w:val="20"/>
                <w:szCs w:val="20"/>
                <w:color w:val="auto"/>
              </w:rPr>
            </w:pPr>
            <w:r>
              <w:rPr>
                <w:rFonts w:ascii="Arial" w:cs="Arial" w:eastAsia="Arial" w:hAnsi="Arial"/>
                <w:sz w:val="18"/>
                <w:szCs w:val="18"/>
                <w:color w:val="auto"/>
              </w:rPr>
              <w:t>Notes payable, long term</w:t>
            </w:r>
          </w:p>
        </w:tc>
        <w:tc>
          <w:tcPr>
            <w:tcW w:w="260" w:type="dxa"/>
            <w:vAlign w:val="bottom"/>
          </w:tcPr>
          <w:p>
            <w:pPr>
              <w:jc w:val="right"/>
              <w:ind w:right="52"/>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98.3</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95.1</w:t>
            </w:r>
          </w:p>
        </w:tc>
      </w:tr>
      <w:tr>
        <w:trPr>
          <w:trHeight w:val="20"/>
        </w:trPr>
        <w:tc>
          <w:tcPr>
            <w:tcW w:w="78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At June 30, 2023, the carrying value of our outstanding notes payable approximates fair value and are considered Level 2 financial liabilities.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Margin Facility</w:t>
      </w:r>
    </w:p>
    <w:p>
      <w:pPr>
        <w:spacing w:after="0" w:line="111"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On November 30, 2020, Cannae Funding C, LLC ("Borrower 1"), an indirect wholly-owned special purpose subsidiary of the Company, and Cannae Funding D, LLC ("Borrower 2" and, together with Borrower 1, the "Borrowers"), an indirect wholly-owned special purpose subsidiary of the Company, entered into a Margin Loan Agreement (the "2020 Margin Facility") with the lenders from time to time party thereto and Royal Bank of Canada.</w:t>
      </w:r>
    </w:p>
    <w:p>
      <w:pPr>
        <w:spacing w:after="0" w:line="31"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Under the 2020 Margin Facility, as amended, the Borrowers may borrow up to $150.0 million in revolving loans and, subject to certain terms and conditions, may enter into an amendment to the 2020 Margin Facility to borrow up to $500.0 million in revolving loans (including the initial revolving loans) from the same initial lender and/or additional lenders on substantially identical terms and conditions as the initial revolving loans. The 2020 Margin Facility matures on November 30, 2023. Outstanding amounts under the 2020 Margin Facility, if any, bear interest quarterly at a rate per annum equal to a three-month adjusted SOFR plus an applicable margin. The 2020 Margin Facility requires the Borrowers to maintain a certain loan-to-value ratio (based on the value of Ceridian and D&amp;B shares). In the event the Borrowers fail to maintain such loan-to-value ratio, the Borrowers must post additional cash collateral under the Loan Agreement and/or elect to repay a portion of the revolving loans thereunder, or sell the Ceridian and/or D&amp;B shares and use the proceeds from such sale to prepay a portion of the revolving loans thereunder.</w:t>
      </w:r>
    </w:p>
    <w:p>
      <w:pPr>
        <w:spacing w:after="0" w:line="7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On June 16, 2023, the 2020 Margin Facility was amended to, among other things, lower the immediate capacity from $250 million to $150 million.</w:t>
      </w:r>
    </w:p>
    <w:p>
      <w:pPr>
        <w:spacing w:after="0" w:line="123"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As of June 30, 2023, there was no outstanding balance under the 2020 Margin Facility, $150.0 million of unused capacity with an option to increase the capacity to $500.0 million upon amendment, and the 2020 Margin Facility was secured by a first priority lien on 5 million shares of Ceridian and 35 million shares of D&amp;B.</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FNF Revolver</w:t>
      </w:r>
    </w:p>
    <w:p>
      <w:pPr>
        <w:spacing w:after="0" w:line="98" w:lineRule="exact"/>
        <w:rPr>
          <w:sz w:val="20"/>
          <w:szCs w:val="20"/>
          <w:color w:val="auto"/>
        </w:rPr>
      </w:pPr>
    </w:p>
    <w:p>
      <w:pPr>
        <w:jc w:val="both"/>
        <w:ind w:firstLine="318"/>
        <w:spacing w:after="0" w:line="232" w:lineRule="auto"/>
        <w:rPr>
          <w:sz w:val="20"/>
          <w:szCs w:val="20"/>
          <w:color w:val="auto"/>
        </w:rPr>
      </w:pPr>
      <w:r>
        <w:rPr>
          <w:rFonts w:ascii="Arial" w:cs="Arial" w:eastAsia="Arial" w:hAnsi="Arial"/>
          <w:sz w:val="18"/>
          <w:szCs w:val="18"/>
          <w:color w:val="auto"/>
        </w:rPr>
        <w:t>On November 17, 2017, Fidelity National Financial, Inc. ("FNF") issued to Cannae a revolver note in aggregate principal amount of up to $100.0 million. On May 12, 2022, FNF and Cannae amended and restated the revolver note to, among other things, limit the use of proceeds for borrowings thereunder to the repurchase of our own shares of common stock from FNF (as amended and restated, the "FNF Revolver"). Pursuant to the FNF Revolver, FNF may make one or more loans to us with up to $100.0 million outstanding at any time. The FNF Revolver accrues interest at one-month adjusted SOFR plus 450 basis points and matures on November 17, 2025. The maturity date is automatically extended for additional five-year terms unless notice of non-renewal is otherwise provided by either FNF or Cannae, in their sole discretion. On June 28, 2022, we completed the repurchase of all of our common stock previously held by FNF.</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CONDENSED CONSOLIDATED FINANCIAL STATEMENTS (UNAUDITED) — </w:t>
      </w:r>
      <w:r>
        <w:rPr>
          <w:rFonts w:ascii="Arial" w:cs="Arial" w:eastAsia="Arial" w:hAnsi="Arial"/>
          <w:sz w:val="16"/>
          <w:szCs w:val="16"/>
          <w:b w:val="1"/>
          <w:bCs w:val="1"/>
          <w:color w:val="auto"/>
        </w:rPr>
        <w:t>continued</w:t>
      </w:r>
    </w:p>
    <w:p>
      <w:pPr>
        <w:spacing w:after="0" w:line="200" w:lineRule="exact"/>
        <w:rPr>
          <w:sz w:val="20"/>
          <w:szCs w:val="20"/>
          <w:color w:val="auto"/>
        </w:rPr>
      </w:pPr>
    </w:p>
    <w:p>
      <w:pPr>
        <w:spacing w:after="0" w:line="378"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8"/>
          <w:szCs w:val="18"/>
          <w:color w:val="auto"/>
        </w:rPr>
        <w:t>As of June 30, 2023, there was a $84.7 million outstanding principal amount which incurred interest at 9.77% and there is no available borrowing capacity under the FNF Revolver.</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9960" w:type="dxa"/>
            <w:vAlign w:val="bottom"/>
          </w:tcPr>
          <w:p>
            <w:pPr>
              <w:ind w:left="320"/>
              <w:spacing w:after="0"/>
              <w:rPr>
                <w:sz w:val="20"/>
                <w:szCs w:val="20"/>
                <w:color w:val="auto"/>
              </w:rPr>
            </w:pPr>
            <w:r>
              <w:rPr>
                <w:rFonts w:ascii="Arial" w:cs="Arial" w:eastAsia="Arial" w:hAnsi="Arial"/>
                <w:sz w:val="18"/>
                <w:szCs w:val="18"/>
                <w:color w:val="auto"/>
              </w:rPr>
              <w:t>Gross principal maturities of notes payable at June 30, 2023 are as follows (in millions):</w:t>
            </w:r>
          </w:p>
        </w:tc>
        <w:tc>
          <w:tcPr>
            <w:tcW w:w="46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134"/>
        </w:trPr>
        <w:tc>
          <w:tcPr>
            <w:tcW w:w="99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226"/>
        </w:trPr>
        <w:tc>
          <w:tcPr>
            <w:tcW w:w="9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 (remaining)</w:t>
            </w:r>
          </w:p>
        </w:tc>
        <w:tc>
          <w:tcPr>
            <w:tcW w:w="46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32"/>
        </w:trPr>
        <w:tc>
          <w:tcPr>
            <w:tcW w:w="9960" w:type="dxa"/>
            <w:vAlign w:val="bottom"/>
          </w:tcPr>
          <w:p>
            <w:pPr>
              <w:ind w:left="20"/>
              <w:spacing w:after="0"/>
              <w:rPr>
                <w:sz w:val="20"/>
                <w:szCs w:val="20"/>
                <w:color w:val="auto"/>
              </w:rPr>
            </w:pPr>
            <w:r>
              <w:rPr>
                <w:rFonts w:ascii="Arial" w:cs="Arial" w:eastAsia="Arial" w:hAnsi="Arial"/>
                <w:sz w:val="18"/>
                <w:szCs w:val="18"/>
                <w:color w:val="auto"/>
              </w:rPr>
              <w:t>2024</w:t>
            </w:r>
          </w:p>
        </w:tc>
        <w:tc>
          <w:tcPr>
            <w:tcW w:w="4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33"/>
        </w:trPr>
        <w:tc>
          <w:tcPr>
            <w:tcW w:w="9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4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w:t>
            </w:r>
          </w:p>
        </w:tc>
      </w:tr>
      <w:tr>
        <w:trPr>
          <w:trHeight w:val="225"/>
        </w:trPr>
        <w:tc>
          <w:tcPr>
            <w:tcW w:w="9960" w:type="dxa"/>
            <w:vAlign w:val="bottom"/>
          </w:tcPr>
          <w:p>
            <w:pPr>
              <w:ind w:left="20"/>
              <w:spacing w:after="0"/>
              <w:rPr>
                <w:sz w:val="20"/>
                <w:szCs w:val="20"/>
                <w:color w:val="auto"/>
              </w:rPr>
            </w:pPr>
            <w:r>
              <w:rPr>
                <w:rFonts w:ascii="Arial" w:cs="Arial" w:eastAsia="Arial" w:hAnsi="Arial"/>
                <w:sz w:val="18"/>
                <w:szCs w:val="18"/>
                <w:color w:val="auto"/>
              </w:rPr>
              <w:t>2026</w:t>
            </w:r>
          </w:p>
        </w:tc>
        <w:tc>
          <w:tcPr>
            <w:tcW w:w="4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39"/>
        </w:trPr>
        <w:tc>
          <w:tcPr>
            <w:tcW w:w="9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4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r>
      <w:tr>
        <w:trPr>
          <w:trHeight w:val="225"/>
        </w:trPr>
        <w:tc>
          <w:tcPr>
            <w:tcW w:w="9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4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r>
      <w:tr>
        <w:trPr>
          <w:trHeight w:val="244"/>
        </w:trPr>
        <w:tc>
          <w:tcPr>
            <w:tcW w:w="9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460" w:type="dxa"/>
            <w:vAlign w:val="bottom"/>
            <w:tcBorders>
              <w:bottom w:val="single" w:sz="8" w:color="auto"/>
            </w:tcBorders>
            <w:shd w:val="clear" w:color="auto" w:fill="CCEEFF"/>
          </w:tcPr>
          <w:p>
            <w:pPr>
              <w:jc w:val="right"/>
              <w:ind w:right="272"/>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104.3</w:t>
            </w:r>
          </w:p>
        </w:tc>
      </w:tr>
      <w:tr>
        <w:trPr>
          <w:trHeight w:val="20"/>
        </w:trPr>
        <w:tc>
          <w:tcPr>
            <w:tcW w:w="99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H — Commitments and Contingencies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Contingencies</w:t>
      </w:r>
    </w:p>
    <w:p>
      <w:pPr>
        <w:spacing w:after="0" w:line="111"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In the ordinary course of business, we are involved in various pending and threatened litigation and regulatory matters related to our operations, some of which include claims for punitive or exemplary damages. Our ordinary course litigation includes purported class action lawsuits, which make allegations related to various aspects of our business. From time to time, we also receive requests for information from various state and federal regulatory authorities, some of which take the form of civil investigative demands or subpoenas. Some of these regulatory inquiries may result in the assessment of fines for violations of regulations or settlements with such authorities requiring a variety of remedies. We believe that no actions, other than those discussed below, if any, depart from customary litigation or regulatory inquiries incidental to our business.</w:t>
      </w:r>
    </w:p>
    <w:p>
      <w:pPr>
        <w:spacing w:after="0" w:line="75" w:lineRule="exact"/>
        <w:rPr>
          <w:sz w:val="20"/>
          <w:szCs w:val="20"/>
          <w:color w:val="auto"/>
        </w:rPr>
      </w:pPr>
    </w:p>
    <w:p>
      <w:pPr>
        <w:jc w:val="both"/>
        <w:ind w:firstLine="318"/>
        <w:spacing w:after="0" w:line="307" w:lineRule="auto"/>
        <w:rPr>
          <w:sz w:val="20"/>
          <w:szCs w:val="20"/>
          <w:color w:val="auto"/>
        </w:rPr>
      </w:pPr>
      <w:r>
        <w:rPr>
          <w:rFonts w:ascii="Arial" w:cs="Arial" w:eastAsia="Arial" w:hAnsi="Arial"/>
          <w:sz w:val="15"/>
          <w:szCs w:val="15"/>
          <w:color w:val="auto"/>
        </w:rPr>
        <w:t>Our Restaurant Group companies are a defendant from time to time in various legal proceedings arising in the ordinary course of business, including claims relating to injury or wrongful death under "dram shop" laws that allow a person to sue us based on any injury caused by an intoxicated person who was wrongfully served alcoholic beverages at one of the restaurants; individual and purported class or collective action claims alleging violation of federal and state employment, franchise and other laws; and claims from guests or employees alleging illness, injury or other food quality, health or operational concerns. Our Restaurant Group companies are also subject to compliance with extensive government laws and regulations related to employment practices and policies and the manufacture, preparation, and sale of food and alcohol. We may also become subject to lawsuits and other proceedings, as well as card network fines and penalties, arising out of the actual or alleged theft of our customers' credit or debit card information.</w:t>
      </w:r>
    </w:p>
    <w:p>
      <w:pPr>
        <w:spacing w:after="0" w:line="47" w:lineRule="exact"/>
        <w:rPr>
          <w:sz w:val="20"/>
          <w:szCs w:val="20"/>
          <w:color w:val="auto"/>
        </w:rPr>
      </w:pPr>
    </w:p>
    <w:p>
      <w:pPr>
        <w:jc w:val="both"/>
        <w:ind w:firstLine="318"/>
        <w:spacing w:after="0" w:line="305" w:lineRule="auto"/>
        <w:rPr>
          <w:sz w:val="20"/>
          <w:szCs w:val="20"/>
          <w:color w:val="auto"/>
        </w:rPr>
      </w:pPr>
      <w:r>
        <w:rPr>
          <w:rFonts w:ascii="Arial" w:cs="Arial" w:eastAsia="Arial" w:hAnsi="Arial"/>
          <w:sz w:val="15"/>
          <w:szCs w:val="15"/>
          <w:color w:val="auto"/>
        </w:rPr>
        <w:t>We review lawsuits and other legal and regulatory matters (collectively "legal proceedings") on an ongoing basis when making accrual and disclosure decisions. When assessing reasonably possible and probable outcomes, management bases its decision on its assessment of the ultimate outcome assuming all appeals have been exhausted. For legal proceedings in which it has been determined that a loss is both probable and reasonably estimable, a liability based on known facts that represents our best estimate is recorded. As of June 30, 2023 and December 31, 2022, our accrual for settlements of legal proceedings was not considered material. Actual losses may materially differ from the amounts recorded and the ultimate outcome of our pending legal proceedings is generally not yet determinable. While some of these matters could be material to our operating results or cash flows for any particular period in the event of an unfavorable outcome, at present, we do not believe that the ultimate resolution of currently pending legal proceedings, either individually or in the aggregate, will have a material adverse effect on our financial condition, results of operations or cash flows.</w:t>
      </w:r>
    </w:p>
    <w:p>
      <w:pPr>
        <w:spacing w:after="0" w:line="37" w:lineRule="exact"/>
        <w:rPr>
          <w:sz w:val="20"/>
          <w:szCs w:val="20"/>
          <w:color w:val="auto"/>
        </w:rPr>
      </w:pPr>
    </w:p>
    <w:p>
      <w:pPr>
        <w:jc w:val="both"/>
        <w:ind w:firstLine="318"/>
        <w:spacing w:after="0" w:line="283" w:lineRule="auto"/>
        <w:rPr>
          <w:sz w:val="20"/>
          <w:szCs w:val="20"/>
          <w:color w:val="auto"/>
        </w:rPr>
      </w:pPr>
      <w:r>
        <w:rPr>
          <w:rFonts w:ascii="Arial" w:cs="Arial" w:eastAsia="Arial" w:hAnsi="Arial"/>
          <w:sz w:val="15"/>
          <w:szCs w:val="15"/>
          <w:color w:val="auto"/>
        </w:rPr>
        <w:t xml:space="preserve">On September 23, 2020, a stockholder derivative lawsuit styled </w:t>
      </w:r>
      <w:r>
        <w:rPr>
          <w:rFonts w:ascii="Arial" w:cs="Arial" w:eastAsia="Arial" w:hAnsi="Arial"/>
          <w:sz w:val="15"/>
          <w:szCs w:val="15"/>
          <w:i w:val="1"/>
          <w:iCs w:val="1"/>
          <w:color w:val="auto"/>
        </w:rPr>
        <w:t>Oklahoma Firefighters Pension &amp; Retirement System, derivatively on behalf of Cannae</w:t>
      </w:r>
      <w:r>
        <w:rPr>
          <w:rFonts w:ascii="Arial" w:cs="Arial" w:eastAsia="Arial" w:hAnsi="Arial"/>
          <w:sz w:val="15"/>
          <w:szCs w:val="15"/>
          <w:color w:val="auto"/>
        </w:rPr>
        <w:t xml:space="preserve"> </w:t>
      </w:r>
      <w:r>
        <w:rPr>
          <w:rFonts w:ascii="Arial" w:cs="Arial" w:eastAsia="Arial" w:hAnsi="Arial"/>
          <w:sz w:val="15"/>
          <w:szCs w:val="15"/>
          <w:i w:val="1"/>
          <w:iCs w:val="1"/>
          <w:color w:val="auto"/>
        </w:rPr>
        <w:t>Holdings, Inc. v. William P. Foley, II, et al.</w:t>
      </w:r>
      <w:r>
        <w:rPr>
          <w:rFonts w:ascii="Arial" w:cs="Arial" w:eastAsia="Arial" w:hAnsi="Arial"/>
          <w:sz w:val="15"/>
          <w:szCs w:val="15"/>
          <w:color w:val="auto"/>
        </w:rPr>
        <w:t>, was filed in the Court of Chancery of the State of Delaware against the Company, certain Board members and</w:t>
      </w:r>
      <w:r>
        <w:rPr>
          <w:rFonts w:ascii="Arial" w:cs="Arial" w:eastAsia="Arial" w:hAnsi="Arial"/>
          <w:sz w:val="15"/>
          <w:szCs w:val="15"/>
          <w:i w:val="1"/>
          <w:iCs w:val="1"/>
          <w:color w:val="auto"/>
        </w:rPr>
        <w:t xml:space="preserve"> </w:t>
      </w:r>
      <w:r>
        <w:rPr>
          <w:rFonts w:ascii="Arial" w:cs="Arial" w:eastAsia="Arial" w:hAnsi="Arial"/>
          <w:sz w:val="15"/>
          <w:szCs w:val="15"/>
          <w:color w:val="auto"/>
        </w:rPr>
        <w:t>officers of the Company, and the Manager, alleging breach of fiduciary duties relating to the Company’s Management Services Agreement. The plaintiff further alleges the Board breached their fiduciary duties by approving bonuses in connection with the initial public offering of Ceridian and the approval of an Investment Success Incentive Plan in August 2018. Along with the Complaint, the plaintiff filed a motion for partial summary judgment as to the count seeking to void the Management Services Agreement. On January 27, 2021, the Company entered into an amendment to the Management Services Agreement and plaintiff withdrew its motion for partial summary judgment as moot. On February 1, 2021, the court ordered the plaintiff's summary judgment motion withdrawn and dismissed the related count of the plaintiff's complaint. On February 18, 2021, our Board formed a Special Litigation Committee (the "SLC") consisting of two of the Board’s Directors, and has authorized the SLC, among other things, to investigate and evaluate the claims and allegations asserted in the lawsuit. The Board has also given the SLC the sole authority and power to consider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CONDENSED CONSOLIDATED FINANCIAL STATEMENTS (UNAUDITED) — </w:t>
      </w:r>
      <w:r>
        <w:rPr>
          <w:rFonts w:ascii="Arial" w:cs="Arial" w:eastAsia="Arial" w:hAnsi="Arial"/>
          <w:sz w:val="16"/>
          <w:szCs w:val="16"/>
          <w:b w:val="1"/>
          <w:bCs w:val="1"/>
          <w:color w:val="auto"/>
        </w:rPr>
        <w:t>continued</w:t>
      </w:r>
    </w:p>
    <w:p>
      <w:pPr>
        <w:spacing w:after="0" w:line="200" w:lineRule="exact"/>
        <w:rPr>
          <w:sz w:val="20"/>
          <w:szCs w:val="20"/>
          <w:color w:val="auto"/>
        </w:rPr>
      </w:pPr>
    </w:p>
    <w:p>
      <w:pPr>
        <w:spacing w:after="0" w:line="364" w:lineRule="exact"/>
        <w:rPr>
          <w:sz w:val="20"/>
          <w:szCs w:val="20"/>
          <w:color w:val="auto"/>
        </w:rPr>
      </w:pPr>
    </w:p>
    <w:p>
      <w:pPr>
        <w:jc w:val="both"/>
        <w:spacing w:after="0" w:line="312" w:lineRule="auto"/>
        <w:rPr>
          <w:sz w:val="20"/>
          <w:szCs w:val="20"/>
          <w:color w:val="auto"/>
        </w:rPr>
      </w:pPr>
      <w:r>
        <w:rPr>
          <w:rFonts w:ascii="Arial" w:cs="Arial" w:eastAsia="Arial" w:hAnsi="Arial"/>
          <w:sz w:val="15"/>
          <w:szCs w:val="15"/>
          <w:color w:val="auto"/>
        </w:rPr>
        <w:t>determine whether or not prosecution of the claims asserted in the lawsuit is in the best interest of the Company and its shareholders, and what action the Company should take with respect to the lawsuit. On March 9, 2021, the Court entered a stipulated Order staying the action for six months to allow the SLC to investigate, review, and evaluate the facts, circumstances, and claims asserted in or relating to the action and to determine the Company’s response thereto.</w:t>
      </w:r>
    </w:p>
    <w:p>
      <w:pPr>
        <w:spacing w:after="0" w:line="30" w:lineRule="exact"/>
        <w:rPr>
          <w:sz w:val="20"/>
          <w:szCs w:val="20"/>
          <w:color w:val="auto"/>
        </w:rPr>
      </w:pPr>
    </w:p>
    <w:p>
      <w:pPr>
        <w:jc w:val="both"/>
        <w:ind w:firstLine="318"/>
        <w:spacing w:after="0" w:line="273" w:lineRule="auto"/>
        <w:rPr>
          <w:sz w:val="20"/>
          <w:szCs w:val="20"/>
          <w:color w:val="auto"/>
        </w:rPr>
      </w:pPr>
      <w:r>
        <w:rPr>
          <w:rFonts w:ascii="Arial" w:cs="Arial" w:eastAsia="Arial" w:hAnsi="Arial"/>
          <w:sz w:val="15"/>
          <w:szCs w:val="15"/>
          <w:color w:val="auto"/>
        </w:rPr>
        <w:t>On October 25, 2022, the parties, including the SLC acting on behalf of the Company, reached an agreement-in-principle to settle the action, subject to various terms and conditions, as well as court approval. On March 10, 2023, the parties formalized their settlement and entered into a Stipulation and Agreement of Compromise, Settlement and Release which has been filed with the court. The agreement includes, among other things, a payment of $6 million in cash to the Company, amendments to the Management Services Agreement between the Company and the Manager, and corporate governance changes. On June 8, 2023, the court entered an Order and Final Judgment approving the settlement in all respects and dismissing the lawsuit. The net settlement amount has been paid to the Company, and the parties are in the process of complying with the remaining terms of the settlement. The net settlement is recorded in Recognized gains (losses), net on our Condensed Consolidated Statement of Operations in the three months ended June 30, 2023.</w:t>
      </w:r>
    </w:p>
    <w:p>
      <w:pPr>
        <w:spacing w:after="0" w:line="5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Unconditional Purchase Obligations</w:t>
      </w:r>
    </w:p>
    <w:p>
      <w:pPr>
        <w:spacing w:after="0" w:line="98"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We have certain unconditional purchase obligations, primarily in our Restaurant Group segment. These purchase obligations are with various vendors and are primarily related to food and beverage obligations with fixed commitments in regards to the time period of the contract and the quantities purchased with annual price adjustments that can fluctuate. We used both historical and projected volume and pricing as of June 30, 2023 to determine the amount of the obligations. Purchase obligations as of June 30, 2023 are as follows (in millions):</w:t>
      </w:r>
    </w:p>
    <w:p>
      <w:pPr>
        <w:spacing w:after="0" w:line="125" w:lineRule="exact"/>
        <w:rPr>
          <w:sz w:val="20"/>
          <w:szCs w:val="20"/>
          <w:color w:val="auto"/>
        </w:rPr>
      </w:pPr>
    </w:p>
    <w:tbl>
      <w:tblPr>
        <w:tblLayout w:type="fixed"/>
        <w:tblInd w:w="20" w:type="dxa"/>
        <w:tblCellMar>
          <w:top w:w="0" w:type="dxa"/>
          <w:left w:w="0" w:type="dxa"/>
          <w:bottom w:w="0" w:type="dxa"/>
          <w:right w:w="0" w:type="dxa"/>
        </w:tblCellMar>
      </w:tblPr>
      <w:tr>
        <w:trPr>
          <w:trHeight w:val="226"/>
        </w:trPr>
        <w:tc>
          <w:tcPr>
            <w:tcW w:w="9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 (remaining)</w:t>
            </w:r>
          </w:p>
        </w:tc>
        <w:tc>
          <w:tcPr>
            <w:tcW w:w="48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w:t>
            </w:r>
          </w:p>
        </w:tc>
      </w:tr>
      <w:tr>
        <w:trPr>
          <w:trHeight w:val="232"/>
        </w:trPr>
        <w:tc>
          <w:tcPr>
            <w:tcW w:w="9980" w:type="dxa"/>
            <w:vAlign w:val="bottom"/>
          </w:tcPr>
          <w:p>
            <w:pPr>
              <w:ind w:left="20"/>
              <w:spacing w:after="0"/>
              <w:rPr>
                <w:sz w:val="20"/>
                <w:szCs w:val="20"/>
                <w:color w:val="auto"/>
              </w:rPr>
            </w:pPr>
            <w:r>
              <w:rPr>
                <w:rFonts w:ascii="Arial" w:cs="Arial" w:eastAsia="Arial" w:hAnsi="Arial"/>
                <w:sz w:val="18"/>
                <w:szCs w:val="18"/>
                <w:color w:val="auto"/>
              </w:rPr>
              <w:t>2024</w:t>
            </w:r>
          </w:p>
        </w:tc>
        <w:tc>
          <w:tcPr>
            <w:tcW w:w="4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33"/>
        </w:trPr>
        <w:tc>
          <w:tcPr>
            <w:tcW w:w="9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4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r>
      <w:tr>
        <w:trPr>
          <w:trHeight w:val="225"/>
        </w:trPr>
        <w:tc>
          <w:tcPr>
            <w:tcW w:w="9980" w:type="dxa"/>
            <w:vAlign w:val="bottom"/>
          </w:tcPr>
          <w:p>
            <w:pPr>
              <w:ind w:left="20"/>
              <w:spacing w:after="0"/>
              <w:rPr>
                <w:sz w:val="20"/>
                <w:szCs w:val="20"/>
                <w:color w:val="auto"/>
              </w:rPr>
            </w:pPr>
            <w:r>
              <w:rPr>
                <w:rFonts w:ascii="Arial" w:cs="Arial" w:eastAsia="Arial" w:hAnsi="Arial"/>
                <w:sz w:val="18"/>
                <w:szCs w:val="18"/>
                <w:color w:val="auto"/>
              </w:rPr>
              <w:t>2026</w:t>
            </w:r>
          </w:p>
        </w:tc>
        <w:tc>
          <w:tcPr>
            <w:tcW w:w="4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39"/>
        </w:trPr>
        <w:tc>
          <w:tcPr>
            <w:tcW w:w="9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4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9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4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4"/>
        </w:trPr>
        <w:tc>
          <w:tcPr>
            <w:tcW w:w="9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purchase commitments</w:t>
            </w:r>
          </w:p>
        </w:tc>
        <w:tc>
          <w:tcPr>
            <w:tcW w:w="480" w:type="dxa"/>
            <w:vAlign w:val="bottom"/>
            <w:tcBorders>
              <w:bottom w:val="single" w:sz="8" w:color="auto"/>
            </w:tcBorders>
            <w:shd w:val="clear" w:color="auto" w:fill="CCEEFF"/>
          </w:tcPr>
          <w:p>
            <w:pPr>
              <w:jc w:val="right"/>
              <w:ind w:right="272"/>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62.9</w:t>
            </w:r>
          </w:p>
        </w:tc>
      </w:tr>
      <w:tr>
        <w:trPr>
          <w:trHeight w:val="20"/>
        </w:trPr>
        <w:tc>
          <w:tcPr>
            <w:tcW w:w="99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bl>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I — Supplemental Cash Flow Information</w:t>
      </w:r>
    </w:p>
    <w:p>
      <w:pPr>
        <w:spacing w:after="0" w:line="117"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8"/>
          <w:szCs w:val="18"/>
          <w:color w:val="auto"/>
        </w:rPr>
        <w:t>The following supplemental cash flow information is provided with respect to certain cash payments, as well as certain non-cash investing and financing activities.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60" w:type="dxa"/>
            <w:vAlign w:val="bottom"/>
          </w:tcPr>
          <w:p>
            <w:pPr>
              <w:spacing w:after="0"/>
              <w:rPr>
                <w:sz w:val="16"/>
                <w:szCs w:val="16"/>
                <w:color w:val="auto"/>
              </w:rPr>
            </w:pPr>
          </w:p>
        </w:tc>
        <w:tc>
          <w:tcPr>
            <w:tcW w:w="2460" w:type="dxa"/>
            <w:vAlign w:val="bottom"/>
            <w:gridSpan w:val="4"/>
          </w:tcPr>
          <w:p>
            <w:pPr>
              <w:jc w:val="center"/>
              <w:ind w:left="443"/>
              <w:spacing w:after="0"/>
              <w:rPr>
                <w:sz w:val="20"/>
                <w:szCs w:val="20"/>
                <w:color w:val="auto"/>
              </w:rPr>
            </w:pPr>
            <w:r>
              <w:rPr>
                <w:rFonts w:ascii="Arial" w:cs="Arial" w:eastAsia="Arial" w:hAnsi="Arial"/>
                <w:sz w:val="14"/>
                <w:szCs w:val="14"/>
                <w:b w:val="1"/>
                <w:bCs w:val="1"/>
                <w:color w:val="auto"/>
                <w:w w:val="89"/>
              </w:rPr>
              <w:t>Six months ended June 30,</w:t>
            </w:r>
          </w:p>
        </w:tc>
        <w:tc>
          <w:tcPr>
            <w:tcW w:w="520" w:type="dxa"/>
            <w:vAlign w:val="bottom"/>
          </w:tcPr>
          <w:p>
            <w:pPr>
              <w:spacing w:after="0"/>
              <w:rPr>
                <w:sz w:val="16"/>
                <w:szCs w:val="16"/>
                <w:color w:val="auto"/>
              </w:rPr>
            </w:pPr>
          </w:p>
        </w:tc>
      </w:tr>
      <w:tr>
        <w:trPr>
          <w:trHeight w:val="24"/>
        </w:trPr>
        <w:tc>
          <w:tcPr>
            <w:tcW w:w="826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178"/>
        </w:trPr>
        <w:tc>
          <w:tcPr>
            <w:tcW w:w="8260" w:type="dxa"/>
            <w:vAlign w:val="bottom"/>
          </w:tcPr>
          <w:p>
            <w:pPr>
              <w:spacing w:after="0"/>
              <w:rPr>
                <w:sz w:val="15"/>
                <w:szCs w:val="15"/>
                <w:color w:val="auto"/>
              </w:rPr>
            </w:pPr>
          </w:p>
        </w:tc>
        <w:tc>
          <w:tcPr>
            <w:tcW w:w="1000" w:type="dxa"/>
            <w:vAlign w:val="bottom"/>
            <w:tcBorders>
              <w:bottom w:val="single" w:sz="8" w:color="auto"/>
            </w:tcBorders>
          </w:tcPr>
          <w:p>
            <w:pPr>
              <w:jc w:val="right"/>
              <w:ind w:right="63"/>
              <w:spacing w:after="0"/>
              <w:rPr>
                <w:sz w:val="20"/>
                <w:szCs w:val="20"/>
                <w:color w:val="auto"/>
              </w:rPr>
            </w:pPr>
            <w:r>
              <w:rPr>
                <w:rFonts w:ascii="Arial" w:cs="Arial" w:eastAsia="Arial" w:hAnsi="Arial"/>
                <w:sz w:val="14"/>
                <w:szCs w:val="14"/>
                <w:b w:val="1"/>
                <w:bCs w:val="1"/>
                <w:color w:val="auto"/>
              </w:rPr>
              <w:t>2023</w:t>
            </w:r>
          </w:p>
        </w:tc>
        <w:tc>
          <w:tcPr>
            <w:tcW w:w="4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20" w:type="dxa"/>
            <w:vAlign w:val="bottom"/>
            <w:tcBorders>
              <w:bottom w:val="single" w:sz="8" w:color="auto"/>
            </w:tcBorders>
          </w:tcPr>
          <w:p>
            <w:pPr>
              <w:spacing w:after="0"/>
              <w:rPr>
                <w:sz w:val="15"/>
                <w:szCs w:val="15"/>
                <w:color w:val="auto"/>
              </w:rPr>
            </w:pPr>
          </w:p>
        </w:tc>
      </w:tr>
      <w:tr>
        <w:trPr>
          <w:trHeight w:val="186"/>
        </w:trPr>
        <w:tc>
          <w:tcPr>
            <w:tcW w:w="8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60" w:type="dxa"/>
            <w:vAlign w:val="bottom"/>
            <w:gridSpan w:val="3"/>
          </w:tcPr>
          <w:p>
            <w:pPr>
              <w:jc w:val="center"/>
              <w:ind w:right="409"/>
              <w:spacing w:after="0"/>
              <w:rPr>
                <w:sz w:val="20"/>
                <w:szCs w:val="20"/>
                <w:color w:val="auto"/>
              </w:rPr>
            </w:pPr>
            <w:r>
              <w:rPr>
                <w:rFonts w:ascii="Arial" w:cs="Arial" w:eastAsia="Arial" w:hAnsi="Arial"/>
                <w:sz w:val="14"/>
                <w:szCs w:val="14"/>
                <w:b w:val="1"/>
                <w:bCs w:val="1"/>
                <w:color w:val="auto"/>
                <w:w w:val="94"/>
              </w:rPr>
              <w:t>(In millions)</w:t>
            </w:r>
          </w:p>
        </w:tc>
        <w:tc>
          <w:tcPr>
            <w:tcW w:w="520" w:type="dxa"/>
            <w:vAlign w:val="bottom"/>
          </w:tcPr>
          <w:p>
            <w:pPr>
              <w:spacing w:after="0"/>
              <w:rPr>
                <w:sz w:val="16"/>
                <w:szCs w:val="16"/>
                <w:color w:val="auto"/>
              </w:rPr>
            </w:pPr>
          </w:p>
        </w:tc>
      </w:tr>
      <w:tr>
        <w:trPr>
          <w:trHeight w:val="233"/>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during the period:</w:t>
            </w:r>
          </w:p>
        </w:tc>
        <w:tc>
          <w:tcPr>
            <w:tcW w:w="10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r>
      <w:tr>
        <w:trPr>
          <w:trHeight w:val="225"/>
        </w:trPr>
        <w:tc>
          <w:tcPr>
            <w:tcW w:w="8260" w:type="dxa"/>
            <w:vAlign w:val="bottom"/>
          </w:tcPr>
          <w:p>
            <w:pPr>
              <w:ind w:left="140"/>
              <w:spacing w:after="0"/>
              <w:rPr>
                <w:sz w:val="20"/>
                <w:szCs w:val="20"/>
                <w:color w:val="auto"/>
              </w:rPr>
            </w:pPr>
            <w:r>
              <w:rPr>
                <w:rFonts w:ascii="Arial" w:cs="Arial" w:eastAsia="Arial" w:hAnsi="Arial"/>
                <w:sz w:val="18"/>
                <w:szCs w:val="18"/>
                <w:color w:val="auto"/>
              </w:rPr>
              <w:t>Interest</w:t>
            </w:r>
          </w:p>
        </w:tc>
        <w:tc>
          <w:tcPr>
            <w:tcW w:w="1000" w:type="dxa"/>
            <w:vAlign w:val="bottom"/>
          </w:tcPr>
          <w:p>
            <w:pPr>
              <w:jc w:val="right"/>
              <w:ind w:right="823"/>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7.0</w:t>
            </w:r>
          </w:p>
        </w:tc>
        <w:tc>
          <w:tcPr>
            <w:tcW w:w="1040" w:type="dxa"/>
            <w:vAlign w:val="bottom"/>
            <w:gridSpan w:val="2"/>
          </w:tcPr>
          <w:p>
            <w:pPr>
              <w:jc w:val="right"/>
              <w:ind w:right="729"/>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39"/>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taxes</w:t>
            </w:r>
          </w:p>
        </w:tc>
        <w:tc>
          <w:tcPr>
            <w:tcW w:w="1000" w:type="dxa"/>
            <w:vAlign w:val="bottom"/>
            <w:shd w:val="clear" w:color="auto" w:fill="CCEEFF"/>
          </w:tcPr>
          <w:p>
            <w:pPr>
              <w:spacing w:after="0"/>
              <w:rPr>
                <w:sz w:val="20"/>
                <w:szCs w:val="20"/>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w:t>
            </w:r>
          </w:p>
        </w:tc>
      </w:tr>
      <w:tr>
        <w:trPr>
          <w:trHeight w:val="225"/>
        </w:trPr>
        <w:tc>
          <w:tcPr>
            <w:tcW w:w="8260" w:type="dxa"/>
            <w:vAlign w:val="bottom"/>
          </w:tcPr>
          <w:p>
            <w:pPr>
              <w:ind w:left="20"/>
              <w:spacing w:after="0"/>
              <w:rPr>
                <w:sz w:val="20"/>
                <w:szCs w:val="20"/>
                <w:color w:val="auto"/>
              </w:rPr>
            </w:pPr>
            <w:r>
              <w:rPr>
                <w:rFonts w:ascii="Arial" w:cs="Arial" w:eastAsia="Arial" w:hAnsi="Arial"/>
                <w:sz w:val="18"/>
                <w:szCs w:val="18"/>
                <w:color w:val="auto"/>
              </w:rPr>
              <w:t>Non-cash investing and financing activities:</w:t>
            </w:r>
          </w:p>
        </w:tc>
        <w:tc>
          <w:tcPr>
            <w:tcW w:w="1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226"/>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D&amp;B shares received as partial consideration for the Optimal Blue Disposition</w:t>
            </w:r>
          </w:p>
        </w:tc>
        <w:tc>
          <w:tcPr>
            <w:tcW w:w="10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435.0</w:t>
            </w:r>
          </w:p>
        </w:tc>
      </w:tr>
      <w:tr>
        <w:trPr>
          <w:trHeight w:val="861"/>
        </w:trPr>
        <w:tc>
          <w:tcPr>
            <w:tcW w:w="8260" w:type="dxa"/>
            <w:vAlign w:val="bottom"/>
          </w:tcPr>
          <w:p>
            <w:pPr>
              <w:ind w:left="5540"/>
              <w:spacing w:after="0"/>
              <w:rPr>
                <w:sz w:val="20"/>
                <w:szCs w:val="20"/>
                <w:color w:val="auto"/>
              </w:rPr>
            </w:pPr>
            <w:r>
              <w:rPr>
                <w:rFonts w:ascii="Arial" w:cs="Arial" w:eastAsia="Arial" w:hAnsi="Arial"/>
                <w:sz w:val="18"/>
                <w:szCs w:val="18"/>
                <w:color w:val="auto"/>
              </w:rPr>
              <w:t>19</w:t>
            </w:r>
          </w:p>
        </w:tc>
        <w:tc>
          <w:tcPr>
            <w:tcW w:w="1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14"/>
        </w:trPr>
        <w:tc>
          <w:tcPr>
            <w:tcW w:w="826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17" w:lineRule="exact"/>
        <w:rPr>
          <w:sz w:val="20"/>
          <w:szCs w:val="20"/>
          <w:color w:val="auto"/>
        </w:rPr>
      </w:pPr>
    </w:p>
    <w:p>
      <w:pPr>
        <w:jc w:val="both"/>
        <w:ind w:firstLine="318"/>
        <w:spacing w:after="0" w:line="263" w:lineRule="auto"/>
        <w:rPr>
          <w:sz w:val="20"/>
          <w:szCs w:val="20"/>
          <w:color w:val="auto"/>
        </w:rPr>
      </w:pPr>
      <w:r>
        <w:rPr>
          <w:rFonts w:ascii="Arial" w:cs="Arial" w:eastAsia="Arial" w:hAnsi="Arial"/>
          <w:sz w:val="17"/>
          <w:szCs w:val="17"/>
          <w:color w:val="auto"/>
        </w:rPr>
        <w:t>The statements contained in this Quarterly Report on Form 10-Q (this "Quarterly Report") that are not purely historical are forward-looking statements within the meaning of Section 27A of the Securities Act of 1933, as amended, and Section 21E of the Securities Exchange Act of 1934, as amended (the "Exchange Act"), including statements regarding our expectations, hopes, intentions or strategies regarding the future. All forward-looking statements included in this document are based on information available to us on the date hereof, and we assume no obligation to update any such forward-looking statements. It is important to note that our actual results could vary materially from those forward-looking statements contained herein due to many factors, including, but not limited to: changes in general economic, business and political conditions, including changes in the financial markets and changes in macroeconomic conditions resulting from the outbreak of a pandemic or escalation of the current conflict between Russia and Ukraine; risks associated with the Investment Company Act of 1940; our potential inability to find suitable acquisition candidates, acquisitions in lines of business that will not necessarily be limited to our traditional areas of focus, or difficulties in integrating acquisitions; significant competition that our operating subsidiaries face; risks related to the externalization of certain of our management functions to our Manager; and other risks detailed in the "Statement Regarding Forward-Looking Information," "Risk Factors" and other sections of our Annual Report on Form 10-K for the year ended December 31, 2022 (our "Annual Report") and other filings with the SEC.</w:t>
      </w:r>
    </w:p>
    <w:p>
      <w:pPr>
        <w:spacing w:after="0" w:line="6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discussion should be read in conjunction with our Annual Report.</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1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 xml:space="preserve">For a description of our business, including descriptions of segments and recent business developments, see the discussion in Note A - </w:t>
      </w:r>
      <w:r>
        <w:rPr>
          <w:rFonts w:ascii="Arial" w:cs="Arial" w:eastAsia="Arial" w:hAnsi="Arial"/>
          <w:sz w:val="18"/>
          <w:szCs w:val="18"/>
          <w:i w:val="1"/>
          <w:iCs w:val="1"/>
          <w:color w:val="auto"/>
        </w:rPr>
        <w:t>Basis of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Statements </w:t>
      </w:r>
      <w:r>
        <w:rPr>
          <w:rFonts w:ascii="Arial" w:cs="Arial" w:eastAsia="Arial" w:hAnsi="Arial"/>
          <w:sz w:val="18"/>
          <w:szCs w:val="18"/>
          <w:color w:val="auto"/>
        </w:rPr>
        <w:t>to the Condensed Consolidated Financial Statements included in Item 1 of Part I of this Quarterly Report, which is incorporated by reference into</w:t>
      </w:r>
      <w:r>
        <w:rPr>
          <w:rFonts w:ascii="Arial" w:cs="Arial" w:eastAsia="Arial" w:hAnsi="Arial"/>
          <w:sz w:val="18"/>
          <w:szCs w:val="18"/>
          <w:i w:val="1"/>
          <w:iCs w:val="1"/>
          <w:color w:val="auto"/>
        </w:rPr>
        <w:t xml:space="preserve"> </w:t>
      </w:r>
      <w:r>
        <w:rPr>
          <w:rFonts w:ascii="Arial" w:cs="Arial" w:eastAsia="Arial" w:hAnsi="Arial"/>
          <w:sz w:val="18"/>
          <w:szCs w:val="18"/>
          <w:color w:val="auto"/>
        </w:rPr>
        <w:t>this Part I, Item 2.</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Trends and Conditions</w:t>
      </w:r>
    </w:p>
    <w:p>
      <w:pPr>
        <w:spacing w:after="0" w:line="117"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i w:val="1"/>
          <w:iCs w:val="1"/>
          <w:color w:val="auto"/>
        </w:rPr>
        <w:t xml:space="preserve">Dun &amp; Bradstreet. </w:t>
      </w:r>
      <w:r>
        <w:rPr>
          <w:rFonts w:ascii="Arial" w:cs="Arial" w:eastAsia="Arial" w:hAnsi="Arial"/>
          <w:sz w:val="18"/>
          <w:szCs w:val="18"/>
          <w:color w:val="auto"/>
        </w:rPr>
        <w:t>D&amp;B believes there are several key trends in the global macroeconomic environment generating additional growth in D&amp;B's total</w:t>
      </w:r>
      <w:r>
        <w:rPr>
          <w:rFonts w:ascii="Arial" w:cs="Arial" w:eastAsia="Arial" w:hAnsi="Arial"/>
          <w:sz w:val="18"/>
          <w:szCs w:val="18"/>
          <w:i w:val="1"/>
          <w:iCs w:val="1"/>
          <w:color w:val="auto"/>
        </w:rPr>
        <w:t xml:space="preserve"> </w:t>
      </w:r>
      <w:r>
        <w:rPr>
          <w:rFonts w:ascii="Arial" w:cs="Arial" w:eastAsia="Arial" w:hAnsi="Arial"/>
          <w:sz w:val="18"/>
          <w:szCs w:val="18"/>
          <w:color w:val="auto"/>
        </w:rPr>
        <w:t>addressable market and increasing the demand for its solutions, including growing recognition by business of the value of analytics and data-informed business decisioning, growth in data creation and applications driven by the proliferation of new technologies with new data sets and applications, advances in analytical capabilities that are unlocking the value of data, and heightened compliance requirements in the regulatory environment for business driven by the growth of new technologies.</w:t>
      </w:r>
    </w:p>
    <w:p>
      <w:pPr>
        <w:spacing w:after="0" w:line="89"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i w:val="1"/>
          <w:iCs w:val="1"/>
          <w:color w:val="auto"/>
        </w:rPr>
        <w:t>Restaurant Group</w:t>
      </w:r>
      <w:r>
        <w:rPr>
          <w:rFonts w:ascii="Arial" w:cs="Arial" w:eastAsia="Arial" w:hAnsi="Arial"/>
          <w:sz w:val="17"/>
          <w:szCs w:val="17"/>
          <w:color w:val="auto"/>
        </w:rPr>
        <w:t>. The restaurant industry is characterized by high capital investments for new restaurants and relatively high fixed or semi-variable</w:t>
      </w:r>
      <w:r>
        <w:rPr>
          <w:rFonts w:ascii="Arial" w:cs="Arial" w:eastAsia="Arial" w:hAnsi="Arial"/>
          <w:sz w:val="17"/>
          <w:szCs w:val="17"/>
          <w:i w:val="1"/>
          <w:iCs w:val="1"/>
          <w:color w:val="auto"/>
        </w:rPr>
        <w:t xml:space="preserve"> </w:t>
      </w:r>
      <w:r>
        <w:rPr>
          <w:rFonts w:ascii="Arial" w:cs="Arial" w:eastAsia="Arial" w:hAnsi="Arial"/>
          <w:sz w:val="17"/>
          <w:szCs w:val="17"/>
          <w:color w:val="auto"/>
        </w:rPr>
        <w:t>restaurant operating expenses. Because of the high fixed and semi-variable expenses, changes in sales in existing restaurants are generally expected to significantly affect restaurant profitability because many restaurant costs and expenses are not expected to change at the same rate as sales. The most significant commodities that may affect our cost of food and beverage are beef, seafood, poultry, and dairy, which accounted for approximately half of our overall cost of food and beverage in the past. Generally, temporary increases in these costs are not passed on to guests; however, in the past, we have adjusted menu prices to compensate for increased costs of a more permanent nature.</w:t>
      </w:r>
    </w:p>
    <w:p>
      <w:pPr>
        <w:spacing w:after="0" w:line="75"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We are currently operating in a period of high inflation relative to long term inflation expectations in the United States. This inflationary environment is primarily impacting the commodity and labor costs of our Restaurant Group. We have adjusted menu pricing to at least partially account for these cost increases, but will continue to balance menu pricing with the impact of inflationary pressures on costs and the value proposition offered to customers.</w:t>
      </w:r>
    </w:p>
    <w:p>
      <w:pPr>
        <w:spacing w:after="0" w:line="3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Average weekly sales per restaurant are typically higher in the first and fourth quarters than in other quarters, and we typically generate a disproportionate share of our earnings from operations in the first and fourth quarters. Holidays, severe weather and other disruptive conditions may impact sales volumes seasonally in some operating regions.</w:t>
      </w:r>
    </w:p>
    <w:p>
      <w:pPr>
        <w:spacing w:after="0" w:line="83"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8"/>
          <w:szCs w:val="18"/>
          <w:color w:val="auto"/>
        </w:rPr>
        <w:t>Our revenues and operating income in future periods will continue to be subject to these and other factors that are beyond our control and, as a result, are likely to fluctuate.</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1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Our consolidated financial statements are prepared in accordance with U.S. GAAP. The Critical Accounting Policies and Estimates disclosed in Item 7 of our Annual Report are hereby incorporated by reference. Other than as described below, there have been no changes to our critical accounting policies and estimates.</w:t>
      </w:r>
    </w:p>
    <w:p>
      <w:pPr>
        <w:spacing w:after="0" w:line="83" w:lineRule="exact"/>
        <w:rPr>
          <w:sz w:val="20"/>
          <w:szCs w:val="20"/>
          <w:color w:val="auto"/>
        </w:rPr>
      </w:pPr>
    </w:p>
    <w:p>
      <w:pPr>
        <w:jc w:val="both"/>
        <w:ind w:firstLine="318"/>
        <w:spacing w:after="0" w:line="319" w:lineRule="auto"/>
        <w:rPr>
          <w:sz w:val="20"/>
          <w:szCs w:val="20"/>
          <w:color w:val="auto"/>
        </w:rPr>
      </w:pPr>
      <w:r>
        <w:rPr>
          <w:rFonts w:ascii="Arial" w:cs="Arial" w:eastAsia="Arial" w:hAnsi="Arial"/>
          <w:sz w:val="15"/>
          <w:szCs w:val="15"/>
          <w:i w:val="1"/>
          <w:iCs w:val="1"/>
          <w:color w:val="auto"/>
        </w:rPr>
        <w:t>Investments in unconsolidated affiliates - impairment monitoring</w:t>
      </w:r>
      <w:r>
        <w:rPr>
          <w:rFonts w:ascii="Arial" w:cs="Arial" w:eastAsia="Arial" w:hAnsi="Arial"/>
          <w:sz w:val="15"/>
          <w:szCs w:val="15"/>
          <w:color w:val="auto"/>
        </w:rPr>
        <w:t>. On an ongoing basis, management monitors the Company's investments in</w:t>
      </w:r>
      <w:r>
        <w:rPr>
          <w:rFonts w:ascii="Arial" w:cs="Arial" w:eastAsia="Arial" w:hAnsi="Arial"/>
          <w:sz w:val="15"/>
          <w:szCs w:val="15"/>
          <w:i w:val="1"/>
          <w:iCs w:val="1"/>
          <w:color w:val="auto"/>
        </w:rPr>
        <w:t xml:space="preserve"> </w:t>
      </w:r>
      <w:r>
        <w:rPr>
          <w:rFonts w:ascii="Arial" w:cs="Arial" w:eastAsia="Arial" w:hAnsi="Arial"/>
          <w:sz w:val="15"/>
          <w:szCs w:val="15"/>
          <w:color w:val="auto"/>
        </w:rPr>
        <w:t>unconsolidated affiliates to determine whether there are indications that the fair value of an investment may be other-than-temporarily below our recorded book value of the investment. Factors considered when determining whether a decline in the fair value of an investment is other-than-temporary include, but are not limited to: the length of time and the extent to which the market value has been less than book value, the financial condition and near-term</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prospects of the investee, and the intent and ability of the Company to retain its investment in the investee for a period of time sufficient to allow for any anticipated recovery in market value.</w:t>
      </w:r>
    </w:p>
    <w:p>
      <w:pPr>
        <w:spacing w:after="0" w:line="74"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As of June 30, 2023, the fair value of our ownership interest in Alight based on quoted market prices was $484.9 million and the book value of our recorded asset for Alight was $525.1 million. While the fair value of our investment in Alight is below our book value, there are no other indicators that our investment is other than temporarily impaired. Alight has consistently outperformed market expectations and our expectations for its results of operations from when we initially invested in Alight. Due to these factors, we consider the decline in value to be temporary as of June 30, 2023. Though we do not currently anticipate any material impact, because the fair value is currently below the book value of our investment in Alight, declines in fair value of the investment or deterioration in Alight's actual or forecasted results of operations could result in an impairment charge in future periods to record our asset at fair value.</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Results of Operations</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 xml:space="preserve">Net Earnings. </w:t>
      </w:r>
      <w:r>
        <w:rPr>
          <w:rFonts w:ascii="Arial" w:cs="Arial" w:eastAsia="Arial" w:hAnsi="Arial"/>
          <w:sz w:val="18"/>
          <w:szCs w:val="18"/>
          <w:color w:val="auto"/>
        </w:rPr>
        <w:t>The following table presents certain financial data for the periods indicated:</w:t>
      </w:r>
    </w:p>
    <w:p>
      <w:pPr>
        <w:spacing w:after="0" w:line="141"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6040" w:type="dxa"/>
            <w:vAlign w:val="bottom"/>
          </w:tcPr>
          <w:p>
            <w:pPr>
              <w:spacing w:after="0"/>
              <w:rPr>
                <w:sz w:val="16"/>
                <w:szCs w:val="16"/>
                <w:color w:val="auto"/>
              </w:rPr>
            </w:pPr>
          </w:p>
        </w:tc>
        <w:tc>
          <w:tcPr>
            <w:tcW w:w="2500" w:type="dxa"/>
            <w:vAlign w:val="bottom"/>
            <w:gridSpan w:val="5"/>
          </w:tcPr>
          <w:p>
            <w:pPr>
              <w:jc w:val="right"/>
              <w:ind w:right="281"/>
              <w:spacing w:after="0"/>
              <w:rPr>
                <w:sz w:val="20"/>
                <w:szCs w:val="20"/>
                <w:color w:val="auto"/>
              </w:rPr>
            </w:pPr>
            <w:r>
              <w:rPr>
                <w:rFonts w:ascii="Arial" w:cs="Arial" w:eastAsia="Arial" w:hAnsi="Arial"/>
                <w:sz w:val="14"/>
                <w:szCs w:val="14"/>
                <w:b w:val="1"/>
                <w:bCs w:val="1"/>
                <w:color w:val="auto"/>
              </w:rPr>
              <w:t>Three months ended June 30,</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40" w:type="dxa"/>
            <w:vAlign w:val="bottom"/>
            <w:gridSpan w:val="4"/>
          </w:tcPr>
          <w:p>
            <w:pPr>
              <w:jc w:val="right"/>
              <w:ind w:right="381"/>
              <w:spacing w:after="0"/>
              <w:rPr>
                <w:sz w:val="20"/>
                <w:szCs w:val="20"/>
                <w:color w:val="auto"/>
              </w:rPr>
            </w:pPr>
            <w:r>
              <w:rPr>
                <w:rFonts w:ascii="Arial" w:cs="Arial" w:eastAsia="Arial" w:hAnsi="Arial"/>
                <w:sz w:val="14"/>
                <w:szCs w:val="14"/>
                <w:b w:val="1"/>
                <w:bCs w:val="1"/>
                <w:color w:val="auto"/>
                <w:w w:val="97"/>
              </w:rPr>
              <w:t>Six months ended June 30,</w:t>
            </w:r>
          </w:p>
        </w:tc>
      </w:tr>
      <w:tr>
        <w:trPr>
          <w:trHeight w:val="24"/>
        </w:trPr>
        <w:tc>
          <w:tcPr>
            <w:tcW w:w="604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78"/>
        </w:trPr>
        <w:tc>
          <w:tcPr>
            <w:tcW w:w="6040" w:type="dxa"/>
            <w:vAlign w:val="bottom"/>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4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2022</w:t>
            </w:r>
          </w:p>
        </w:tc>
      </w:tr>
      <w:tr>
        <w:trPr>
          <w:trHeight w:val="186"/>
        </w:trPr>
        <w:tc>
          <w:tcPr>
            <w:tcW w:w="60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20" w:type="dxa"/>
            <w:vAlign w:val="bottom"/>
            <w:gridSpan w:val="4"/>
          </w:tcPr>
          <w:p>
            <w:pPr>
              <w:jc w:val="right"/>
              <w:ind w:right="561"/>
              <w:spacing w:after="0"/>
              <w:rPr>
                <w:sz w:val="20"/>
                <w:szCs w:val="20"/>
                <w:color w:val="auto"/>
              </w:rPr>
            </w:pPr>
            <w:r>
              <w:rPr>
                <w:rFonts w:ascii="Arial" w:cs="Arial" w:eastAsia="Arial" w:hAnsi="Arial"/>
                <w:sz w:val="14"/>
                <w:szCs w:val="14"/>
                <w:b w:val="1"/>
                <w:bCs w:val="1"/>
                <w:color w:val="auto"/>
              </w:rPr>
              <w:t>(Dollars in millions)</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33"/>
        </w:trPr>
        <w:tc>
          <w:tcPr>
            <w:tcW w:w="6040" w:type="dxa"/>
            <w:vAlign w:val="bottom"/>
            <w:shd w:val="clear" w:color="auto" w:fill="CCEEFF"/>
          </w:tcPr>
          <w:p>
            <w:pPr>
              <w:spacing w:after="0"/>
              <w:rPr>
                <w:sz w:val="20"/>
                <w:szCs w:val="20"/>
                <w:color w:val="auto"/>
              </w:rPr>
            </w:pPr>
            <w:r>
              <w:rPr>
                <w:rFonts w:ascii="Arial" w:cs="Arial" w:eastAsia="Arial" w:hAnsi="Arial"/>
                <w:sz w:val="16"/>
                <w:szCs w:val="16"/>
                <w:color w:val="auto"/>
              </w:rPr>
              <w:t>Revenues:</w:t>
            </w:r>
          </w:p>
        </w:tc>
        <w:tc>
          <w:tcPr>
            <w:tcW w:w="7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r>
      <w:tr>
        <w:trPr>
          <w:trHeight w:val="210"/>
        </w:trPr>
        <w:tc>
          <w:tcPr>
            <w:tcW w:w="6040" w:type="dxa"/>
            <w:vAlign w:val="bottom"/>
          </w:tcPr>
          <w:p>
            <w:pPr>
              <w:ind w:left="200"/>
              <w:spacing w:after="0"/>
              <w:rPr>
                <w:sz w:val="20"/>
                <w:szCs w:val="20"/>
                <w:color w:val="auto"/>
              </w:rPr>
            </w:pPr>
            <w:r>
              <w:rPr>
                <w:rFonts w:ascii="Arial" w:cs="Arial" w:eastAsia="Arial" w:hAnsi="Arial"/>
                <w:sz w:val="16"/>
                <w:szCs w:val="16"/>
                <w:color w:val="auto"/>
              </w:rPr>
              <w:t>Restaurant revenue</w:t>
            </w:r>
          </w:p>
        </w:tc>
        <w:tc>
          <w:tcPr>
            <w:tcW w:w="760" w:type="dxa"/>
            <w:vAlign w:val="bottom"/>
          </w:tcPr>
          <w:p>
            <w:pPr>
              <w:jc w:val="right"/>
              <w:ind w:right="585"/>
              <w:spacing w:after="0"/>
              <w:rPr>
                <w:sz w:val="20"/>
                <w:szCs w:val="20"/>
                <w:color w:val="auto"/>
              </w:rPr>
            </w:pPr>
            <w:r>
              <w:rPr>
                <w:rFonts w:ascii="Arial" w:cs="Arial" w:eastAsia="Arial" w:hAnsi="Arial"/>
                <w:sz w:val="16"/>
                <w:szCs w:val="16"/>
                <w:color w:val="auto"/>
                <w:w w:val="89"/>
              </w:rPr>
              <w:t>$</w:t>
            </w:r>
          </w:p>
        </w:tc>
        <w:tc>
          <w:tcPr>
            <w:tcW w:w="440" w:type="dxa"/>
            <w:vAlign w:val="bottom"/>
          </w:tcPr>
          <w:p>
            <w:pPr>
              <w:jc w:val="right"/>
              <w:spacing w:after="0"/>
              <w:rPr>
                <w:sz w:val="20"/>
                <w:szCs w:val="20"/>
                <w:color w:val="auto"/>
              </w:rPr>
            </w:pPr>
            <w:r>
              <w:rPr>
                <w:rFonts w:ascii="Arial" w:cs="Arial" w:eastAsia="Arial" w:hAnsi="Arial"/>
                <w:sz w:val="16"/>
                <w:szCs w:val="16"/>
                <w:color w:val="auto"/>
                <w:w w:val="89"/>
              </w:rPr>
              <w:t>145.2</w:t>
            </w:r>
          </w:p>
        </w:tc>
        <w:tc>
          <w:tcPr>
            <w:tcW w:w="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166.7</w:t>
            </w:r>
          </w:p>
        </w:tc>
        <w:tc>
          <w:tcPr>
            <w:tcW w:w="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293.7</w:t>
            </w:r>
          </w:p>
        </w:tc>
        <w:tc>
          <w:tcPr>
            <w:tcW w:w="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328.8</w:t>
            </w:r>
          </w:p>
        </w:tc>
      </w:tr>
      <w:tr>
        <w:trPr>
          <w:trHeight w:val="215"/>
        </w:trPr>
        <w:tc>
          <w:tcPr>
            <w:tcW w:w="60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Other operating revenue</w:t>
            </w:r>
          </w:p>
        </w:tc>
        <w:tc>
          <w:tcPr>
            <w:tcW w:w="76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13.1</w:t>
            </w:r>
          </w:p>
        </w:tc>
      </w:tr>
      <w:tr>
        <w:trPr>
          <w:trHeight w:val="203"/>
        </w:trPr>
        <w:tc>
          <w:tcPr>
            <w:tcW w:w="6040" w:type="dxa"/>
            <w:vAlign w:val="bottom"/>
          </w:tcPr>
          <w:p>
            <w:pPr>
              <w:ind w:left="440"/>
              <w:spacing w:after="0"/>
              <w:rPr>
                <w:sz w:val="20"/>
                <w:szCs w:val="20"/>
                <w:color w:val="auto"/>
              </w:rPr>
            </w:pPr>
            <w:r>
              <w:rPr>
                <w:rFonts w:ascii="Arial" w:cs="Arial" w:eastAsia="Arial" w:hAnsi="Arial"/>
                <w:sz w:val="16"/>
                <w:szCs w:val="16"/>
                <w:color w:val="auto"/>
              </w:rPr>
              <w:t>Total operating revenues</w:t>
            </w:r>
          </w:p>
        </w:tc>
        <w:tc>
          <w:tcPr>
            <w:tcW w:w="76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w w:val="89"/>
              </w:rPr>
              <w:t>152.8</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174.5</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307.1</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341.9</w:t>
            </w:r>
          </w:p>
        </w:tc>
      </w:tr>
      <w:tr>
        <w:trPr>
          <w:trHeight w:val="215"/>
        </w:trPr>
        <w:tc>
          <w:tcPr>
            <w:tcW w:w="6040" w:type="dxa"/>
            <w:vAlign w:val="bottom"/>
            <w:shd w:val="clear" w:color="auto" w:fill="CCEEFF"/>
          </w:tcPr>
          <w:p>
            <w:pPr>
              <w:spacing w:after="0"/>
              <w:rPr>
                <w:sz w:val="20"/>
                <w:szCs w:val="20"/>
                <w:color w:val="auto"/>
              </w:rPr>
            </w:pPr>
            <w:r>
              <w:rPr>
                <w:rFonts w:ascii="Arial" w:cs="Arial" w:eastAsia="Arial" w:hAnsi="Arial"/>
                <w:sz w:val="16"/>
                <w:szCs w:val="16"/>
                <w:color w:val="auto"/>
              </w:rPr>
              <w:t>Operating expenses:</w:t>
            </w: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0"/>
        </w:trPr>
        <w:tc>
          <w:tcPr>
            <w:tcW w:w="6040" w:type="dxa"/>
            <w:vAlign w:val="bottom"/>
          </w:tcPr>
          <w:p>
            <w:pPr>
              <w:ind w:left="200"/>
              <w:spacing w:after="0"/>
              <w:rPr>
                <w:sz w:val="20"/>
                <w:szCs w:val="20"/>
                <w:color w:val="auto"/>
              </w:rPr>
            </w:pPr>
            <w:r>
              <w:rPr>
                <w:rFonts w:ascii="Arial" w:cs="Arial" w:eastAsia="Arial" w:hAnsi="Arial"/>
                <w:sz w:val="16"/>
                <w:szCs w:val="16"/>
                <w:color w:val="auto"/>
              </w:rPr>
              <w:t>Cost of restaurant revenue</w:t>
            </w:r>
          </w:p>
        </w:tc>
        <w:tc>
          <w:tcPr>
            <w:tcW w:w="7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w w:val="89"/>
              </w:rPr>
              <w:t>128.3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147.9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259.9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293.3</w:t>
            </w:r>
          </w:p>
        </w:tc>
      </w:tr>
      <w:tr>
        <w:trPr>
          <w:trHeight w:val="215"/>
        </w:trPr>
        <w:tc>
          <w:tcPr>
            <w:tcW w:w="60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Personnel costs</w:t>
            </w: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37.1</w:t>
            </w:r>
          </w:p>
        </w:tc>
      </w:tr>
      <w:tr>
        <w:trPr>
          <w:trHeight w:val="210"/>
        </w:trPr>
        <w:tc>
          <w:tcPr>
            <w:tcW w:w="6040" w:type="dxa"/>
            <w:vAlign w:val="bottom"/>
          </w:tcPr>
          <w:p>
            <w:pPr>
              <w:ind w:left="200"/>
              <w:spacing w:after="0"/>
              <w:rPr>
                <w:sz w:val="20"/>
                <w:szCs w:val="20"/>
                <w:color w:val="auto"/>
              </w:rPr>
            </w:pPr>
            <w:r>
              <w:rPr>
                <w:rFonts w:ascii="Arial" w:cs="Arial" w:eastAsia="Arial" w:hAnsi="Arial"/>
                <w:sz w:val="16"/>
                <w:szCs w:val="16"/>
                <w:color w:val="auto"/>
              </w:rPr>
              <w:t>Depreciation and amortization</w:t>
            </w:r>
          </w:p>
        </w:tc>
        <w:tc>
          <w:tcPr>
            <w:tcW w:w="7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4.6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12.0</w:t>
            </w:r>
          </w:p>
        </w:tc>
      </w:tr>
      <w:tr>
        <w:trPr>
          <w:trHeight w:val="215"/>
        </w:trPr>
        <w:tc>
          <w:tcPr>
            <w:tcW w:w="60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Other operating expenses</w:t>
            </w:r>
          </w:p>
        </w:tc>
        <w:tc>
          <w:tcPr>
            <w:tcW w:w="76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28.2</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31.4</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52.9</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102.1</w:t>
            </w:r>
          </w:p>
        </w:tc>
      </w:tr>
      <w:tr>
        <w:trPr>
          <w:trHeight w:val="203"/>
        </w:trPr>
        <w:tc>
          <w:tcPr>
            <w:tcW w:w="6040" w:type="dxa"/>
            <w:vAlign w:val="bottom"/>
            <w:tcBorders>
              <w:bottom w:val="single" w:sz="8" w:color="CCEEFF"/>
            </w:tcBorders>
          </w:tcPr>
          <w:p>
            <w:pPr>
              <w:ind w:left="440"/>
              <w:spacing w:after="0"/>
              <w:rPr>
                <w:sz w:val="20"/>
                <w:szCs w:val="20"/>
                <w:color w:val="auto"/>
              </w:rPr>
            </w:pPr>
            <w:r>
              <w:rPr>
                <w:rFonts w:ascii="Arial" w:cs="Arial" w:eastAsia="Arial" w:hAnsi="Arial"/>
                <w:sz w:val="16"/>
                <w:szCs w:val="16"/>
                <w:color w:val="auto"/>
              </w:rPr>
              <w:t>Total operating expenses</w:t>
            </w:r>
          </w:p>
        </w:tc>
        <w:tc>
          <w:tcPr>
            <w:tcW w:w="76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172.4</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201.5</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349.4</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444.5</w:t>
            </w:r>
          </w:p>
        </w:tc>
      </w:tr>
      <w:tr>
        <w:trPr>
          <w:trHeight w:val="208"/>
        </w:trPr>
        <w:tc>
          <w:tcPr>
            <w:tcW w:w="6040" w:type="dxa"/>
            <w:vAlign w:val="bottom"/>
            <w:shd w:val="clear" w:color="auto" w:fill="CCEEFF"/>
          </w:tcPr>
          <w:p>
            <w:pPr>
              <w:ind w:left="520"/>
              <w:spacing w:after="0"/>
              <w:rPr>
                <w:sz w:val="20"/>
                <w:szCs w:val="20"/>
                <w:color w:val="auto"/>
              </w:rPr>
            </w:pPr>
            <w:r>
              <w:rPr>
                <w:rFonts w:ascii="Arial" w:cs="Arial" w:eastAsia="Arial" w:hAnsi="Arial"/>
                <w:sz w:val="16"/>
                <w:szCs w:val="16"/>
                <w:color w:val="auto"/>
              </w:rPr>
              <w:t>Operating loss</w:t>
            </w:r>
          </w:p>
        </w:tc>
        <w:tc>
          <w:tcPr>
            <w:tcW w:w="76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5"/>
              </w:rPr>
              <w:t>(19.6)</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(27.0)</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(42.3)</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(102.6)</w:t>
            </w:r>
          </w:p>
        </w:tc>
      </w:tr>
      <w:tr>
        <w:trPr>
          <w:trHeight w:val="190"/>
        </w:trPr>
        <w:tc>
          <w:tcPr>
            <w:tcW w:w="6040" w:type="dxa"/>
            <w:vAlign w:val="bottom"/>
          </w:tcPr>
          <w:p>
            <w:pPr>
              <w:spacing w:after="0"/>
              <w:rPr>
                <w:sz w:val="20"/>
                <w:szCs w:val="20"/>
                <w:color w:val="auto"/>
              </w:rPr>
            </w:pPr>
            <w:r>
              <w:rPr>
                <w:rFonts w:ascii="Arial" w:cs="Arial" w:eastAsia="Arial" w:hAnsi="Arial"/>
                <w:sz w:val="16"/>
                <w:szCs w:val="16"/>
                <w:color w:val="auto"/>
              </w:rPr>
              <w:t>Other income (expense):</w:t>
            </w:r>
          </w:p>
        </w:tc>
        <w:tc>
          <w:tcPr>
            <w:tcW w:w="7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5"/>
        </w:trPr>
        <w:tc>
          <w:tcPr>
            <w:tcW w:w="60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Interest, investment and other income</w:t>
            </w: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0.1</w:t>
            </w:r>
          </w:p>
        </w:tc>
      </w:tr>
      <w:tr>
        <w:trPr>
          <w:trHeight w:val="210"/>
        </w:trPr>
        <w:tc>
          <w:tcPr>
            <w:tcW w:w="6040" w:type="dxa"/>
            <w:vAlign w:val="bottom"/>
          </w:tcPr>
          <w:p>
            <w:pPr>
              <w:ind w:left="200"/>
              <w:spacing w:after="0"/>
              <w:rPr>
                <w:sz w:val="20"/>
                <w:szCs w:val="20"/>
                <w:color w:val="auto"/>
              </w:rPr>
            </w:pPr>
            <w:r>
              <w:rPr>
                <w:rFonts w:ascii="Arial" w:cs="Arial" w:eastAsia="Arial" w:hAnsi="Arial"/>
                <w:sz w:val="16"/>
                <w:szCs w:val="16"/>
                <w:color w:val="auto"/>
              </w:rPr>
              <w:t>Interest expense</w:t>
            </w:r>
          </w:p>
        </w:tc>
        <w:tc>
          <w:tcPr>
            <w:tcW w:w="7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(4.0)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(5.0)</w:t>
            </w:r>
          </w:p>
        </w:tc>
      </w:tr>
      <w:tr>
        <w:trPr>
          <w:trHeight w:val="215"/>
        </w:trPr>
        <w:tc>
          <w:tcPr>
            <w:tcW w:w="60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Recognized (losses) gains, net</w:t>
            </w:r>
          </w:p>
        </w:tc>
        <w:tc>
          <w:tcPr>
            <w:tcW w:w="76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5"/>
              </w:rPr>
              <w:t>(42.2)</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(193.6)</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(458.8)</w:t>
            </w:r>
          </w:p>
        </w:tc>
      </w:tr>
      <w:tr>
        <w:trPr>
          <w:trHeight w:val="206"/>
        </w:trPr>
        <w:tc>
          <w:tcPr>
            <w:tcW w:w="6040" w:type="dxa"/>
            <w:vAlign w:val="bottom"/>
          </w:tcPr>
          <w:p>
            <w:pPr>
              <w:ind w:left="440"/>
              <w:spacing w:after="0"/>
              <w:rPr>
                <w:sz w:val="20"/>
                <w:szCs w:val="20"/>
                <w:color w:val="auto"/>
              </w:rPr>
            </w:pPr>
            <w:r>
              <w:rPr>
                <w:rFonts w:ascii="Arial" w:cs="Arial" w:eastAsia="Arial" w:hAnsi="Arial"/>
                <w:sz w:val="16"/>
                <w:szCs w:val="16"/>
                <w:color w:val="auto"/>
              </w:rPr>
              <w:t>Total other (expense) income</w:t>
            </w:r>
          </w:p>
        </w:tc>
        <w:tc>
          <w:tcPr>
            <w:tcW w:w="76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5"/>
              </w:rPr>
              <w:t>(43.5)</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(196.1)</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(463.7)</w:t>
            </w:r>
          </w:p>
        </w:tc>
      </w:tr>
      <w:tr>
        <w:trPr>
          <w:trHeight w:val="206"/>
        </w:trPr>
        <w:tc>
          <w:tcPr>
            <w:tcW w:w="6040" w:type="dxa"/>
            <w:vAlign w:val="bottom"/>
            <w:shd w:val="clear" w:color="auto" w:fill="CCEEFF"/>
          </w:tcPr>
          <w:p>
            <w:pPr>
              <w:spacing w:after="0"/>
              <w:rPr>
                <w:sz w:val="20"/>
                <w:szCs w:val="20"/>
                <w:color w:val="auto"/>
              </w:rPr>
            </w:pPr>
            <w:r>
              <w:rPr>
                <w:rFonts w:ascii="Arial" w:cs="Arial" w:eastAsia="Arial" w:hAnsi="Arial"/>
                <w:sz w:val="16"/>
                <w:szCs w:val="16"/>
                <w:color w:val="auto"/>
              </w:rPr>
              <w:t>Loss before income taxes and equity in losses of unconsolidated affiliates</w:t>
            </w:r>
          </w:p>
        </w:tc>
        <w:tc>
          <w:tcPr>
            <w:tcW w:w="76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5"/>
              </w:rPr>
              <w:t>(63.1)</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(223.1)</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(35.3)</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(566.3)</w:t>
            </w:r>
          </w:p>
        </w:tc>
      </w:tr>
      <w:tr>
        <w:trPr>
          <w:trHeight w:val="212"/>
        </w:trPr>
        <w:tc>
          <w:tcPr>
            <w:tcW w:w="6040" w:type="dxa"/>
            <w:vAlign w:val="bottom"/>
          </w:tcPr>
          <w:p>
            <w:pPr>
              <w:spacing w:after="0"/>
              <w:rPr>
                <w:sz w:val="20"/>
                <w:szCs w:val="20"/>
                <w:color w:val="auto"/>
              </w:rPr>
            </w:pPr>
            <w:r>
              <w:rPr>
                <w:rFonts w:ascii="Arial" w:cs="Arial" w:eastAsia="Arial" w:hAnsi="Arial"/>
                <w:sz w:val="16"/>
                <w:szCs w:val="16"/>
                <w:color w:val="auto"/>
              </w:rPr>
              <w:t>Income tax benefit</w:t>
            </w:r>
          </w:p>
        </w:tc>
        <w:tc>
          <w:tcPr>
            <w:tcW w:w="7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5"/>
              </w:rPr>
              <w:t>(21.8)</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(66.5)</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(19.2)</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(128.4)</w:t>
            </w:r>
          </w:p>
        </w:tc>
      </w:tr>
      <w:tr>
        <w:trPr>
          <w:trHeight w:val="206"/>
        </w:trPr>
        <w:tc>
          <w:tcPr>
            <w:tcW w:w="6040" w:type="dxa"/>
            <w:vAlign w:val="bottom"/>
            <w:shd w:val="clear" w:color="auto" w:fill="CCEEFF"/>
          </w:tcPr>
          <w:p>
            <w:pPr>
              <w:spacing w:after="0"/>
              <w:rPr>
                <w:sz w:val="20"/>
                <w:szCs w:val="20"/>
                <w:color w:val="auto"/>
              </w:rPr>
            </w:pPr>
            <w:r>
              <w:rPr>
                <w:rFonts w:ascii="Arial" w:cs="Arial" w:eastAsia="Arial" w:hAnsi="Arial"/>
                <w:sz w:val="16"/>
                <w:szCs w:val="16"/>
                <w:color w:val="auto"/>
              </w:rPr>
              <w:t>Loss before equity in losses of unconsolidated affiliates</w:t>
            </w:r>
          </w:p>
        </w:tc>
        <w:tc>
          <w:tcPr>
            <w:tcW w:w="76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5"/>
              </w:rPr>
              <w:t>(41.3)</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(156.6)</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(437.9)</w:t>
            </w:r>
          </w:p>
        </w:tc>
      </w:tr>
      <w:tr>
        <w:trPr>
          <w:trHeight w:val="210"/>
        </w:trPr>
        <w:tc>
          <w:tcPr>
            <w:tcW w:w="60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Equity in losses of unconsolidated affiliates</w:t>
            </w:r>
          </w:p>
        </w:tc>
        <w:tc>
          <w:tcPr>
            <w:tcW w:w="7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5"/>
              </w:rPr>
              <w:t>(49.1)</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(108.0)</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(81.2)</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(76.1)</w:t>
            </w:r>
          </w:p>
        </w:tc>
      </w:tr>
      <w:tr>
        <w:trPr>
          <w:trHeight w:val="208"/>
        </w:trPr>
        <w:tc>
          <w:tcPr>
            <w:tcW w:w="6040" w:type="dxa"/>
            <w:vAlign w:val="bottom"/>
            <w:shd w:val="clear" w:color="auto" w:fill="CCEEFF"/>
          </w:tcPr>
          <w:p>
            <w:pPr>
              <w:spacing w:after="0"/>
              <w:rPr>
                <w:sz w:val="20"/>
                <w:szCs w:val="20"/>
                <w:color w:val="auto"/>
              </w:rPr>
            </w:pPr>
            <w:r>
              <w:rPr>
                <w:rFonts w:ascii="Arial" w:cs="Arial" w:eastAsia="Arial" w:hAnsi="Arial"/>
                <w:sz w:val="16"/>
                <w:szCs w:val="16"/>
                <w:color w:val="auto"/>
              </w:rPr>
              <w:t>Net loss</w:t>
            </w: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5"/>
              </w:rPr>
              <w:t>(90.4)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(264.6)</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(97.3)</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(514.0)</w:t>
            </w:r>
          </w:p>
        </w:tc>
      </w:tr>
      <w:tr>
        <w:trPr>
          <w:trHeight w:val="210"/>
        </w:trPr>
        <w:tc>
          <w:tcPr>
            <w:tcW w:w="60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Less: Net loss attributable to non-controlling interests</w:t>
            </w:r>
          </w:p>
        </w:tc>
        <w:tc>
          <w:tcPr>
            <w:tcW w:w="7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w:t>
            </w:r>
          </w:p>
        </w:tc>
      </w:tr>
      <w:tr>
        <w:trPr>
          <w:trHeight w:val="228"/>
        </w:trPr>
        <w:tc>
          <w:tcPr>
            <w:tcW w:w="6040" w:type="dxa"/>
            <w:vAlign w:val="bottom"/>
            <w:shd w:val="clear" w:color="auto" w:fill="CCEEFF"/>
          </w:tcPr>
          <w:p>
            <w:pPr>
              <w:spacing w:after="0"/>
              <w:rPr>
                <w:sz w:val="20"/>
                <w:szCs w:val="20"/>
                <w:color w:val="auto"/>
              </w:rPr>
            </w:pPr>
            <w:r>
              <w:rPr>
                <w:rFonts w:ascii="Arial" w:cs="Arial" w:eastAsia="Arial" w:hAnsi="Arial"/>
                <w:sz w:val="16"/>
                <w:szCs w:val="16"/>
                <w:color w:val="auto"/>
              </w:rPr>
              <w:t>Net loss attributable to Cannae Holdings, Inc. common shareholders</w:t>
            </w:r>
          </w:p>
        </w:tc>
        <w:tc>
          <w:tcPr>
            <w:tcW w:w="760" w:type="dxa"/>
            <w:vAlign w:val="bottom"/>
            <w:shd w:val="clear" w:color="auto" w:fill="CCEEFF"/>
          </w:tcPr>
          <w:p>
            <w:pPr>
              <w:jc w:val="right"/>
              <w:ind w:right="585"/>
              <w:spacing w:after="0"/>
              <w:rPr>
                <w:sz w:val="20"/>
                <w:szCs w:val="20"/>
                <w:color w:val="auto"/>
              </w:rPr>
            </w:pPr>
            <w:r>
              <w:rPr>
                <w:rFonts w:ascii="Arial" w:cs="Arial" w:eastAsia="Arial" w:hAnsi="Arial"/>
                <w:sz w:val="16"/>
                <w:szCs w:val="16"/>
                <w:color w:val="auto"/>
                <w:w w:val="8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5"/>
              </w:rPr>
              <w:t>(87.2)</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(263.3)</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(91.3)</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(510.9)</w:t>
            </w: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 the Three Months Ended June 30, 2023 and 2022</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Total revenues decreased $21.7 million, or 12.4%, in the three months ended June 30, 2023 compared to the corresponding period in 2022.</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Expenses</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5"/>
          <w:szCs w:val="15"/>
          <w:color w:val="auto"/>
        </w:rPr>
        <w:t>Our operating expenses consist primarily of personnel costs, cost of restaurant revenue, other operating expenses, and depreciation and amortization.</w:t>
      </w:r>
    </w:p>
    <w:p>
      <w:pPr>
        <w:spacing w:after="0" w:line="146"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8"/>
          <w:szCs w:val="18"/>
          <w:color w:val="auto"/>
        </w:rPr>
        <w:t>Cost of restaurant revenue includes cost of food and beverage, primarily the costs of beef, groceries, produce, seafood, poultry and alcoholic and non-alcoholic beverages, net of vendor discounts and rebates, payroll and related costs and expenses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7"/>
          <w:szCs w:val="17"/>
          <w:color w:val="auto"/>
        </w:rPr>
        <w:t>directly relating to restaurant level activities, and restaurant operating costs including occupancy and other operating expenses at the restaurant level.</w:t>
      </w:r>
    </w:p>
    <w:p>
      <w:pPr>
        <w:spacing w:after="0" w:line="123"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Personnel costs include base salaries, commissions, benefits, stock-based compensation and bonuses paid to employees, and are one of our most significant operating expenses. Personnel costs that are directly attributable to the operations of the Restaurant Group are included in Cost of restaurant revenue.</w:t>
      </w:r>
    </w:p>
    <w:p>
      <w:pPr>
        <w:spacing w:after="0" w:line="83"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8"/>
          <w:szCs w:val="18"/>
          <w:color w:val="auto"/>
        </w:rPr>
        <w:t>Other operating expenses include management fees, carried interest fees, professional fees, advertising costs, travel expenses and impairments of operating assets.</w:t>
      </w:r>
    </w:p>
    <w:p>
      <w:pPr>
        <w:spacing w:after="0" w:line="74"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8"/>
          <w:szCs w:val="18"/>
          <w:color w:val="auto"/>
        </w:rPr>
        <w:t>Depreciation and amortization expense consists of our depreciation related to investments in property and equipment as well as amortization of intangible assets.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Pre-Tax Loss</w:t>
      </w:r>
    </w:p>
    <w:p>
      <w:pPr>
        <w:spacing w:after="0" w:line="111"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8"/>
          <w:szCs w:val="18"/>
          <w:color w:val="auto"/>
        </w:rPr>
        <w:t>Loss before income taxes and equity in losses of unconsolidated affiliates decreased $160.0 million, or 71.7%, in the three months ended June 30, 2023 compared to the corresponding period in 2022.</w:t>
      </w:r>
    </w:p>
    <w:p>
      <w:pPr>
        <w:spacing w:after="0" w:line="74"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8"/>
          <w:szCs w:val="18"/>
          <w:color w:val="auto"/>
        </w:rPr>
        <w:t>The change in revenues, expenses and pre-tax loss from the three months ended June 30, 2023 and 2022 is discussed in further detail at the segment level below.</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11" w:lineRule="exact"/>
        <w:rPr>
          <w:sz w:val="20"/>
          <w:szCs w:val="20"/>
          <w:color w:val="auto"/>
        </w:rPr>
      </w:pPr>
    </w:p>
    <w:p>
      <w:pPr>
        <w:jc w:val="both"/>
        <w:ind w:firstLine="318"/>
        <w:spacing w:after="0" w:line="269" w:lineRule="auto"/>
        <w:rPr>
          <w:sz w:val="20"/>
          <w:szCs w:val="20"/>
          <w:color w:val="auto"/>
        </w:rPr>
      </w:pPr>
      <w:r>
        <w:rPr>
          <w:rFonts w:ascii="Arial" w:cs="Arial" w:eastAsia="Arial" w:hAnsi="Arial"/>
          <w:sz w:val="17"/>
          <w:szCs w:val="17"/>
          <w:color w:val="auto"/>
        </w:rPr>
        <w:t>Income tax benefit was $21.8 million and $66.5 million in the three-month periods ended June 30, 2023 and 2022, respectively. Our effective tax rate was 34.5% and 29.8% in the three months ended June 30, 2023 and 2022, respectively. Our effective tax rate fluctuates depending on our estimate of ultimate income tax liability and changes in the characteristics of net earnings, such as the weighting of operating income versus other income or earnings and losses of unconsolidated affiliates. The change in our effective tax rate in the three months ended June 30, 2023 compared to the corresponding period in 2022 is primarily attributable to the impact of equity in losses of unconsolidated affiliates on income tax benefit.</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in Losses of Unconsolidated Affiliates</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Equity in (losses) earnings of unconsolidated affiliates for the three months ended June 30, 2023 and 2022 consisted of the following:</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00" w:type="dxa"/>
            <w:vAlign w:val="bottom"/>
          </w:tcPr>
          <w:p>
            <w:pPr>
              <w:spacing w:after="0"/>
              <w:rPr>
                <w:sz w:val="16"/>
                <w:szCs w:val="16"/>
                <w:color w:val="auto"/>
              </w:rPr>
            </w:pPr>
          </w:p>
        </w:tc>
        <w:tc>
          <w:tcPr>
            <w:tcW w:w="2640" w:type="dxa"/>
            <w:vAlign w:val="bottom"/>
            <w:gridSpan w:val="4"/>
          </w:tcPr>
          <w:p>
            <w:pPr>
              <w:jc w:val="center"/>
              <w:ind w:left="500"/>
              <w:spacing w:after="0"/>
              <w:rPr>
                <w:sz w:val="20"/>
                <w:szCs w:val="20"/>
                <w:color w:val="auto"/>
              </w:rPr>
            </w:pPr>
            <w:r>
              <w:rPr>
                <w:rFonts w:ascii="Arial" w:cs="Arial" w:eastAsia="Arial" w:hAnsi="Arial"/>
                <w:sz w:val="14"/>
                <w:szCs w:val="14"/>
                <w:b w:val="1"/>
                <w:bCs w:val="1"/>
                <w:color w:val="auto"/>
                <w:w w:val="91"/>
              </w:rPr>
              <w:t>Three Months Ended June 30,</w:t>
            </w:r>
          </w:p>
        </w:tc>
        <w:tc>
          <w:tcPr>
            <w:tcW w:w="600" w:type="dxa"/>
            <w:vAlign w:val="bottom"/>
          </w:tcPr>
          <w:p>
            <w:pPr>
              <w:spacing w:after="0"/>
              <w:rPr>
                <w:sz w:val="16"/>
                <w:szCs w:val="16"/>
                <w:color w:val="auto"/>
              </w:rPr>
            </w:pPr>
          </w:p>
        </w:tc>
      </w:tr>
      <w:tr>
        <w:trPr>
          <w:trHeight w:val="24"/>
        </w:trPr>
        <w:tc>
          <w:tcPr>
            <w:tcW w:w="80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178"/>
        </w:trPr>
        <w:tc>
          <w:tcPr>
            <w:tcW w:w="8000" w:type="dxa"/>
            <w:vAlign w:val="bottom"/>
          </w:tcPr>
          <w:p>
            <w:pPr>
              <w:spacing w:after="0"/>
              <w:rPr>
                <w:sz w:val="15"/>
                <w:szCs w:val="15"/>
                <w:color w:val="auto"/>
              </w:rPr>
            </w:pPr>
          </w:p>
        </w:tc>
        <w:tc>
          <w:tcPr>
            <w:tcW w:w="102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b w:val="1"/>
                <w:bCs w:val="1"/>
                <w:color w:val="auto"/>
              </w:rPr>
              <w:t>2023</w:t>
            </w:r>
          </w:p>
        </w:tc>
        <w:tc>
          <w:tcPr>
            <w:tcW w:w="5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2022</w:t>
            </w:r>
          </w:p>
        </w:tc>
        <w:tc>
          <w:tcPr>
            <w:tcW w:w="600" w:type="dxa"/>
            <w:vAlign w:val="bottom"/>
            <w:tcBorders>
              <w:bottom w:val="single" w:sz="8" w:color="auto"/>
            </w:tcBorders>
          </w:tcPr>
          <w:p>
            <w:pPr>
              <w:spacing w:after="0"/>
              <w:rPr>
                <w:sz w:val="15"/>
                <w:szCs w:val="15"/>
                <w:color w:val="auto"/>
              </w:rPr>
            </w:pPr>
          </w:p>
        </w:tc>
      </w:tr>
      <w:tr>
        <w:trPr>
          <w:trHeight w:val="186"/>
        </w:trPr>
        <w:tc>
          <w:tcPr>
            <w:tcW w:w="80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2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1"/>
              </w:rPr>
              <w:t>(in millions)</w:t>
            </w:r>
          </w:p>
        </w:tc>
        <w:tc>
          <w:tcPr>
            <w:tcW w:w="600" w:type="dxa"/>
            <w:vAlign w:val="bottom"/>
          </w:tcPr>
          <w:p>
            <w:pPr>
              <w:spacing w:after="0"/>
              <w:rPr>
                <w:sz w:val="16"/>
                <w:szCs w:val="16"/>
                <w:color w:val="auto"/>
              </w:rPr>
            </w:pPr>
          </w:p>
        </w:tc>
      </w:tr>
      <w:tr>
        <w:trPr>
          <w:trHeight w:val="233"/>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Dun &amp; Bradstreet</w:t>
            </w:r>
          </w:p>
        </w:tc>
        <w:tc>
          <w:tcPr>
            <w:tcW w:w="1020" w:type="dxa"/>
            <w:vAlign w:val="bottom"/>
            <w:shd w:val="clear" w:color="auto" w:fill="CCEEFF"/>
          </w:tcPr>
          <w:p>
            <w:pPr>
              <w:jc w:val="right"/>
              <w:ind w:right="84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32"/>
        </w:trPr>
        <w:tc>
          <w:tcPr>
            <w:tcW w:w="8000" w:type="dxa"/>
            <w:vAlign w:val="bottom"/>
          </w:tcPr>
          <w:p>
            <w:pPr>
              <w:ind w:left="20"/>
              <w:spacing w:after="0"/>
              <w:rPr>
                <w:sz w:val="20"/>
                <w:szCs w:val="20"/>
                <w:color w:val="auto"/>
              </w:rPr>
            </w:pPr>
            <w:r>
              <w:rPr>
                <w:rFonts w:ascii="Arial" w:cs="Arial" w:eastAsia="Arial" w:hAnsi="Arial"/>
                <w:sz w:val="18"/>
                <w:szCs w:val="18"/>
                <w:color w:val="auto"/>
              </w:rPr>
              <w:t>Alight</w:t>
            </w:r>
          </w:p>
        </w:tc>
        <w:tc>
          <w:tcPr>
            <w:tcW w:w="10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33"/>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Sightline</w:t>
            </w:r>
          </w:p>
        </w:tc>
        <w:tc>
          <w:tcPr>
            <w:tcW w:w="102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25"/>
        </w:trPr>
        <w:tc>
          <w:tcPr>
            <w:tcW w:w="8000" w:type="dxa"/>
            <w:vAlign w:val="bottom"/>
          </w:tcPr>
          <w:p>
            <w:pPr>
              <w:ind w:left="20"/>
              <w:spacing w:after="0"/>
              <w:rPr>
                <w:sz w:val="20"/>
                <w:szCs w:val="20"/>
                <w:color w:val="auto"/>
              </w:rPr>
            </w:pPr>
            <w:r>
              <w:rPr>
                <w:rFonts w:ascii="Arial" w:cs="Arial" w:eastAsia="Arial" w:hAnsi="Arial"/>
                <w:sz w:val="18"/>
                <w:szCs w:val="18"/>
                <w:color w:val="auto"/>
              </w:rPr>
              <w:t>System1</w:t>
            </w:r>
          </w:p>
        </w:tc>
        <w:tc>
          <w:tcPr>
            <w:tcW w:w="10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(15.7)</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39"/>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BKFE</w:t>
            </w:r>
          </w:p>
        </w:tc>
        <w:tc>
          <w:tcPr>
            <w:tcW w:w="102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8000" w:type="dxa"/>
            <w:vAlign w:val="bottom"/>
          </w:tcPr>
          <w:p>
            <w:pPr>
              <w:ind w:left="20"/>
              <w:spacing w:after="0"/>
              <w:rPr>
                <w:sz w:val="20"/>
                <w:szCs w:val="20"/>
                <w:color w:val="auto"/>
              </w:rPr>
            </w:pPr>
            <w:r>
              <w:rPr>
                <w:rFonts w:ascii="Arial" w:cs="Arial" w:eastAsia="Arial" w:hAnsi="Arial"/>
                <w:sz w:val="18"/>
                <w:szCs w:val="18"/>
                <w:color w:val="auto"/>
              </w:rPr>
              <w:t>Paysafe</w:t>
            </w:r>
          </w:p>
        </w:tc>
        <w:tc>
          <w:tcPr>
            <w:tcW w:w="10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(96.7)</w:t>
            </w:r>
          </w:p>
        </w:tc>
      </w:tr>
      <w:tr>
        <w:trPr>
          <w:trHeight w:val="226"/>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0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33"/>
        </w:trPr>
        <w:tc>
          <w:tcPr>
            <w:tcW w:w="8000" w:type="dxa"/>
            <w:vAlign w:val="bottom"/>
          </w:tcPr>
          <w:p>
            <w:pPr>
              <w:ind w:left="20"/>
              <w:spacing w:after="0"/>
              <w:rPr>
                <w:sz w:val="20"/>
                <w:szCs w:val="20"/>
                <w:color w:val="auto"/>
              </w:rPr>
            </w:pPr>
            <w:r>
              <w:rPr>
                <w:rFonts w:ascii="Arial" w:cs="Arial" w:eastAsia="Arial" w:hAnsi="Arial"/>
                <w:sz w:val="18"/>
                <w:szCs w:val="18"/>
                <w:color w:val="auto"/>
              </w:rPr>
              <w:t>Total</w:t>
            </w:r>
          </w:p>
        </w:tc>
        <w:tc>
          <w:tcPr>
            <w:tcW w:w="1020" w:type="dxa"/>
            <w:vAlign w:val="bottom"/>
          </w:tcPr>
          <w:p>
            <w:pPr>
              <w:jc w:val="right"/>
              <w:ind w:right="840"/>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(49.1)</w:t>
            </w:r>
          </w:p>
        </w:tc>
        <w:tc>
          <w:tcPr>
            <w:tcW w:w="1080" w:type="dxa"/>
            <w:vAlign w:val="bottom"/>
            <w:gridSpan w:val="2"/>
          </w:tcPr>
          <w:p>
            <w:pPr>
              <w:jc w:val="right"/>
              <w:ind w:right="86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8"/>
              </w:rPr>
              <w:t>(108.0)</w:t>
            </w:r>
          </w:p>
        </w:tc>
      </w:tr>
      <w:tr>
        <w:trPr>
          <w:trHeight w:val="20"/>
        </w:trPr>
        <w:tc>
          <w:tcPr>
            <w:tcW w:w="80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r>
    </w:tbl>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 the Six Months Ended June 30, 2023 and 2022</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Total revenues decreased $34.8 million, or 10.2%, in the six months ended June 30, 2023 compared to the corresponding period in 2022.</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Pre-Tax Earnings (Loss)</w:t>
      </w:r>
    </w:p>
    <w:p>
      <w:pPr>
        <w:spacing w:after="0" w:line="111"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8"/>
          <w:szCs w:val="18"/>
          <w:color w:val="auto"/>
        </w:rPr>
        <w:t>Earnings before income taxes and equity in (losses) earnings of unconsolidated affiliates increased $531.0 million, or 93.8%, in the six months ended June 30, 2023 compared to the corresponding period in 2022.</w:t>
      </w:r>
    </w:p>
    <w:p>
      <w:pPr>
        <w:spacing w:after="0" w:line="74"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8"/>
          <w:szCs w:val="18"/>
          <w:color w:val="auto"/>
        </w:rPr>
        <w:t>The change in revenues, expenses and pre-tax loss from the three months ended June 30, 2023 and 2022 is discussed in further detail at the segment level below.</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11"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8"/>
          <w:szCs w:val="18"/>
          <w:color w:val="auto"/>
        </w:rPr>
        <w:t>Income tax benefit was $19.2 million and $128.4 million in the six-month periods ended June 30, 2023 and 2022, respectively. Our effective tax rate was 54.4% and 22.7% in the six months ended June 30, 2023 and 2022, respectively. Our</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effective tax rate fluctuates depending on our estimate of ultimate income tax liability and changes in the characteristics of net earnings, such as the weighting of operating income versus other income or earnings and losses of unconsolidated affiliates. The change in our effective tax rate in the six months June 30, 2023 compared to the corresponding period in 2022 is primarily attributable to the impact of equity in losses of unconsolidated affiliates on income tax benefit.</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in Losses of Unconsolidated Affiliates</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Equity in (losses) earnings of unconsolidated affiliates for the six months ended June 30, 2023 and 2022 consisted of the following:</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840" w:type="dxa"/>
            <w:vAlign w:val="bottom"/>
          </w:tcPr>
          <w:p>
            <w:pPr>
              <w:spacing w:after="0"/>
              <w:rPr>
                <w:sz w:val="16"/>
                <w:szCs w:val="16"/>
                <w:color w:val="auto"/>
              </w:rPr>
            </w:pPr>
          </w:p>
        </w:tc>
        <w:tc>
          <w:tcPr>
            <w:tcW w:w="284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rPr>
              <w:t>Six Months Ended June 30,</w:t>
            </w:r>
          </w:p>
        </w:tc>
        <w:tc>
          <w:tcPr>
            <w:tcW w:w="560" w:type="dxa"/>
            <w:vAlign w:val="bottom"/>
          </w:tcPr>
          <w:p>
            <w:pPr>
              <w:spacing w:after="0"/>
              <w:rPr>
                <w:sz w:val="16"/>
                <w:szCs w:val="16"/>
                <w:color w:val="auto"/>
              </w:rPr>
            </w:pPr>
          </w:p>
        </w:tc>
      </w:tr>
      <w:tr>
        <w:trPr>
          <w:trHeight w:val="24"/>
        </w:trPr>
        <w:tc>
          <w:tcPr>
            <w:tcW w:w="784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178"/>
        </w:trPr>
        <w:tc>
          <w:tcPr>
            <w:tcW w:w="7840" w:type="dxa"/>
            <w:vAlign w:val="bottom"/>
          </w:tcPr>
          <w:p>
            <w:pPr>
              <w:spacing w:after="0"/>
              <w:rPr>
                <w:sz w:val="15"/>
                <w:szCs w:val="15"/>
                <w:color w:val="auto"/>
              </w:rPr>
            </w:pPr>
          </w:p>
        </w:tc>
        <w:tc>
          <w:tcPr>
            <w:tcW w:w="1080" w:type="dxa"/>
            <w:vAlign w:val="bottom"/>
            <w:tcBorders>
              <w:bottom w:val="single" w:sz="8" w:color="auto"/>
            </w:tcBorders>
          </w:tcPr>
          <w:p>
            <w:pPr>
              <w:jc w:val="right"/>
              <w:ind w:right="40"/>
              <w:spacing w:after="0"/>
              <w:rPr>
                <w:sz w:val="20"/>
                <w:szCs w:val="20"/>
                <w:color w:val="auto"/>
              </w:rPr>
            </w:pPr>
            <w:r>
              <w:rPr>
                <w:rFonts w:ascii="Arial" w:cs="Arial" w:eastAsia="Arial" w:hAnsi="Arial"/>
                <w:sz w:val="14"/>
                <w:szCs w:val="14"/>
                <w:b w:val="1"/>
                <w:bCs w:val="1"/>
                <w:color w:val="auto"/>
              </w:rPr>
              <w:t>2023</w:t>
            </w:r>
          </w:p>
        </w:tc>
        <w:tc>
          <w:tcPr>
            <w:tcW w:w="5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b w:val="1"/>
                <w:bCs w:val="1"/>
                <w:color w:val="auto"/>
              </w:rPr>
              <w:t>2022</w:t>
            </w:r>
          </w:p>
        </w:tc>
        <w:tc>
          <w:tcPr>
            <w:tcW w:w="560" w:type="dxa"/>
            <w:vAlign w:val="bottom"/>
            <w:tcBorders>
              <w:bottom w:val="single" w:sz="8" w:color="auto"/>
            </w:tcBorders>
          </w:tcPr>
          <w:p>
            <w:pPr>
              <w:spacing w:after="0"/>
              <w:rPr>
                <w:sz w:val="15"/>
                <w:szCs w:val="15"/>
                <w:color w:val="auto"/>
              </w:rPr>
            </w:pPr>
          </w:p>
        </w:tc>
      </w:tr>
      <w:tr>
        <w:trPr>
          <w:trHeight w:val="186"/>
        </w:trPr>
        <w:tc>
          <w:tcPr>
            <w:tcW w:w="78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760" w:type="dxa"/>
            <w:vAlign w:val="bottom"/>
            <w:gridSpan w:val="3"/>
          </w:tcPr>
          <w:p>
            <w:pPr>
              <w:jc w:val="right"/>
              <w:ind w:right="780"/>
              <w:spacing w:after="0"/>
              <w:rPr>
                <w:sz w:val="20"/>
                <w:szCs w:val="20"/>
                <w:color w:val="auto"/>
              </w:rPr>
            </w:pPr>
            <w:r>
              <w:rPr>
                <w:rFonts w:ascii="Arial" w:cs="Arial" w:eastAsia="Arial" w:hAnsi="Arial"/>
                <w:sz w:val="14"/>
                <w:szCs w:val="14"/>
                <w:b w:val="1"/>
                <w:bCs w:val="1"/>
                <w:color w:val="auto"/>
              </w:rPr>
              <w:t>(in millions)</w:t>
            </w:r>
          </w:p>
        </w:tc>
        <w:tc>
          <w:tcPr>
            <w:tcW w:w="560" w:type="dxa"/>
            <w:vAlign w:val="bottom"/>
          </w:tcPr>
          <w:p>
            <w:pPr>
              <w:spacing w:after="0"/>
              <w:rPr>
                <w:sz w:val="16"/>
                <w:szCs w:val="16"/>
                <w:color w:val="auto"/>
              </w:rPr>
            </w:pPr>
          </w:p>
        </w:tc>
      </w:tr>
      <w:tr>
        <w:trPr>
          <w:trHeight w:val="233"/>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Dun &amp; Bradstreet</w:t>
            </w:r>
          </w:p>
        </w:tc>
        <w:tc>
          <w:tcPr>
            <w:tcW w:w="1080" w:type="dxa"/>
            <w:vAlign w:val="bottom"/>
            <w:shd w:val="clear" w:color="auto" w:fill="CCEEFF"/>
          </w:tcPr>
          <w:p>
            <w:pPr>
              <w:jc w:val="right"/>
              <w:ind w:right="90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20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r>
      <w:tr>
        <w:trPr>
          <w:trHeight w:val="232"/>
        </w:trPr>
        <w:tc>
          <w:tcPr>
            <w:tcW w:w="7840" w:type="dxa"/>
            <w:vAlign w:val="bottom"/>
          </w:tcPr>
          <w:p>
            <w:pPr>
              <w:ind w:left="20"/>
              <w:spacing w:after="0"/>
              <w:rPr>
                <w:sz w:val="20"/>
                <w:szCs w:val="20"/>
                <w:color w:val="auto"/>
              </w:rPr>
            </w:pPr>
            <w:r>
              <w:rPr>
                <w:rFonts w:ascii="Arial" w:cs="Arial" w:eastAsia="Arial" w:hAnsi="Arial"/>
                <w:sz w:val="18"/>
                <w:szCs w:val="18"/>
                <w:color w:val="auto"/>
              </w:rPr>
              <w:t>Alight</w:t>
            </w:r>
          </w:p>
        </w:tc>
        <w:tc>
          <w:tcPr>
            <w:tcW w:w="10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(14.1)</w:t>
            </w: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33"/>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Sightline</w:t>
            </w:r>
          </w:p>
        </w:tc>
        <w:tc>
          <w:tcPr>
            <w:tcW w:w="108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r>
      <w:tr>
        <w:trPr>
          <w:trHeight w:val="225"/>
        </w:trPr>
        <w:tc>
          <w:tcPr>
            <w:tcW w:w="7840" w:type="dxa"/>
            <w:vAlign w:val="bottom"/>
          </w:tcPr>
          <w:p>
            <w:pPr>
              <w:ind w:left="20"/>
              <w:spacing w:after="0"/>
              <w:rPr>
                <w:sz w:val="20"/>
                <w:szCs w:val="20"/>
                <w:color w:val="auto"/>
              </w:rPr>
            </w:pPr>
            <w:r>
              <w:rPr>
                <w:rFonts w:ascii="Arial" w:cs="Arial" w:eastAsia="Arial" w:hAnsi="Arial"/>
                <w:sz w:val="18"/>
                <w:szCs w:val="18"/>
                <w:color w:val="auto"/>
              </w:rPr>
              <w:t>System1</w:t>
            </w:r>
          </w:p>
        </w:tc>
        <w:tc>
          <w:tcPr>
            <w:tcW w:w="10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(22.6)</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39"/>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BKFE</w:t>
            </w:r>
          </w:p>
        </w:tc>
        <w:tc>
          <w:tcPr>
            <w:tcW w:w="108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7840" w:type="dxa"/>
            <w:vAlign w:val="bottom"/>
          </w:tcPr>
          <w:p>
            <w:pPr>
              <w:ind w:left="20"/>
              <w:spacing w:after="0"/>
              <w:rPr>
                <w:sz w:val="20"/>
                <w:szCs w:val="20"/>
                <w:color w:val="auto"/>
              </w:rPr>
            </w:pPr>
            <w:r>
              <w:rPr>
                <w:rFonts w:ascii="Arial" w:cs="Arial" w:eastAsia="Arial" w:hAnsi="Arial"/>
                <w:sz w:val="18"/>
                <w:szCs w:val="18"/>
                <w:color w:val="auto"/>
              </w:rPr>
              <w:t>Paysafe</w:t>
            </w:r>
          </w:p>
        </w:tc>
        <w:tc>
          <w:tcPr>
            <w:tcW w:w="10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(89.9)</w:t>
            </w:r>
          </w:p>
        </w:tc>
      </w:tr>
      <w:tr>
        <w:trPr>
          <w:trHeight w:val="226"/>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0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w:t>
            </w:r>
          </w:p>
        </w:tc>
      </w:tr>
      <w:tr>
        <w:trPr>
          <w:trHeight w:val="233"/>
        </w:trPr>
        <w:tc>
          <w:tcPr>
            <w:tcW w:w="7840" w:type="dxa"/>
            <w:vAlign w:val="bottom"/>
          </w:tcPr>
          <w:p>
            <w:pPr>
              <w:ind w:left="20"/>
              <w:spacing w:after="0"/>
              <w:rPr>
                <w:sz w:val="20"/>
                <w:szCs w:val="20"/>
                <w:color w:val="auto"/>
              </w:rPr>
            </w:pPr>
            <w:r>
              <w:rPr>
                <w:rFonts w:ascii="Arial" w:cs="Arial" w:eastAsia="Arial" w:hAnsi="Arial"/>
                <w:sz w:val="18"/>
                <w:szCs w:val="18"/>
                <w:color w:val="auto"/>
              </w:rPr>
              <w:t>Total</w:t>
            </w:r>
          </w:p>
        </w:tc>
        <w:tc>
          <w:tcPr>
            <w:tcW w:w="1080" w:type="dxa"/>
            <w:vAlign w:val="bottom"/>
          </w:tcPr>
          <w:p>
            <w:pPr>
              <w:jc w:val="right"/>
              <w:ind w:right="90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(81.2)</w:t>
            </w:r>
          </w:p>
        </w:tc>
        <w:tc>
          <w:tcPr>
            <w:tcW w:w="1200" w:type="dxa"/>
            <w:vAlign w:val="bottom"/>
            <w:gridSpan w:val="2"/>
          </w:tcPr>
          <w:p>
            <w:pPr>
              <w:jc w:val="right"/>
              <w:ind w:right="98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(76.1)</w:t>
            </w:r>
          </w:p>
        </w:tc>
      </w:tr>
      <w:tr>
        <w:trPr>
          <w:trHeight w:val="20"/>
        </w:trPr>
        <w:tc>
          <w:tcPr>
            <w:tcW w:w="784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Restaurant Group</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presents the results from operations of our Restaurant Group segment:</w:t>
      </w:r>
    </w:p>
    <w:p>
      <w:pPr>
        <w:spacing w:after="0" w:line="141"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4140" w:type="dxa"/>
            <w:vAlign w:val="bottom"/>
          </w:tcPr>
          <w:p>
            <w:pPr>
              <w:spacing w:after="0"/>
              <w:rPr>
                <w:sz w:val="16"/>
                <w:szCs w:val="16"/>
                <w:color w:val="auto"/>
              </w:rPr>
            </w:pPr>
          </w:p>
        </w:tc>
        <w:tc>
          <w:tcPr>
            <w:tcW w:w="284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auto"/>
              </w:rPr>
              <w:t>Three months ended June 30,</w:t>
            </w: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80" w:type="dxa"/>
            <w:vAlign w:val="bottom"/>
            <w:gridSpan w:val="4"/>
          </w:tcPr>
          <w:p>
            <w:pPr>
              <w:jc w:val="right"/>
              <w:ind w:right="821"/>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4"/>
        </w:trPr>
        <w:tc>
          <w:tcPr>
            <w:tcW w:w="414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140" w:type="dxa"/>
            <w:vAlign w:val="bottom"/>
          </w:tcPr>
          <w:p>
            <w:pPr>
              <w:spacing w:after="0"/>
              <w:rPr>
                <w:sz w:val="16"/>
                <w:szCs w:val="16"/>
                <w:color w:val="auto"/>
              </w:rPr>
            </w:pPr>
          </w:p>
        </w:tc>
        <w:tc>
          <w:tcPr>
            <w:tcW w:w="1100" w:type="dxa"/>
            <w:vAlign w:val="bottom"/>
            <w:tcBorders>
              <w:bottom w:val="single" w:sz="8" w:color="auto"/>
            </w:tcBorders>
          </w:tcPr>
          <w:p>
            <w:pPr>
              <w:jc w:val="right"/>
              <w:ind w:right="65"/>
              <w:spacing w:after="0"/>
              <w:rPr>
                <w:sz w:val="20"/>
                <w:szCs w:val="20"/>
                <w:color w:val="auto"/>
              </w:rPr>
            </w:pPr>
            <w:r>
              <w:rPr>
                <w:rFonts w:ascii="Arial" w:cs="Arial" w:eastAsia="Arial" w:hAnsi="Arial"/>
                <w:sz w:val="14"/>
                <w:szCs w:val="14"/>
                <w:b w:val="1"/>
                <w:bCs w:val="1"/>
                <w:color w:val="auto"/>
              </w:rPr>
              <w:t>2023</w:t>
            </w:r>
          </w:p>
        </w:tc>
        <w:tc>
          <w:tcPr>
            <w:tcW w:w="5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b w:val="1"/>
                <w:bCs w:val="1"/>
                <w:color w:val="auto"/>
              </w:rPr>
              <w:t>2022</w:t>
            </w: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82"/>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601"/>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85"/>
        </w:trPr>
        <w:tc>
          <w:tcPr>
            <w:tcW w:w="4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6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(In millions)</w:t>
            </w: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1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40" w:type="dxa"/>
            <w:vAlign w:val="bottom"/>
          </w:tcPr>
          <w:p>
            <w:pPr>
              <w:ind w:left="200"/>
              <w:spacing w:after="0"/>
              <w:rPr>
                <w:sz w:val="20"/>
                <w:szCs w:val="20"/>
                <w:color w:val="auto"/>
              </w:rPr>
            </w:pPr>
            <w:r>
              <w:rPr>
                <w:rFonts w:ascii="Arial" w:cs="Arial" w:eastAsia="Arial" w:hAnsi="Arial"/>
                <w:sz w:val="16"/>
                <w:szCs w:val="16"/>
                <w:color w:val="auto"/>
              </w:rPr>
              <w:t>Restaurant revenue</w:t>
            </w:r>
          </w:p>
        </w:tc>
        <w:tc>
          <w:tcPr>
            <w:tcW w:w="1100" w:type="dxa"/>
            <w:vAlign w:val="bottom"/>
          </w:tcPr>
          <w:p>
            <w:pPr>
              <w:jc w:val="right"/>
              <w:ind w:right="925"/>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145.2</w:t>
            </w:r>
          </w:p>
        </w:tc>
        <w:tc>
          <w:tcPr>
            <w:tcW w:w="1200" w:type="dxa"/>
            <w:vAlign w:val="bottom"/>
            <w:gridSpan w:val="2"/>
          </w:tcPr>
          <w:p>
            <w:pPr>
              <w:jc w:val="right"/>
              <w:ind w:right="1000"/>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166.7</w:t>
            </w:r>
          </w:p>
        </w:tc>
        <w:tc>
          <w:tcPr>
            <w:tcW w:w="62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293.7</w:t>
            </w:r>
          </w:p>
        </w:tc>
        <w:tc>
          <w:tcPr>
            <w:tcW w:w="5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
              <w:spacing w:after="0"/>
              <w:rPr>
                <w:sz w:val="20"/>
                <w:szCs w:val="20"/>
                <w:color w:val="auto"/>
              </w:rPr>
            </w:pPr>
            <w:r>
              <w:rPr>
                <w:rFonts w:ascii="Arial" w:cs="Arial" w:eastAsia="Arial" w:hAnsi="Arial"/>
                <w:sz w:val="16"/>
                <w:szCs w:val="16"/>
                <w:color w:val="auto"/>
              </w:rPr>
              <w:t>328.8</w:t>
            </w:r>
          </w:p>
        </w:tc>
        <w:tc>
          <w:tcPr>
            <w:tcW w:w="0" w:type="dxa"/>
            <w:vAlign w:val="bottom"/>
          </w:tcPr>
          <w:p>
            <w:pPr>
              <w:spacing w:after="0"/>
              <w:rPr>
                <w:sz w:val="1"/>
                <w:szCs w:val="1"/>
                <w:color w:val="auto"/>
              </w:rPr>
            </w:pPr>
          </w:p>
        </w:tc>
      </w:tr>
      <w:tr>
        <w:trPr>
          <w:trHeight w:val="208"/>
        </w:trPr>
        <w:tc>
          <w:tcPr>
            <w:tcW w:w="4140" w:type="dxa"/>
            <w:vAlign w:val="bottom"/>
            <w:tcBorders>
              <w:top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Total operating revenues</w:t>
            </w:r>
          </w:p>
        </w:tc>
        <w:tc>
          <w:tcPr>
            <w:tcW w:w="1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145.2</w:t>
            </w:r>
          </w:p>
        </w:tc>
        <w:tc>
          <w:tcPr>
            <w:tcW w:w="12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166.7</w:t>
            </w:r>
          </w:p>
        </w:tc>
        <w:tc>
          <w:tcPr>
            <w:tcW w:w="1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293.7</w:t>
            </w:r>
          </w:p>
        </w:tc>
        <w:tc>
          <w:tcPr>
            <w:tcW w:w="1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328.8</w:t>
            </w:r>
          </w:p>
        </w:tc>
        <w:tc>
          <w:tcPr>
            <w:tcW w:w="0" w:type="dxa"/>
            <w:vAlign w:val="bottom"/>
          </w:tcPr>
          <w:p>
            <w:pPr>
              <w:spacing w:after="0"/>
              <w:rPr>
                <w:sz w:val="1"/>
                <w:szCs w:val="1"/>
                <w:color w:val="auto"/>
              </w:rPr>
            </w:pPr>
          </w:p>
        </w:tc>
      </w:tr>
      <w:tr>
        <w:trPr>
          <w:trHeight w:val="210"/>
        </w:trPr>
        <w:tc>
          <w:tcPr>
            <w:tcW w:w="414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1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1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Cost of restaurant revenue</w:t>
            </w:r>
          </w:p>
        </w:tc>
        <w:tc>
          <w:tcPr>
            <w:tcW w:w="1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128.3</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147.9</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259.9</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293.3</w:t>
            </w:r>
          </w:p>
        </w:tc>
        <w:tc>
          <w:tcPr>
            <w:tcW w:w="0" w:type="dxa"/>
            <w:vAlign w:val="bottom"/>
          </w:tcPr>
          <w:p>
            <w:pPr>
              <w:spacing w:after="0"/>
              <w:rPr>
                <w:sz w:val="1"/>
                <w:szCs w:val="1"/>
                <w:color w:val="auto"/>
              </w:rPr>
            </w:pPr>
          </w:p>
        </w:tc>
      </w:tr>
      <w:tr>
        <w:trPr>
          <w:trHeight w:val="210"/>
        </w:trPr>
        <w:tc>
          <w:tcPr>
            <w:tcW w:w="4140" w:type="dxa"/>
            <w:vAlign w:val="bottom"/>
          </w:tcPr>
          <w:p>
            <w:pPr>
              <w:ind w:left="200"/>
              <w:spacing w:after="0"/>
              <w:rPr>
                <w:sz w:val="20"/>
                <w:szCs w:val="20"/>
                <w:color w:val="auto"/>
              </w:rPr>
            </w:pPr>
            <w:r>
              <w:rPr>
                <w:rFonts w:ascii="Arial" w:cs="Arial" w:eastAsia="Arial" w:hAnsi="Arial"/>
                <w:sz w:val="16"/>
                <w:szCs w:val="16"/>
                <w:color w:val="auto"/>
              </w:rPr>
              <w:t>Personnel costs</w:t>
            </w:r>
          </w:p>
        </w:tc>
        <w:tc>
          <w:tcPr>
            <w:tcW w:w="1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6.0</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6.1</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12.7</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ind w:right="1"/>
              <w:spacing w:after="0"/>
              <w:rPr>
                <w:sz w:val="20"/>
                <w:szCs w:val="20"/>
                <w:color w:val="auto"/>
              </w:rPr>
            </w:pPr>
            <w:r>
              <w:rPr>
                <w:rFonts w:ascii="Arial" w:cs="Arial" w:eastAsia="Arial" w:hAnsi="Arial"/>
                <w:sz w:val="16"/>
                <w:szCs w:val="16"/>
                <w:color w:val="auto"/>
              </w:rPr>
              <w:t>12.3</w:t>
            </w:r>
          </w:p>
        </w:tc>
        <w:tc>
          <w:tcPr>
            <w:tcW w:w="0" w:type="dxa"/>
            <w:vAlign w:val="bottom"/>
          </w:tcPr>
          <w:p>
            <w:pPr>
              <w:spacing w:after="0"/>
              <w:rPr>
                <w:sz w:val="1"/>
                <w:szCs w:val="1"/>
                <w:color w:val="auto"/>
              </w:rPr>
            </w:pPr>
          </w:p>
        </w:tc>
      </w:tr>
      <w:tr>
        <w:trPr>
          <w:trHeight w:val="215"/>
        </w:trPr>
        <w:tc>
          <w:tcPr>
            <w:tcW w:w="41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Depreciation and amortization</w:t>
            </w:r>
          </w:p>
        </w:tc>
        <w:tc>
          <w:tcPr>
            <w:tcW w:w="1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10.9</w:t>
            </w:r>
          </w:p>
        </w:tc>
        <w:tc>
          <w:tcPr>
            <w:tcW w:w="0" w:type="dxa"/>
            <w:vAlign w:val="bottom"/>
          </w:tcPr>
          <w:p>
            <w:pPr>
              <w:spacing w:after="0"/>
              <w:rPr>
                <w:sz w:val="1"/>
                <w:szCs w:val="1"/>
                <w:color w:val="auto"/>
              </w:rPr>
            </w:pPr>
          </w:p>
        </w:tc>
      </w:tr>
      <w:tr>
        <w:trPr>
          <w:trHeight w:val="199"/>
        </w:trPr>
        <w:tc>
          <w:tcPr>
            <w:tcW w:w="4140" w:type="dxa"/>
            <w:vAlign w:val="bottom"/>
          </w:tcPr>
          <w:p>
            <w:pPr>
              <w:ind w:left="200"/>
              <w:spacing w:after="0"/>
              <w:rPr>
                <w:sz w:val="20"/>
                <w:szCs w:val="20"/>
                <w:color w:val="auto"/>
              </w:rPr>
            </w:pPr>
            <w:r>
              <w:rPr>
                <w:rFonts w:ascii="Arial" w:cs="Arial" w:eastAsia="Arial" w:hAnsi="Arial"/>
                <w:sz w:val="16"/>
                <w:szCs w:val="16"/>
                <w:color w:val="auto"/>
              </w:rPr>
              <w:t>Other operating expenses</w:t>
            </w:r>
          </w:p>
        </w:tc>
        <w:tc>
          <w:tcPr>
            <w:tcW w:w="11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w:t>
            </w:r>
          </w:p>
        </w:tc>
        <w:tc>
          <w:tcPr>
            <w:tcW w:w="120" w:type="dxa"/>
            <w:vAlign w:val="bottom"/>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w:t>
            </w:r>
          </w:p>
        </w:tc>
        <w:tc>
          <w:tcPr>
            <w:tcW w:w="12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20.6</w:t>
            </w:r>
          </w:p>
        </w:tc>
        <w:tc>
          <w:tcPr>
            <w:tcW w:w="1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19.3</w:t>
            </w:r>
          </w:p>
        </w:tc>
        <w:tc>
          <w:tcPr>
            <w:tcW w:w="0" w:type="dxa"/>
            <w:vAlign w:val="bottom"/>
          </w:tcPr>
          <w:p>
            <w:pPr>
              <w:spacing w:after="0"/>
              <w:rPr>
                <w:sz w:val="1"/>
                <w:szCs w:val="1"/>
                <w:color w:val="auto"/>
              </w:rPr>
            </w:pPr>
          </w:p>
        </w:tc>
      </w:tr>
      <w:tr>
        <w:trPr>
          <w:trHeight w:val="206"/>
        </w:trPr>
        <w:tc>
          <w:tcPr>
            <w:tcW w:w="41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Total operating expenses</w:t>
            </w:r>
          </w:p>
        </w:tc>
        <w:tc>
          <w:tcPr>
            <w:tcW w:w="110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150.3</w:t>
            </w:r>
          </w:p>
        </w:tc>
        <w:tc>
          <w:tcPr>
            <w:tcW w:w="12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170.1</w:t>
            </w:r>
          </w:p>
        </w:tc>
        <w:tc>
          <w:tcPr>
            <w:tcW w:w="12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302.1</w:t>
            </w:r>
          </w:p>
        </w:tc>
        <w:tc>
          <w:tcPr>
            <w:tcW w:w="1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335.8</w:t>
            </w:r>
          </w:p>
        </w:tc>
        <w:tc>
          <w:tcPr>
            <w:tcW w:w="0" w:type="dxa"/>
            <w:vAlign w:val="bottom"/>
          </w:tcPr>
          <w:p>
            <w:pPr>
              <w:spacing w:after="0"/>
              <w:rPr>
                <w:sz w:val="1"/>
                <w:szCs w:val="1"/>
                <w:color w:val="auto"/>
              </w:rPr>
            </w:pPr>
          </w:p>
        </w:tc>
      </w:tr>
      <w:tr>
        <w:trPr>
          <w:trHeight w:val="206"/>
        </w:trPr>
        <w:tc>
          <w:tcPr>
            <w:tcW w:w="4140" w:type="dxa"/>
            <w:vAlign w:val="bottom"/>
          </w:tcPr>
          <w:p>
            <w:pPr>
              <w:ind w:left="520"/>
              <w:spacing w:after="0"/>
              <w:rPr>
                <w:sz w:val="20"/>
                <w:szCs w:val="20"/>
                <w:color w:val="auto"/>
              </w:rPr>
            </w:pPr>
            <w:r>
              <w:rPr>
                <w:rFonts w:ascii="Arial" w:cs="Arial" w:eastAsia="Arial" w:hAnsi="Arial"/>
                <w:sz w:val="16"/>
                <w:szCs w:val="16"/>
                <w:color w:val="auto"/>
              </w:rPr>
              <w:t>Operating loss</w:t>
            </w:r>
          </w:p>
        </w:tc>
        <w:tc>
          <w:tcPr>
            <w:tcW w:w="11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w:t>
            </w:r>
          </w:p>
        </w:tc>
        <w:tc>
          <w:tcPr>
            <w:tcW w:w="120" w:type="dxa"/>
            <w:vAlign w:val="bottom"/>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w:t>
            </w:r>
          </w:p>
        </w:tc>
        <w:tc>
          <w:tcPr>
            <w:tcW w:w="12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w:t>
            </w:r>
          </w:p>
        </w:tc>
        <w:tc>
          <w:tcPr>
            <w:tcW w:w="1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206"/>
        </w:trPr>
        <w:tc>
          <w:tcPr>
            <w:tcW w:w="4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(expense):</w:t>
            </w:r>
          </w:p>
        </w:tc>
        <w:tc>
          <w:tcPr>
            <w:tcW w:w="1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140" w:type="dxa"/>
            <w:vAlign w:val="bottom"/>
          </w:tcPr>
          <w:p>
            <w:pPr>
              <w:ind w:left="200"/>
              <w:spacing w:after="0"/>
              <w:rPr>
                <w:sz w:val="20"/>
                <w:szCs w:val="20"/>
                <w:color w:val="auto"/>
              </w:rPr>
            </w:pPr>
            <w:r>
              <w:rPr>
                <w:rFonts w:ascii="Arial" w:cs="Arial" w:eastAsia="Arial" w:hAnsi="Arial"/>
                <w:sz w:val="16"/>
                <w:szCs w:val="16"/>
                <w:color w:val="auto"/>
              </w:rPr>
              <w:t>Interest expense</w:t>
            </w:r>
          </w:p>
        </w:tc>
        <w:tc>
          <w:tcPr>
            <w:tcW w:w="1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15"/>
        </w:trPr>
        <w:tc>
          <w:tcPr>
            <w:tcW w:w="41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Recognized (losses) gains, net</w:t>
            </w:r>
          </w:p>
        </w:tc>
        <w:tc>
          <w:tcPr>
            <w:tcW w:w="1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2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03"/>
        </w:trPr>
        <w:tc>
          <w:tcPr>
            <w:tcW w:w="4140" w:type="dxa"/>
            <w:vAlign w:val="bottom"/>
            <w:tcBorders>
              <w:bottom w:val="single" w:sz="8" w:color="CCEEFF"/>
            </w:tcBorders>
          </w:tcPr>
          <w:p>
            <w:pPr>
              <w:ind w:left="440"/>
              <w:spacing w:after="0"/>
              <w:rPr>
                <w:sz w:val="20"/>
                <w:szCs w:val="20"/>
                <w:color w:val="auto"/>
              </w:rPr>
            </w:pPr>
            <w:r>
              <w:rPr>
                <w:rFonts w:ascii="Arial" w:cs="Arial" w:eastAsia="Arial" w:hAnsi="Arial"/>
                <w:sz w:val="16"/>
                <w:szCs w:val="16"/>
                <w:color w:val="auto"/>
              </w:rPr>
              <w:t>Total other (expense) income</w:t>
            </w:r>
          </w:p>
        </w:tc>
        <w:tc>
          <w:tcPr>
            <w:tcW w:w="11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12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0.9</w:t>
            </w:r>
          </w:p>
        </w:tc>
        <w:tc>
          <w:tcPr>
            <w:tcW w:w="12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(0.8)</w:t>
            </w:r>
          </w:p>
        </w:tc>
        <w:tc>
          <w:tcPr>
            <w:tcW w:w="0" w:type="dxa"/>
            <w:vAlign w:val="bottom"/>
          </w:tcPr>
          <w:p>
            <w:pPr>
              <w:spacing w:after="0"/>
              <w:rPr>
                <w:sz w:val="1"/>
                <w:szCs w:val="1"/>
                <w:color w:val="auto"/>
              </w:rPr>
            </w:pPr>
          </w:p>
        </w:tc>
      </w:tr>
      <w:tr>
        <w:trPr>
          <w:trHeight w:val="145"/>
        </w:trPr>
        <w:tc>
          <w:tcPr>
            <w:tcW w:w="4140" w:type="dxa"/>
            <w:vAlign w:val="bottom"/>
            <w:shd w:val="clear" w:color="auto" w:fill="CCEEFF"/>
          </w:tcPr>
          <w:p>
            <w:pPr>
              <w:ind w:left="20"/>
              <w:spacing w:after="0" w:line="145" w:lineRule="exact"/>
              <w:rPr>
                <w:sz w:val="20"/>
                <w:szCs w:val="20"/>
                <w:color w:val="auto"/>
              </w:rPr>
            </w:pPr>
            <w:r>
              <w:rPr>
                <w:rFonts w:ascii="Arial" w:cs="Arial" w:eastAsia="Arial" w:hAnsi="Arial"/>
                <w:sz w:val="16"/>
                <w:szCs w:val="16"/>
                <w:color w:val="auto"/>
                <w:w w:val="89"/>
              </w:rPr>
              <w:t>Loss before income taxes and equity in losses of unconsolidated</w:t>
            </w:r>
          </w:p>
        </w:tc>
        <w:tc>
          <w:tcPr>
            <w:tcW w:w="1100" w:type="dxa"/>
            <w:vAlign w:val="bottom"/>
            <w:vMerge w:val="restart"/>
            <w:shd w:val="clear" w:color="auto" w:fill="CCEEFF"/>
          </w:tcPr>
          <w:p>
            <w:pPr>
              <w:jc w:val="right"/>
              <w:ind w:right="925"/>
              <w:spacing w:after="0"/>
              <w:rPr>
                <w:sz w:val="20"/>
                <w:szCs w:val="20"/>
                <w:color w:val="auto"/>
              </w:rPr>
            </w:pPr>
            <w:r>
              <w:rPr>
                <w:rFonts w:ascii="Arial" w:cs="Arial" w:eastAsia="Arial" w:hAnsi="Arial"/>
                <w:sz w:val="16"/>
                <w:szCs w:val="16"/>
                <w:color w:val="auto"/>
                <w:w w:val="89"/>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1200" w:type="dxa"/>
            <w:vAlign w:val="bottom"/>
            <w:gridSpan w:val="2"/>
            <w:vMerge w:val="restart"/>
            <w:shd w:val="clear" w:color="auto" w:fill="CCEEFF"/>
          </w:tcPr>
          <w:p>
            <w:pPr>
              <w:jc w:val="right"/>
              <w:ind w:right="1000"/>
              <w:spacing w:after="0"/>
              <w:rPr>
                <w:sz w:val="20"/>
                <w:szCs w:val="20"/>
                <w:color w:val="auto"/>
              </w:rPr>
            </w:pPr>
            <w:r>
              <w:rPr>
                <w:rFonts w:ascii="Arial" w:cs="Arial" w:eastAsia="Arial" w:hAnsi="Arial"/>
                <w:sz w:val="16"/>
                <w:szCs w:val="16"/>
                <w:color w:val="auto"/>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620" w:type="dxa"/>
            <w:vAlign w:val="bottom"/>
            <w:gridSpan w:val="2"/>
            <w:vMerge w:val="restart"/>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(11.1)</w:t>
            </w:r>
          </w:p>
        </w:tc>
        <w:tc>
          <w:tcPr>
            <w:tcW w:w="50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202"/>
        </w:trPr>
        <w:tc>
          <w:tcPr>
            <w:tcW w:w="4140" w:type="dxa"/>
            <w:vAlign w:val="bottom"/>
            <w:shd w:val="clear" w:color="auto" w:fill="CCEEFF"/>
          </w:tcPr>
          <w:p>
            <w:pPr>
              <w:ind w:left="20"/>
              <w:spacing w:after="0" w:line="182" w:lineRule="exact"/>
              <w:rPr>
                <w:sz w:val="20"/>
                <w:szCs w:val="20"/>
                <w:color w:val="auto"/>
              </w:rPr>
            </w:pPr>
            <w:r>
              <w:rPr>
                <w:rFonts w:ascii="Arial" w:cs="Arial" w:eastAsia="Arial" w:hAnsi="Arial"/>
                <w:sz w:val="16"/>
                <w:szCs w:val="16"/>
                <w:color w:val="auto"/>
              </w:rPr>
              <w:t>affiliates</w:t>
            </w:r>
          </w:p>
        </w:tc>
        <w:tc>
          <w:tcPr>
            <w:tcW w:w="1100" w:type="dxa"/>
            <w:vAlign w:val="bottom"/>
            <w:vMerge w:val="continue"/>
            <w:shd w:val="clear" w:color="auto" w:fill="CCEEFF"/>
          </w:tcPr>
          <w:p>
            <w:pPr>
              <w:spacing w:after="0"/>
              <w:rPr>
                <w:sz w:val="17"/>
                <w:szCs w:val="17"/>
                <w:color w:val="auto"/>
              </w:rPr>
            </w:pPr>
          </w:p>
        </w:tc>
        <w:tc>
          <w:tcPr>
            <w:tcW w:w="540" w:type="dxa"/>
            <w:vAlign w:val="bottom"/>
            <w:vMerge w:val="continue"/>
            <w:shd w:val="clear" w:color="auto" w:fill="CCEEFF"/>
          </w:tcPr>
          <w:p>
            <w:pPr>
              <w:spacing w:after="0"/>
              <w:rPr>
                <w:sz w:val="17"/>
                <w:szCs w:val="17"/>
                <w:color w:val="auto"/>
              </w:rPr>
            </w:pPr>
          </w:p>
        </w:tc>
        <w:tc>
          <w:tcPr>
            <w:tcW w:w="1200" w:type="dxa"/>
            <w:vAlign w:val="bottom"/>
            <w:gridSpan w:val="2"/>
            <w:vMerge w:val="continue"/>
            <w:shd w:val="clear" w:color="auto" w:fill="CCEEFF"/>
          </w:tcPr>
          <w:p>
            <w:pPr>
              <w:spacing w:after="0"/>
              <w:rPr>
                <w:sz w:val="17"/>
                <w:szCs w:val="17"/>
                <w:color w:val="auto"/>
              </w:rPr>
            </w:pPr>
          </w:p>
        </w:tc>
        <w:tc>
          <w:tcPr>
            <w:tcW w:w="540" w:type="dxa"/>
            <w:vAlign w:val="bottom"/>
            <w:vMerge w:val="continue"/>
            <w:shd w:val="clear" w:color="auto" w:fill="CCEEFF"/>
          </w:tcPr>
          <w:p>
            <w:pPr>
              <w:spacing w:after="0"/>
              <w:rPr>
                <w:sz w:val="17"/>
                <w:szCs w:val="17"/>
                <w:color w:val="auto"/>
              </w:rPr>
            </w:pPr>
          </w:p>
        </w:tc>
        <w:tc>
          <w:tcPr>
            <w:tcW w:w="620" w:type="dxa"/>
            <w:vAlign w:val="bottom"/>
            <w:gridSpan w:val="2"/>
            <w:vMerge w:val="continue"/>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500" w:type="dxa"/>
            <w:vAlign w:val="bottom"/>
            <w:gridSpan w:val="2"/>
            <w:vMerge w:val="continue"/>
            <w:shd w:val="clear" w:color="auto" w:fill="CCEEFF"/>
          </w:tcPr>
          <w:p>
            <w:pPr>
              <w:spacing w:after="0"/>
              <w:rPr>
                <w:sz w:val="17"/>
                <w:szCs w:val="17"/>
                <w:color w:val="auto"/>
              </w:rPr>
            </w:pPr>
          </w:p>
        </w:tc>
        <w:tc>
          <w:tcPr>
            <w:tcW w:w="12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 the Three Months Ended June 30, 2023</w:t>
      </w:r>
    </w:p>
    <w:p>
      <w:pPr>
        <w:spacing w:after="0" w:line="13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Total revenues for the Restaurant Group segment decreased $21.5 million, or 12.9%, in the three months ended June 30, 2023, compared to the corresponding periods in 2022. The decrease was attributable to the inclusion of revenue of $6.6 million in the three months ended June 30, 2022 associated with stores that were closed prior to the second quarter of 2023 and a decline in comparable store sales.</w:t>
      </w:r>
    </w:p>
    <w:p>
      <w:pPr>
        <w:spacing w:after="0" w:line="83"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i w:val="1"/>
          <w:iCs w:val="1"/>
          <w:color w:val="auto"/>
        </w:rPr>
        <w:t xml:space="preserve">Comparable Store Sales. </w:t>
      </w:r>
      <w:r>
        <w:rPr>
          <w:rFonts w:ascii="Arial" w:cs="Arial" w:eastAsia="Arial" w:hAnsi="Arial"/>
          <w:sz w:val="18"/>
          <w:szCs w:val="18"/>
          <w:color w:val="auto"/>
        </w:rPr>
        <w:t>One method we use in evaluating the performance of our restaurants is to compare sales results for restaurants period over</w:t>
      </w:r>
      <w:r>
        <w:rPr>
          <w:rFonts w:ascii="Arial" w:cs="Arial" w:eastAsia="Arial" w:hAnsi="Arial"/>
          <w:sz w:val="18"/>
          <w:szCs w:val="18"/>
          <w:i w:val="1"/>
          <w:iCs w:val="1"/>
          <w:color w:val="auto"/>
        </w:rPr>
        <w:t xml:space="preserve"> </w:t>
      </w:r>
      <w:r>
        <w:rPr>
          <w:rFonts w:ascii="Arial" w:cs="Arial" w:eastAsia="Arial" w:hAnsi="Arial"/>
          <w:sz w:val="18"/>
          <w:szCs w:val="18"/>
          <w:color w:val="auto"/>
        </w:rPr>
        <w:t>period. A new restaurant is included in our comparable store sales figures starting in the first period following the restaurant's first seventy-eight weeks of operations. Changes in comparable store sales reflect changes in sales for</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right="100"/>
        <w:spacing w:after="0" w:line="252" w:lineRule="auto"/>
        <w:rPr>
          <w:sz w:val="20"/>
          <w:szCs w:val="20"/>
          <w:color w:val="auto"/>
        </w:rPr>
      </w:pPr>
      <w:r>
        <w:rPr>
          <w:rFonts w:ascii="Arial" w:cs="Arial" w:eastAsia="Arial" w:hAnsi="Arial"/>
          <w:sz w:val="18"/>
          <w:szCs w:val="18"/>
          <w:color w:val="auto"/>
        </w:rPr>
        <w:t>the comparable store group of restaurants over a specified period of time. This measure highlights the performance of existing restaurants, as the impact of new restaurant openings is excluded. Comparable store sales for our O'Charley's and 99 Restaurants brands decreased by 7.9% and 3.2%, respectively, in the three months ended June 30, 2023 compared to the comparable period in 2022. The decrease is primarily attributable to a decrease in guest counts, partially offset by an increase in the average amount spent by customers each visit.</w:t>
      </w:r>
    </w:p>
    <w:p>
      <w:pPr>
        <w:spacing w:after="0" w:line="86" w:lineRule="exact"/>
        <w:rPr>
          <w:sz w:val="20"/>
          <w:szCs w:val="20"/>
          <w:color w:val="auto"/>
        </w:rPr>
      </w:pPr>
    </w:p>
    <w:p>
      <w:pPr>
        <w:jc w:val="both"/>
        <w:ind w:right="100" w:firstLine="318"/>
        <w:spacing w:after="0" w:line="265" w:lineRule="auto"/>
        <w:rPr>
          <w:sz w:val="20"/>
          <w:szCs w:val="20"/>
          <w:color w:val="auto"/>
        </w:rPr>
      </w:pPr>
      <w:r>
        <w:rPr>
          <w:rFonts w:ascii="Arial" w:cs="Arial" w:eastAsia="Arial" w:hAnsi="Arial"/>
          <w:sz w:val="18"/>
          <w:szCs w:val="18"/>
          <w:color w:val="auto"/>
        </w:rPr>
        <w:t>Cost of restaurant revenue decreased directionally consistent with Restaurant revenues. Cost of restaurant revenue as a percentage of restaurant revenue was 88.4% and 88.7% in the three months ended June 30, 2023 and 2022, respectively.</w:t>
      </w:r>
    </w:p>
    <w:p>
      <w:pPr>
        <w:spacing w:after="0" w:line="74" w:lineRule="exact"/>
        <w:rPr>
          <w:sz w:val="20"/>
          <w:szCs w:val="20"/>
          <w:color w:val="auto"/>
        </w:rPr>
      </w:pPr>
    </w:p>
    <w:p>
      <w:pPr>
        <w:jc w:val="both"/>
        <w:ind w:right="100" w:firstLine="318"/>
        <w:spacing w:after="0" w:line="265" w:lineRule="auto"/>
        <w:rPr>
          <w:sz w:val="20"/>
          <w:szCs w:val="20"/>
          <w:color w:val="auto"/>
        </w:rPr>
      </w:pPr>
      <w:r>
        <w:rPr>
          <w:rFonts w:ascii="Arial" w:cs="Arial" w:eastAsia="Arial" w:hAnsi="Arial"/>
          <w:sz w:val="18"/>
          <w:szCs w:val="18"/>
          <w:color w:val="auto"/>
        </w:rPr>
        <w:t>Loss before income taxes increased by $4.1 million, or 164.0%, in the three months ended June 30, 2023 from the corresponding period in 2022. The change in loss was primarily attributable to the factors discussed above.</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 the S</w:t>
      </w:r>
      <w:r>
        <w:rPr>
          <w:rFonts w:ascii="Arial" w:cs="Arial" w:eastAsia="Arial" w:hAnsi="Arial"/>
          <w:sz w:val="18"/>
          <w:szCs w:val="18"/>
          <w:b w:val="1"/>
          <w:bCs w:val="1"/>
          <w:color w:val="auto"/>
        </w:rPr>
        <w:t>ix</w:t>
      </w:r>
      <w:r>
        <w:rPr>
          <w:rFonts w:ascii="Arial" w:cs="Arial" w:eastAsia="Arial" w:hAnsi="Arial"/>
          <w:sz w:val="18"/>
          <w:szCs w:val="18"/>
          <w:b w:val="1"/>
          <w:bCs w:val="1"/>
          <w:i w:val="1"/>
          <w:iCs w:val="1"/>
          <w:color w:val="auto"/>
        </w:rPr>
        <w:t xml:space="preserve"> Months Ended June 30, 2023</w:t>
      </w:r>
    </w:p>
    <w:p>
      <w:pPr>
        <w:spacing w:after="0" w:line="144" w:lineRule="exact"/>
        <w:rPr>
          <w:sz w:val="20"/>
          <w:szCs w:val="20"/>
          <w:color w:val="auto"/>
        </w:rPr>
      </w:pPr>
    </w:p>
    <w:p>
      <w:pPr>
        <w:jc w:val="both"/>
        <w:ind w:right="100" w:firstLine="318"/>
        <w:spacing w:after="0" w:line="255" w:lineRule="auto"/>
        <w:rPr>
          <w:sz w:val="20"/>
          <w:szCs w:val="20"/>
          <w:color w:val="auto"/>
        </w:rPr>
      </w:pPr>
      <w:r>
        <w:rPr>
          <w:rFonts w:ascii="Arial" w:cs="Arial" w:eastAsia="Arial" w:hAnsi="Arial"/>
          <w:sz w:val="18"/>
          <w:szCs w:val="18"/>
          <w:color w:val="auto"/>
        </w:rPr>
        <w:t>Total revenues for the Restaurant Group segment decreased $35.1 million, or 10.7%, in the six months ended June 30, 2023, compared to the corresponding period in 2022. The decrease was primarily attributable to the inclusion of revenue of $14.9 million in the six months ended June 30, 2022 associated with stores that were closed prior to 2023 and a decline in same store sales.</w:t>
      </w:r>
    </w:p>
    <w:p>
      <w:pPr>
        <w:spacing w:after="0" w:line="83" w:lineRule="exact"/>
        <w:rPr>
          <w:sz w:val="20"/>
          <w:szCs w:val="20"/>
          <w:color w:val="auto"/>
        </w:rPr>
      </w:pPr>
    </w:p>
    <w:p>
      <w:pPr>
        <w:jc w:val="both"/>
        <w:ind w:right="100" w:firstLine="318"/>
        <w:spacing w:after="0" w:line="255" w:lineRule="auto"/>
        <w:rPr>
          <w:sz w:val="20"/>
          <w:szCs w:val="20"/>
          <w:color w:val="auto"/>
        </w:rPr>
      </w:pPr>
      <w:r>
        <w:rPr>
          <w:rFonts w:ascii="Arial" w:cs="Arial" w:eastAsia="Arial" w:hAnsi="Arial"/>
          <w:sz w:val="18"/>
          <w:szCs w:val="18"/>
          <w:i w:val="1"/>
          <w:iCs w:val="1"/>
          <w:color w:val="auto"/>
        </w:rPr>
        <w:t xml:space="preserve">Comparable Store Sales. </w:t>
      </w:r>
      <w:r>
        <w:rPr>
          <w:rFonts w:ascii="Arial" w:cs="Arial" w:eastAsia="Arial" w:hAnsi="Arial"/>
          <w:sz w:val="18"/>
          <w:szCs w:val="18"/>
          <w:color w:val="auto"/>
        </w:rPr>
        <w:t>Comparable store sales for our O'Charley's and 99 Restaurants brands decreased by 6.1% and 1.7%, respectively, in the six</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June 30, 2023 compared to the comparable period in 2022. The decrease in 2023 is primarily attributable to a decrease in guest counts, partially offset by an increase in the average amount spent by customers each visit.</w:t>
      </w:r>
    </w:p>
    <w:p>
      <w:pPr>
        <w:spacing w:after="0" w:line="83" w:lineRule="exact"/>
        <w:rPr>
          <w:sz w:val="20"/>
          <w:szCs w:val="20"/>
          <w:color w:val="auto"/>
        </w:rPr>
      </w:pPr>
    </w:p>
    <w:p>
      <w:pPr>
        <w:jc w:val="both"/>
        <w:ind w:right="100" w:firstLine="318"/>
        <w:spacing w:after="0" w:line="265" w:lineRule="auto"/>
        <w:rPr>
          <w:sz w:val="20"/>
          <w:szCs w:val="20"/>
          <w:color w:val="auto"/>
        </w:rPr>
      </w:pPr>
      <w:r>
        <w:rPr>
          <w:rFonts w:ascii="Arial" w:cs="Arial" w:eastAsia="Arial" w:hAnsi="Arial"/>
          <w:sz w:val="18"/>
          <w:szCs w:val="18"/>
          <w:color w:val="auto"/>
        </w:rPr>
        <w:t>Cost of restaurant revenue decreased directionally consistent with Restaurant revenues. Cost of restaurant revenue as a percentage of restaurant revenue was 88.5% and 89.2% in the six months ended June 30, 2023 and 2022, respectively.</w:t>
      </w:r>
    </w:p>
    <w:p>
      <w:pPr>
        <w:spacing w:after="0" w:line="74" w:lineRule="exact"/>
        <w:rPr>
          <w:sz w:val="20"/>
          <w:szCs w:val="20"/>
          <w:color w:val="auto"/>
        </w:rPr>
      </w:pPr>
    </w:p>
    <w:p>
      <w:pPr>
        <w:jc w:val="both"/>
        <w:ind w:right="100" w:firstLine="318"/>
        <w:spacing w:after="0" w:line="265" w:lineRule="auto"/>
        <w:rPr>
          <w:sz w:val="20"/>
          <w:szCs w:val="20"/>
          <w:color w:val="auto"/>
        </w:rPr>
      </w:pPr>
      <w:r>
        <w:rPr>
          <w:rFonts w:ascii="Arial" w:cs="Arial" w:eastAsia="Arial" w:hAnsi="Arial"/>
          <w:sz w:val="18"/>
          <w:szCs w:val="18"/>
          <w:color w:val="auto"/>
        </w:rPr>
        <w:t>Loss before income taxes increased by $3.3 million, or 42.3%, in the six months ended June 30, 2023 from the corresponding period in 2022. The change in income was primarily attributable to the factors discussed above.</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Dun &amp; Bradstreet</w:t>
      </w:r>
    </w:p>
    <w:p>
      <w:pPr>
        <w:spacing w:after="0" w:line="111" w:lineRule="exact"/>
        <w:rPr>
          <w:sz w:val="20"/>
          <w:szCs w:val="20"/>
          <w:color w:val="auto"/>
        </w:rPr>
      </w:pPr>
    </w:p>
    <w:p>
      <w:pPr>
        <w:jc w:val="both"/>
        <w:ind w:right="100" w:firstLine="318"/>
        <w:spacing w:after="0" w:line="265" w:lineRule="auto"/>
        <w:rPr>
          <w:sz w:val="20"/>
          <w:szCs w:val="20"/>
          <w:color w:val="auto"/>
        </w:rPr>
      </w:pPr>
      <w:r>
        <w:rPr>
          <w:rFonts w:ascii="Arial" w:cs="Arial" w:eastAsia="Arial" w:hAnsi="Arial"/>
          <w:sz w:val="18"/>
          <w:szCs w:val="18"/>
          <w:color w:val="auto"/>
        </w:rPr>
        <w:t>As of June 30, 2023, we own approximately 18.0% of the outstanding common stock of Dun &amp; Bradstreet. We account for our ownership interest in Dun &amp; Bradstreet under the equity method of accounting; therefore, its results of operations do not consolidate into ours.</w:t>
      </w:r>
    </w:p>
    <w:p>
      <w:pPr>
        <w:spacing w:after="0" w:line="74" w:lineRule="exact"/>
        <w:rPr>
          <w:sz w:val="20"/>
          <w:szCs w:val="20"/>
          <w:color w:val="auto"/>
        </w:rPr>
      </w:pPr>
    </w:p>
    <w:p>
      <w:pPr>
        <w:ind w:right="200" w:firstLine="318"/>
        <w:spacing w:after="0" w:line="265" w:lineRule="auto"/>
        <w:rPr>
          <w:sz w:val="20"/>
          <w:szCs w:val="20"/>
          <w:color w:val="auto"/>
        </w:rPr>
      </w:pPr>
      <w:r>
        <w:rPr>
          <w:rFonts w:ascii="Arial" w:cs="Arial" w:eastAsia="Arial" w:hAnsi="Arial"/>
          <w:sz w:val="18"/>
          <w:szCs w:val="18"/>
          <w:color w:val="auto"/>
        </w:rPr>
        <w:t>Summarized financial information for Dun &amp; Bradstreet for the relevant dates and time periods included in Equity in earnings (losses) of unconsolidated affiliates in our Statements of Operations is presented below.</w:t>
      </w:r>
    </w:p>
    <w:p>
      <w:pPr>
        <w:spacing w:after="0" w:line="103" w:lineRule="exact"/>
        <w:rPr>
          <w:sz w:val="20"/>
          <w:szCs w:val="20"/>
          <w:color w:val="auto"/>
        </w:rPr>
      </w:pPr>
    </w:p>
    <w:tbl>
      <w:tblPr>
        <w:tblLayout w:type="fixed"/>
        <w:tblInd w:w="320" w:type="dxa"/>
        <w:tblCellMar>
          <w:top w:w="0" w:type="dxa"/>
          <w:left w:w="0" w:type="dxa"/>
          <w:bottom w:w="0" w:type="dxa"/>
          <w:right w:w="0" w:type="dxa"/>
        </w:tblCellMar>
      </w:tblPr>
      <w:tr>
        <w:trPr>
          <w:trHeight w:val="184"/>
        </w:trPr>
        <w:tc>
          <w:tcPr>
            <w:tcW w:w="5440" w:type="dxa"/>
            <w:vAlign w:val="bottom"/>
          </w:tcPr>
          <w:p>
            <w:pPr>
              <w:spacing w:after="0"/>
              <w:rPr>
                <w:sz w:val="16"/>
                <w:szCs w:val="16"/>
                <w:color w:val="auto"/>
              </w:rPr>
            </w:pPr>
          </w:p>
        </w:tc>
        <w:tc>
          <w:tcPr>
            <w:tcW w:w="2340" w:type="dxa"/>
            <w:vAlign w:val="bottom"/>
            <w:gridSpan w:val="3"/>
          </w:tcPr>
          <w:p>
            <w:pPr>
              <w:ind w:left="520"/>
              <w:spacing w:after="0"/>
              <w:rPr>
                <w:sz w:val="20"/>
                <w:szCs w:val="20"/>
                <w:color w:val="auto"/>
              </w:rPr>
            </w:pPr>
            <w:r>
              <w:rPr>
                <w:rFonts w:ascii="Arial" w:cs="Arial" w:eastAsia="Arial" w:hAnsi="Arial"/>
                <w:sz w:val="14"/>
                <w:szCs w:val="14"/>
                <w:b w:val="1"/>
                <w:bCs w:val="1"/>
                <w:color w:val="auto"/>
                <w:w w:val="91"/>
              </w:rPr>
              <w:t>Three months ended June 30,</w:t>
            </w: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0" w:type="dxa"/>
            <w:vAlign w:val="bottom"/>
            <w:gridSpan w:val="3"/>
          </w:tcPr>
          <w:p>
            <w:pPr>
              <w:jc w:val="right"/>
              <w:ind w:right="335"/>
              <w:spacing w:after="0"/>
              <w:rPr>
                <w:sz w:val="20"/>
                <w:szCs w:val="20"/>
                <w:color w:val="auto"/>
              </w:rPr>
            </w:pPr>
            <w:r>
              <w:rPr>
                <w:rFonts w:ascii="Arial" w:cs="Arial" w:eastAsia="Arial" w:hAnsi="Arial"/>
                <w:sz w:val="14"/>
                <w:szCs w:val="14"/>
                <w:b w:val="1"/>
                <w:bCs w:val="1"/>
                <w:color w:val="auto"/>
                <w:w w:val="97"/>
              </w:rPr>
              <w:t>Six months ended June 30,</w:t>
            </w:r>
          </w:p>
        </w:tc>
      </w:tr>
      <w:tr>
        <w:trPr>
          <w:trHeight w:val="24"/>
        </w:trPr>
        <w:tc>
          <w:tcPr>
            <w:tcW w:w="544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178"/>
        </w:trPr>
        <w:tc>
          <w:tcPr>
            <w:tcW w:w="5440" w:type="dxa"/>
            <w:vAlign w:val="bottom"/>
          </w:tcPr>
          <w:p>
            <w:pPr>
              <w:spacing w:after="0"/>
              <w:rPr>
                <w:sz w:val="15"/>
                <w:szCs w:val="15"/>
                <w:color w:val="auto"/>
              </w:rPr>
            </w:pPr>
          </w:p>
        </w:tc>
        <w:tc>
          <w:tcPr>
            <w:tcW w:w="860" w:type="dxa"/>
            <w:vAlign w:val="bottom"/>
            <w:tcBorders>
              <w:bottom w:val="single" w:sz="8" w:color="auto"/>
            </w:tcBorders>
          </w:tcPr>
          <w:p>
            <w:pPr>
              <w:ind w:left="540"/>
              <w:spacing w:after="0"/>
              <w:rPr>
                <w:sz w:val="20"/>
                <w:szCs w:val="20"/>
                <w:color w:val="auto"/>
              </w:rPr>
            </w:pPr>
            <w:r>
              <w:rPr>
                <w:rFonts w:ascii="Arial" w:cs="Arial" w:eastAsia="Arial" w:hAnsi="Arial"/>
                <w:sz w:val="14"/>
                <w:szCs w:val="14"/>
                <w:b w:val="1"/>
                <w:bCs w:val="1"/>
                <w:color w:val="auto"/>
                <w:w w:val="96"/>
              </w:rPr>
              <w:t>2023</w:t>
            </w:r>
          </w:p>
        </w:tc>
        <w:tc>
          <w:tcPr>
            <w:tcW w:w="5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2023</w:t>
            </w:r>
          </w:p>
        </w:tc>
        <w:tc>
          <w:tcPr>
            <w:tcW w:w="3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2022</w:t>
            </w:r>
          </w:p>
        </w:tc>
      </w:tr>
      <w:tr>
        <w:trPr>
          <w:trHeight w:val="186"/>
        </w:trPr>
        <w:tc>
          <w:tcPr>
            <w:tcW w:w="54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4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(In millions)</w:t>
            </w:r>
          </w:p>
        </w:tc>
        <w:tc>
          <w:tcPr>
            <w:tcW w:w="9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33"/>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860" w:type="dxa"/>
            <w:vAlign w:val="bottom"/>
            <w:shd w:val="clear" w:color="auto" w:fill="CCEEFF"/>
          </w:tcPr>
          <w:p>
            <w:pPr>
              <w:jc w:val="right"/>
              <w:ind w:right="683"/>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88"/>
              </w:rPr>
              <w:t>554.7</w:t>
            </w:r>
          </w:p>
        </w:tc>
        <w:tc>
          <w:tcPr>
            <w:tcW w:w="920" w:type="dxa"/>
            <w:vAlign w:val="bottom"/>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537.3</w:t>
            </w:r>
          </w:p>
        </w:tc>
        <w:tc>
          <w:tcPr>
            <w:tcW w:w="5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1,095.1</w:t>
            </w:r>
          </w:p>
        </w:tc>
        <w:tc>
          <w:tcPr>
            <w:tcW w:w="3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1,073</w:t>
            </w:r>
          </w:p>
        </w:tc>
      </w:tr>
      <w:tr>
        <w:trPr>
          <w:trHeight w:val="232"/>
        </w:trPr>
        <w:tc>
          <w:tcPr>
            <w:tcW w:w="544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860" w:type="dxa"/>
            <w:vAlign w:val="bottom"/>
          </w:tcPr>
          <w:p>
            <w:pPr>
              <w:spacing w:after="0"/>
              <w:rPr>
                <w:sz w:val="20"/>
                <w:szCs w:val="20"/>
                <w:color w:val="auto"/>
              </w:rPr>
            </w:pPr>
          </w:p>
        </w:tc>
        <w:tc>
          <w:tcPr>
            <w:tcW w:w="560" w:type="dxa"/>
            <w:vAlign w:val="bottom"/>
          </w:tcPr>
          <w:p>
            <w:pPr>
              <w:jc w:val="right"/>
              <w:ind w:right="52"/>
              <w:spacing w:after="0"/>
              <w:rPr>
                <w:sz w:val="20"/>
                <w:szCs w:val="20"/>
                <w:color w:val="auto"/>
              </w:rPr>
            </w:pPr>
            <w:r>
              <w:rPr>
                <w:rFonts w:ascii="Arial" w:cs="Arial" w:eastAsia="Arial" w:hAnsi="Arial"/>
                <w:sz w:val="18"/>
                <w:szCs w:val="18"/>
                <w:color w:val="auto"/>
              </w:rPr>
              <w:t>16.5</w:t>
            </w:r>
          </w:p>
        </w:tc>
        <w:tc>
          <w:tcPr>
            <w:tcW w:w="9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29.7</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80" w:type="dxa"/>
            <w:vAlign w:val="bottom"/>
          </w:tcPr>
          <w:p>
            <w:pPr>
              <w:jc w:val="right"/>
              <w:ind w:right="37"/>
              <w:spacing w:after="0"/>
              <w:rPr>
                <w:sz w:val="20"/>
                <w:szCs w:val="20"/>
                <w:color w:val="auto"/>
              </w:rPr>
            </w:pPr>
            <w:r>
              <w:rPr>
                <w:rFonts w:ascii="Arial" w:cs="Arial" w:eastAsia="Arial" w:hAnsi="Arial"/>
                <w:sz w:val="18"/>
                <w:szCs w:val="18"/>
                <w:color w:val="auto"/>
              </w:rPr>
              <w:t>24.4</w:t>
            </w:r>
          </w:p>
        </w:tc>
        <w:tc>
          <w:tcPr>
            <w:tcW w:w="3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33"/>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86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(18.8)</w:t>
            </w:r>
          </w:p>
        </w:tc>
        <w:tc>
          <w:tcPr>
            <w:tcW w:w="92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w:t>
            </w:r>
          </w:p>
        </w:tc>
        <w:tc>
          <w:tcPr>
            <w:tcW w:w="38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25"/>
        </w:trPr>
        <w:tc>
          <w:tcPr>
            <w:tcW w:w="5440" w:type="dxa"/>
            <w:vAlign w:val="bottom"/>
          </w:tcPr>
          <w:p>
            <w:pPr>
              <w:ind w:left="20"/>
              <w:spacing w:after="0"/>
              <w:rPr>
                <w:sz w:val="20"/>
                <w:szCs w:val="20"/>
                <w:color w:val="auto"/>
              </w:rPr>
            </w:pPr>
            <w:r>
              <w:rPr>
                <w:rFonts w:ascii="Arial" w:cs="Arial" w:eastAsia="Arial" w:hAnsi="Arial"/>
                <w:sz w:val="18"/>
                <w:szCs w:val="18"/>
                <w:color w:val="auto"/>
              </w:rPr>
              <w:t>Less: net earnings attributable to noncontrolling interest</w:t>
            </w:r>
          </w:p>
        </w:tc>
        <w:tc>
          <w:tcPr>
            <w:tcW w:w="860" w:type="dxa"/>
            <w:vAlign w:val="bottom"/>
          </w:tcPr>
          <w:p>
            <w:pPr>
              <w:spacing w:after="0"/>
              <w:rPr>
                <w:sz w:val="19"/>
                <w:szCs w:val="19"/>
                <w:color w:val="auto"/>
              </w:rPr>
            </w:pPr>
          </w:p>
        </w:tc>
        <w:tc>
          <w:tcPr>
            <w:tcW w:w="560" w:type="dxa"/>
            <w:vAlign w:val="bottom"/>
          </w:tcPr>
          <w:p>
            <w:pPr>
              <w:jc w:val="right"/>
              <w:ind w:right="52"/>
              <w:spacing w:after="0"/>
              <w:rPr>
                <w:sz w:val="20"/>
                <w:szCs w:val="20"/>
                <w:color w:val="auto"/>
              </w:rPr>
            </w:pPr>
            <w:r>
              <w:rPr>
                <w:rFonts w:ascii="Arial" w:cs="Arial" w:eastAsia="Arial" w:hAnsi="Arial"/>
                <w:sz w:val="18"/>
                <w:szCs w:val="18"/>
                <w:color w:val="auto"/>
              </w:rPr>
              <w:t>0.6</w:t>
            </w:r>
          </w:p>
        </w:tc>
        <w:tc>
          <w:tcPr>
            <w:tcW w:w="9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ind w:right="37"/>
              <w:spacing w:after="0"/>
              <w:rPr>
                <w:sz w:val="20"/>
                <w:szCs w:val="20"/>
                <w:color w:val="auto"/>
              </w:rPr>
            </w:pPr>
            <w:r>
              <w:rPr>
                <w:rFonts w:ascii="Arial" w:cs="Arial" w:eastAsia="Arial" w:hAnsi="Arial"/>
                <w:sz w:val="18"/>
                <w:szCs w:val="18"/>
                <w:color w:val="auto"/>
              </w:rPr>
              <w:t>1.5</w:t>
            </w: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39"/>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attributable to Dun &amp; Bradstreet</w:t>
            </w:r>
          </w:p>
        </w:tc>
        <w:tc>
          <w:tcPr>
            <w:tcW w:w="86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(19.4)</w:t>
            </w:r>
          </w:p>
        </w:tc>
        <w:tc>
          <w:tcPr>
            <w:tcW w:w="92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w:t>
            </w:r>
          </w:p>
        </w:tc>
        <w:tc>
          <w:tcPr>
            <w:tcW w:w="38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r>
    </w:tbl>
    <w:p>
      <w:pPr>
        <w:spacing w:after="0" w:line="173" w:lineRule="exact"/>
        <w:rPr>
          <w:sz w:val="20"/>
          <w:szCs w:val="20"/>
          <w:color w:val="auto"/>
        </w:rPr>
      </w:pPr>
    </w:p>
    <w:p>
      <w:pPr>
        <w:ind w:right="1380" w:firstLine="318"/>
        <w:spacing w:after="0" w:line="369" w:lineRule="auto"/>
        <w:rPr>
          <w:sz w:val="20"/>
          <w:szCs w:val="20"/>
          <w:color w:val="auto"/>
        </w:rPr>
      </w:pPr>
      <w:r>
        <w:rPr>
          <w:rFonts w:ascii="Arial" w:cs="Arial" w:eastAsia="Arial" w:hAnsi="Arial"/>
          <w:sz w:val="18"/>
          <w:szCs w:val="18"/>
          <w:color w:val="auto"/>
        </w:rPr>
        <w:t xml:space="preserve">Details relating to the results of operations of Dun &amp; Bradstreet (NYSE: "DNB") can be found in its periodic reports filed with the SEC. </w:t>
      </w:r>
      <w:r>
        <w:rPr>
          <w:rFonts w:ascii="Arial" w:cs="Arial" w:eastAsia="Arial" w:hAnsi="Arial"/>
          <w:sz w:val="18"/>
          <w:szCs w:val="18"/>
          <w:b w:val="1"/>
          <w:bCs w:val="1"/>
          <w:i w:val="1"/>
          <w:iCs w:val="1"/>
          <w:color w:val="auto"/>
        </w:rPr>
        <w:t>Alight</w:t>
      </w:r>
    </w:p>
    <w:p>
      <w:pPr>
        <w:ind w:right="100" w:firstLine="318"/>
        <w:spacing w:after="0" w:line="265" w:lineRule="auto"/>
        <w:rPr>
          <w:sz w:val="20"/>
          <w:szCs w:val="20"/>
          <w:color w:val="auto"/>
        </w:rPr>
      </w:pPr>
      <w:r>
        <w:rPr>
          <w:rFonts w:ascii="Arial" w:cs="Arial" w:eastAsia="Arial" w:hAnsi="Arial"/>
          <w:sz w:val="18"/>
          <w:szCs w:val="18"/>
          <w:color w:val="auto"/>
        </w:rPr>
        <w:t>As of June 30, 2023, we own approximately 9.7% of the outstanding common stock of Alight. We account for our ownership of Alight under the equity method of accounting; therefore, its results do not consolidate into ours.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8"/>
          <w:szCs w:val="18"/>
          <w:color w:val="auto"/>
        </w:rPr>
        <w:t>Summarized financial information for Alight for the relevant dates and time periods included in Equity in earnings of unconsolidated affiliates in our Condensed Consolidated Statements of Operations is presented below.</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440" w:type="dxa"/>
            <w:vAlign w:val="bottom"/>
          </w:tcPr>
          <w:p>
            <w:pPr>
              <w:spacing w:after="0"/>
              <w:rPr>
                <w:sz w:val="16"/>
                <w:szCs w:val="16"/>
                <w:color w:val="auto"/>
              </w:rPr>
            </w:pPr>
          </w:p>
        </w:tc>
        <w:tc>
          <w:tcPr>
            <w:tcW w:w="2340" w:type="dxa"/>
            <w:vAlign w:val="bottom"/>
            <w:gridSpan w:val="3"/>
          </w:tcPr>
          <w:p>
            <w:pPr>
              <w:ind w:left="520"/>
              <w:spacing w:after="0"/>
              <w:rPr>
                <w:sz w:val="20"/>
                <w:szCs w:val="20"/>
                <w:color w:val="auto"/>
              </w:rPr>
            </w:pPr>
            <w:r>
              <w:rPr>
                <w:rFonts w:ascii="Arial" w:cs="Arial" w:eastAsia="Arial" w:hAnsi="Arial"/>
                <w:sz w:val="14"/>
                <w:szCs w:val="14"/>
                <w:b w:val="1"/>
                <w:bCs w:val="1"/>
                <w:color w:val="auto"/>
                <w:w w:val="91"/>
              </w:rPr>
              <w:t>Three months ended June 30,</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420" w:type="dxa"/>
            <w:vAlign w:val="bottom"/>
            <w:gridSpan w:val="3"/>
          </w:tcPr>
          <w:p>
            <w:pPr>
              <w:jc w:val="right"/>
              <w:ind w:right="535"/>
              <w:spacing w:after="0"/>
              <w:rPr>
                <w:sz w:val="20"/>
                <w:szCs w:val="20"/>
                <w:color w:val="auto"/>
              </w:rPr>
            </w:pPr>
            <w:r>
              <w:rPr>
                <w:rFonts w:ascii="Arial" w:cs="Arial" w:eastAsia="Arial" w:hAnsi="Arial"/>
                <w:sz w:val="14"/>
                <w:szCs w:val="14"/>
                <w:b w:val="1"/>
                <w:bCs w:val="1"/>
                <w:color w:val="auto"/>
                <w:w w:val="98"/>
              </w:rPr>
              <w:t>Six months ended June 30,</w:t>
            </w:r>
          </w:p>
        </w:tc>
      </w:tr>
      <w:tr>
        <w:trPr>
          <w:trHeight w:val="24"/>
        </w:trPr>
        <w:tc>
          <w:tcPr>
            <w:tcW w:w="544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78"/>
        </w:trPr>
        <w:tc>
          <w:tcPr>
            <w:tcW w:w="5440" w:type="dxa"/>
            <w:vAlign w:val="bottom"/>
          </w:tcPr>
          <w:p>
            <w:pPr>
              <w:spacing w:after="0"/>
              <w:rPr>
                <w:sz w:val="15"/>
                <w:szCs w:val="15"/>
                <w:color w:val="auto"/>
              </w:rPr>
            </w:pPr>
          </w:p>
        </w:tc>
        <w:tc>
          <w:tcPr>
            <w:tcW w:w="860" w:type="dxa"/>
            <w:vAlign w:val="bottom"/>
            <w:tcBorders>
              <w:bottom w:val="single" w:sz="8" w:color="auto"/>
            </w:tcBorders>
          </w:tcPr>
          <w:p>
            <w:pPr>
              <w:ind w:left="540"/>
              <w:spacing w:after="0"/>
              <w:rPr>
                <w:sz w:val="20"/>
                <w:szCs w:val="20"/>
                <w:color w:val="auto"/>
              </w:rPr>
            </w:pPr>
            <w:r>
              <w:rPr>
                <w:rFonts w:ascii="Arial" w:cs="Arial" w:eastAsia="Arial" w:hAnsi="Arial"/>
                <w:sz w:val="14"/>
                <w:szCs w:val="14"/>
                <w:b w:val="1"/>
                <w:bCs w:val="1"/>
                <w:color w:val="auto"/>
                <w:w w:val="96"/>
              </w:rPr>
              <w:t>2023</w:t>
            </w:r>
          </w:p>
        </w:tc>
        <w:tc>
          <w:tcPr>
            <w:tcW w:w="5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2022</w:t>
            </w:r>
          </w:p>
        </w:tc>
        <w:tc>
          <w:tcPr>
            <w:tcW w:w="3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2021</w:t>
            </w:r>
          </w:p>
        </w:tc>
      </w:tr>
      <w:tr>
        <w:trPr>
          <w:trHeight w:val="186"/>
        </w:trPr>
        <w:tc>
          <w:tcPr>
            <w:tcW w:w="54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4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(In millions)</w:t>
            </w:r>
          </w:p>
        </w:tc>
        <w:tc>
          <w:tcPr>
            <w:tcW w:w="9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33"/>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860" w:type="dxa"/>
            <w:vAlign w:val="bottom"/>
            <w:shd w:val="clear" w:color="auto" w:fill="CCEEFF"/>
          </w:tcPr>
          <w:p>
            <w:pPr>
              <w:jc w:val="right"/>
              <w:ind w:right="683"/>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3"/>
              </w:rPr>
              <w:t>806.0</w:t>
            </w:r>
          </w:p>
        </w:tc>
        <w:tc>
          <w:tcPr>
            <w:tcW w:w="940" w:type="dxa"/>
            <w:vAlign w:val="bottom"/>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715.0</w:t>
            </w:r>
          </w:p>
        </w:tc>
        <w:tc>
          <w:tcPr>
            <w:tcW w:w="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1,637.0</w:t>
            </w:r>
          </w:p>
        </w:tc>
        <w:tc>
          <w:tcPr>
            <w:tcW w:w="3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1,440.0</w:t>
            </w:r>
          </w:p>
        </w:tc>
      </w:tr>
      <w:tr>
        <w:trPr>
          <w:trHeight w:val="232"/>
        </w:trPr>
        <w:tc>
          <w:tcPr>
            <w:tcW w:w="544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860" w:type="dxa"/>
            <w:vAlign w:val="bottom"/>
          </w:tcPr>
          <w:p>
            <w:pPr>
              <w:spacing w:after="0"/>
              <w:rPr>
                <w:sz w:val="20"/>
                <w:szCs w:val="20"/>
                <w:color w:val="auto"/>
              </w:rPr>
            </w:pPr>
          </w:p>
        </w:tc>
        <w:tc>
          <w:tcPr>
            <w:tcW w:w="540" w:type="dxa"/>
            <w:vAlign w:val="bottom"/>
          </w:tcPr>
          <w:p>
            <w:pPr>
              <w:jc w:val="right"/>
              <w:ind w:right="12"/>
              <w:spacing w:after="0"/>
              <w:rPr>
                <w:sz w:val="20"/>
                <w:szCs w:val="20"/>
                <w:color w:val="auto"/>
              </w:rPr>
            </w:pPr>
            <w:r>
              <w:rPr>
                <w:rFonts w:ascii="Arial" w:cs="Arial" w:eastAsia="Arial" w:hAnsi="Arial"/>
                <w:sz w:val="18"/>
                <w:szCs w:val="18"/>
                <w:color w:val="auto"/>
                <w:w w:val="93"/>
              </w:rPr>
              <w:t>257.0</w:t>
            </w:r>
          </w:p>
        </w:tc>
        <w:tc>
          <w:tcPr>
            <w:tcW w:w="9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8"/>
              </w:rPr>
              <w:t>219.0</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80" w:type="dxa"/>
            <w:vAlign w:val="bottom"/>
          </w:tcPr>
          <w:p>
            <w:pPr>
              <w:jc w:val="right"/>
              <w:ind w:right="17"/>
              <w:spacing w:after="0"/>
              <w:rPr>
                <w:sz w:val="20"/>
                <w:szCs w:val="20"/>
                <w:color w:val="auto"/>
              </w:rPr>
            </w:pPr>
            <w:r>
              <w:rPr>
                <w:rFonts w:ascii="Arial" w:cs="Arial" w:eastAsia="Arial" w:hAnsi="Arial"/>
                <w:sz w:val="18"/>
                <w:szCs w:val="18"/>
                <w:color w:val="auto"/>
              </w:rPr>
              <w:t>514.0</w:t>
            </w:r>
          </w:p>
        </w:tc>
        <w:tc>
          <w:tcPr>
            <w:tcW w:w="3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442.0</w:t>
            </w:r>
          </w:p>
        </w:tc>
      </w:tr>
      <w:tr>
        <w:trPr>
          <w:trHeight w:val="233"/>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income</w:t>
            </w:r>
          </w:p>
        </w:tc>
        <w:tc>
          <w:tcPr>
            <w:tcW w:w="86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(72.0)</w:t>
            </w:r>
          </w:p>
        </w:tc>
        <w:tc>
          <w:tcPr>
            <w:tcW w:w="94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(146.0)</w:t>
            </w:r>
          </w:p>
        </w:tc>
        <w:tc>
          <w:tcPr>
            <w:tcW w:w="38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w:t>
            </w:r>
          </w:p>
        </w:tc>
      </w:tr>
      <w:tr>
        <w:trPr>
          <w:trHeight w:val="225"/>
        </w:trPr>
        <w:tc>
          <w:tcPr>
            <w:tcW w:w="5440" w:type="dxa"/>
            <w:vAlign w:val="bottom"/>
          </w:tcPr>
          <w:p>
            <w:pPr>
              <w:ind w:left="20"/>
              <w:spacing w:after="0"/>
              <w:rPr>
                <w:sz w:val="20"/>
                <w:szCs w:val="20"/>
                <w:color w:val="auto"/>
              </w:rPr>
            </w:pPr>
            <w:r>
              <w:rPr>
                <w:rFonts w:ascii="Arial" w:cs="Arial" w:eastAsia="Arial" w:hAnsi="Arial"/>
                <w:sz w:val="18"/>
                <w:szCs w:val="18"/>
                <w:color w:val="auto"/>
              </w:rPr>
              <w:t>Net (loss) income attributable to noncontrolling interests</w:t>
            </w:r>
          </w:p>
        </w:tc>
        <w:tc>
          <w:tcPr>
            <w:tcW w:w="8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(6.0)</w:t>
            </w: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(12.0)</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39"/>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income attributable to Alight</w:t>
            </w:r>
          </w:p>
        </w:tc>
        <w:tc>
          <w:tcPr>
            <w:tcW w:w="86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(66.0)</w:t>
            </w:r>
          </w:p>
        </w:tc>
        <w:tc>
          <w:tcPr>
            <w:tcW w:w="94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(134.0)</w:t>
            </w:r>
          </w:p>
        </w:tc>
        <w:tc>
          <w:tcPr>
            <w:tcW w:w="38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r>
    </w:tbl>
    <w:p>
      <w:pPr>
        <w:spacing w:after="0" w:line="173" w:lineRule="exact"/>
        <w:rPr>
          <w:sz w:val="20"/>
          <w:szCs w:val="20"/>
          <w:color w:val="auto"/>
        </w:rPr>
      </w:pPr>
    </w:p>
    <w:p>
      <w:pPr>
        <w:ind w:right="2060" w:firstLine="318"/>
        <w:spacing w:after="0" w:line="369" w:lineRule="auto"/>
        <w:rPr>
          <w:sz w:val="20"/>
          <w:szCs w:val="20"/>
          <w:color w:val="auto"/>
        </w:rPr>
      </w:pPr>
      <w:r>
        <w:rPr>
          <w:rFonts w:ascii="Arial" w:cs="Arial" w:eastAsia="Arial" w:hAnsi="Arial"/>
          <w:sz w:val="18"/>
          <w:szCs w:val="18"/>
          <w:color w:val="auto"/>
        </w:rPr>
        <w:t xml:space="preserve">Details relating to the results of operations of Alight (NYSE: "ALIT") can be found in its periodic reports filed with the SEC. </w:t>
      </w:r>
      <w:r>
        <w:rPr>
          <w:rFonts w:ascii="Arial" w:cs="Arial" w:eastAsia="Arial" w:hAnsi="Arial"/>
          <w:sz w:val="18"/>
          <w:szCs w:val="18"/>
          <w:b w:val="1"/>
          <w:bCs w:val="1"/>
          <w:i w:val="1"/>
          <w:iCs w:val="1"/>
          <w:color w:val="auto"/>
        </w:rPr>
        <w:t>Paysafe</w:t>
      </w:r>
    </w:p>
    <w:p>
      <w:pPr>
        <w:jc w:val="both"/>
        <w:ind w:firstLine="318"/>
        <w:spacing w:after="0" w:line="252" w:lineRule="auto"/>
        <w:rPr>
          <w:sz w:val="20"/>
          <w:szCs w:val="20"/>
          <w:color w:val="auto"/>
        </w:rPr>
      </w:pPr>
      <w:r>
        <w:rPr>
          <w:rFonts w:ascii="Arial" w:cs="Arial" w:eastAsia="Arial" w:hAnsi="Arial"/>
          <w:sz w:val="18"/>
          <w:szCs w:val="18"/>
          <w:color w:val="auto"/>
        </w:rPr>
        <w:t>As of June 30, 2023, we own approximately 5.5% of the outstanding common stock of Paysafe. We account for our ownership of Paysafe under the equity method of accounting; therefore, its results do not consolidate into ours. We report our equity in the earnings or loss of Paysafe on a three-month lag. Accordingly, our net loss for the three and six months ended June 30, 2023 and 2022 includes our equity in Paysafe’s losses for the three and six months ended March 31, 2023 and 2022, respectively.</w:t>
      </w:r>
    </w:p>
    <w:p>
      <w:pPr>
        <w:spacing w:after="0" w:line="86"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8"/>
          <w:szCs w:val="18"/>
          <w:color w:val="auto"/>
        </w:rPr>
        <w:t>Summarized financial information for Paysafe for the relevant dates and time periods included in Equity in earnings of unconsolidated affiliates in our Condensed Consolidated Statements of Operations is presented below.</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60" w:type="dxa"/>
            <w:vAlign w:val="bottom"/>
          </w:tcPr>
          <w:p>
            <w:pPr>
              <w:spacing w:after="0"/>
              <w:rPr>
                <w:sz w:val="16"/>
                <w:szCs w:val="16"/>
                <w:color w:val="auto"/>
              </w:rPr>
            </w:pPr>
          </w:p>
        </w:tc>
        <w:tc>
          <w:tcPr>
            <w:tcW w:w="3040" w:type="dxa"/>
            <w:vAlign w:val="bottom"/>
            <w:tcBorders>
              <w:bottom w:val="single" w:sz="8" w:color="auto"/>
            </w:tcBorders>
            <w:gridSpan w:val="4"/>
          </w:tcPr>
          <w:p>
            <w:pPr>
              <w:ind w:left="580"/>
              <w:spacing w:after="0"/>
              <w:rPr>
                <w:sz w:val="20"/>
                <w:szCs w:val="20"/>
                <w:color w:val="auto"/>
              </w:rPr>
            </w:pPr>
            <w:r>
              <w:rPr>
                <w:rFonts w:ascii="Arial" w:cs="Arial" w:eastAsia="Arial" w:hAnsi="Arial"/>
                <w:sz w:val="14"/>
                <w:szCs w:val="14"/>
                <w:b w:val="1"/>
                <w:bCs w:val="1"/>
                <w:color w:val="auto"/>
              </w:rPr>
              <w:t>Three months ended March 31,</w:t>
            </w:r>
          </w:p>
        </w:tc>
        <w:tc>
          <w:tcPr>
            <w:tcW w:w="1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3"/>
          </w:tcPr>
          <w:p>
            <w:pPr>
              <w:jc w:val="right"/>
              <w:ind w:right="515"/>
              <w:spacing w:after="0"/>
              <w:rPr>
                <w:sz w:val="20"/>
                <w:szCs w:val="20"/>
                <w:color w:val="auto"/>
              </w:rPr>
            </w:pPr>
            <w:r>
              <w:rPr>
                <w:rFonts w:ascii="Arial" w:cs="Arial" w:eastAsia="Arial" w:hAnsi="Arial"/>
                <w:sz w:val="14"/>
                <w:szCs w:val="14"/>
                <w:b w:val="1"/>
                <w:bCs w:val="1"/>
                <w:color w:val="auto"/>
                <w:w w:val="99"/>
              </w:rPr>
              <w:t>Six months ended March 31,</w:t>
            </w:r>
          </w:p>
        </w:tc>
      </w:tr>
      <w:tr>
        <w:trPr>
          <w:trHeight w:val="191"/>
        </w:trPr>
        <w:tc>
          <w:tcPr>
            <w:tcW w:w="5160" w:type="dxa"/>
            <w:vAlign w:val="bottom"/>
          </w:tcPr>
          <w:p>
            <w:pPr>
              <w:spacing w:after="0"/>
              <w:rPr>
                <w:sz w:val="16"/>
                <w:szCs w:val="16"/>
                <w:color w:val="auto"/>
              </w:rPr>
            </w:pPr>
          </w:p>
        </w:tc>
        <w:tc>
          <w:tcPr>
            <w:tcW w:w="940" w:type="dxa"/>
            <w:vAlign w:val="bottom"/>
            <w:tcBorders>
              <w:bottom w:val="single" w:sz="8" w:color="auto"/>
            </w:tcBorders>
          </w:tcPr>
          <w:p>
            <w:pPr>
              <w:ind w:left="600"/>
              <w:spacing w:after="0"/>
              <w:rPr>
                <w:sz w:val="20"/>
                <w:szCs w:val="20"/>
                <w:color w:val="auto"/>
              </w:rPr>
            </w:pPr>
            <w:r>
              <w:rPr>
                <w:rFonts w:ascii="Arial" w:cs="Arial" w:eastAsia="Arial" w:hAnsi="Arial"/>
                <w:sz w:val="14"/>
                <w:szCs w:val="14"/>
                <w:b w:val="1"/>
                <w:bCs w:val="1"/>
                <w:color w:val="auto"/>
              </w:rPr>
              <w:t>2023</w:t>
            </w:r>
          </w:p>
        </w:tc>
        <w:tc>
          <w:tcPr>
            <w:tcW w:w="5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2023</w:t>
            </w:r>
          </w:p>
        </w:tc>
        <w:tc>
          <w:tcPr>
            <w:tcW w:w="3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2022</w:t>
            </w:r>
          </w:p>
        </w:tc>
      </w:tr>
      <w:tr>
        <w:trPr>
          <w:trHeight w:val="191"/>
        </w:trPr>
        <w:tc>
          <w:tcPr>
            <w:tcW w:w="5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6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(In millions)</w:t>
            </w:r>
          </w:p>
        </w:tc>
        <w:tc>
          <w:tcPr>
            <w:tcW w:w="10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33"/>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940" w:type="dxa"/>
            <w:vAlign w:val="bottom"/>
            <w:shd w:val="clear" w:color="auto" w:fill="CCEEFF"/>
          </w:tcPr>
          <w:p>
            <w:pPr>
              <w:jc w:val="right"/>
              <w:ind w:right="743"/>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7"/>
              </w:rPr>
              <w:t>387.8</w:t>
            </w:r>
          </w:p>
        </w:tc>
        <w:tc>
          <w:tcPr>
            <w:tcW w:w="4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367.7</w:t>
            </w:r>
          </w:p>
        </w:tc>
        <w:tc>
          <w:tcPr>
            <w:tcW w:w="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771.3</w:t>
            </w:r>
          </w:p>
        </w:tc>
        <w:tc>
          <w:tcPr>
            <w:tcW w:w="3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739.3</w:t>
            </w:r>
          </w:p>
        </w:tc>
      </w:tr>
      <w:tr>
        <w:trPr>
          <w:trHeight w:val="225"/>
        </w:trPr>
        <w:tc>
          <w:tcPr>
            <w:tcW w:w="5160" w:type="dxa"/>
            <w:vAlign w:val="bottom"/>
          </w:tcPr>
          <w:p>
            <w:pPr>
              <w:ind w:left="20"/>
              <w:spacing w:after="0"/>
              <w:rPr>
                <w:sz w:val="20"/>
                <w:szCs w:val="20"/>
                <w:color w:val="auto"/>
              </w:rPr>
            </w:pPr>
            <w:r>
              <w:rPr>
                <w:rFonts w:ascii="Arial" w:cs="Arial" w:eastAsia="Arial" w:hAnsi="Arial"/>
                <w:sz w:val="18"/>
                <w:szCs w:val="18"/>
                <w:color w:val="auto"/>
              </w:rPr>
              <w:t>Operating income (loss)</w:t>
            </w:r>
          </w:p>
        </w:tc>
        <w:tc>
          <w:tcPr>
            <w:tcW w:w="940" w:type="dxa"/>
            <w:vAlign w:val="bottom"/>
          </w:tcPr>
          <w:p>
            <w:pPr>
              <w:spacing w:after="0"/>
              <w:rPr>
                <w:sz w:val="19"/>
                <w:szCs w:val="19"/>
                <w:color w:val="auto"/>
              </w:rPr>
            </w:pPr>
          </w:p>
        </w:tc>
        <w:tc>
          <w:tcPr>
            <w:tcW w:w="580" w:type="dxa"/>
            <w:vAlign w:val="bottom"/>
          </w:tcPr>
          <w:p>
            <w:pPr>
              <w:jc w:val="right"/>
              <w:ind w:right="32"/>
              <w:spacing w:after="0"/>
              <w:rPr>
                <w:sz w:val="20"/>
                <w:szCs w:val="20"/>
                <w:color w:val="auto"/>
              </w:rPr>
            </w:pPr>
            <w:r>
              <w:rPr>
                <w:rFonts w:ascii="Arial" w:cs="Arial" w:eastAsia="Arial" w:hAnsi="Arial"/>
                <w:sz w:val="18"/>
                <w:szCs w:val="18"/>
                <w:color w:val="auto"/>
              </w:rPr>
              <w:t>35.0</w:t>
            </w: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(1,191.7)</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jc w:val="right"/>
              <w:ind w:right="37"/>
              <w:spacing w:after="0"/>
              <w:rPr>
                <w:sz w:val="20"/>
                <w:szCs w:val="20"/>
                <w:color w:val="auto"/>
              </w:rPr>
            </w:pPr>
            <w:r>
              <w:rPr>
                <w:rFonts w:ascii="Arial" w:cs="Arial" w:eastAsia="Arial" w:hAnsi="Arial"/>
                <w:sz w:val="18"/>
                <w:szCs w:val="18"/>
                <w:color w:val="auto"/>
              </w:rPr>
              <w:t>53.2</w:t>
            </w: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(1,162.7)</w:t>
            </w:r>
          </w:p>
        </w:tc>
      </w:tr>
      <w:tr>
        <w:trPr>
          <w:trHeight w:val="239"/>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94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40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(1,170.8)</w:t>
            </w: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38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(1,080.3)</w:t>
            </w:r>
          </w:p>
        </w:tc>
      </w:tr>
      <w:tr>
        <w:trPr>
          <w:trHeight w:val="225"/>
        </w:trPr>
        <w:tc>
          <w:tcPr>
            <w:tcW w:w="5160" w:type="dxa"/>
            <w:vAlign w:val="bottom"/>
          </w:tcPr>
          <w:p>
            <w:pPr>
              <w:ind w:left="20"/>
              <w:spacing w:after="0"/>
              <w:rPr>
                <w:sz w:val="20"/>
                <w:szCs w:val="20"/>
                <w:color w:val="auto"/>
              </w:rPr>
            </w:pPr>
            <w:r>
              <w:rPr>
                <w:rFonts w:ascii="Arial" w:cs="Arial" w:eastAsia="Arial" w:hAnsi="Arial"/>
                <w:sz w:val="18"/>
                <w:szCs w:val="18"/>
                <w:color w:val="auto"/>
              </w:rPr>
              <w:t>Less: net earnings attributable to noncontrolling interest</w:t>
            </w:r>
          </w:p>
        </w:tc>
        <w:tc>
          <w:tcPr>
            <w:tcW w:w="940" w:type="dxa"/>
            <w:vAlign w:val="bottom"/>
          </w:tcPr>
          <w:p>
            <w:pPr>
              <w:spacing w:after="0"/>
              <w:rPr>
                <w:sz w:val="19"/>
                <w:szCs w:val="19"/>
                <w:color w:val="auto"/>
              </w:rPr>
            </w:pPr>
          </w:p>
        </w:tc>
        <w:tc>
          <w:tcPr>
            <w:tcW w:w="5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jc w:val="right"/>
              <w:ind w:right="37"/>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0.6</w:t>
            </w:r>
          </w:p>
        </w:tc>
      </w:tr>
      <w:tr>
        <w:trPr>
          <w:trHeight w:val="226"/>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attributable to Paysafe</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(1,171.2)</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(1,080.9)</w:t>
            </w:r>
          </w:p>
        </w:tc>
      </w:tr>
    </w:tbl>
    <w:p>
      <w:pPr>
        <w:spacing w:after="0" w:line="18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Details relating to the results of operations of Paysafe (NYSE: "PSFE") can be found in its periodic reports filed with the SEC.</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and Other</w:t>
      </w:r>
    </w:p>
    <w:p>
      <w:pPr>
        <w:spacing w:after="0" w:line="111"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8"/>
          <w:szCs w:val="18"/>
          <w:color w:val="auto"/>
        </w:rPr>
        <w:t>The Corporate and Other segment consists of our share in the operations of certain controlled businesses and other equity ownership interests, activity of the corporate holding company and certain intercompany eliminations and taxes.</w:t>
      </w:r>
    </w:p>
    <w:p>
      <w:pPr>
        <w:spacing w:after="0" w:line="7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presents the results from operations of our non-reportable Corporate and other segment:</w:t>
      </w:r>
    </w:p>
    <w:p>
      <w:pPr>
        <w:spacing w:after="0" w:line="141"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5420" w:type="dxa"/>
            <w:vAlign w:val="bottom"/>
          </w:tcPr>
          <w:p>
            <w:pPr>
              <w:spacing w:after="0"/>
              <w:rPr>
                <w:sz w:val="16"/>
                <w:szCs w:val="16"/>
                <w:color w:val="auto"/>
              </w:rPr>
            </w:pPr>
          </w:p>
        </w:tc>
        <w:tc>
          <w:tcPr>
            <w:tcW w:w="230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400" w:type="dxa"/>
            <w:vAlign w:val="bottom"/>
            <w:gridSpan w:val="4"/>
          </w:tcPr>
          <w:p>
            <w:pPr>
              <w:jc w:val="right"/>
              <w:ind w:right="541"/>
              <w:spacing w:after="0"/>
              <w:rPr>
                <w:sz w:val="20"/>
                <w:szCs w:val="20"/>
                <w:color w:val="auto"/>
              </w:rPr>
            </w:pPr>
            <w:r>
              <w:rPr>
                <w:rFonts w:ascii="Arial" w:cs="Arial" w:eastAsia="Arial" w:hAnsi="Arial"/>
                <w:sz w:val="14"/>
                <w:szCs w:val="14"/>
                <w:b w:val="1"/>
                <w:bCs w:val="1"/>
                <w:color w:val="auto"/>
                <w:w w:val="97"/>
              </w:rPr>
              <w:t>Six months ended June 30,</w:t>
            </w:r>
          </w:p>
        </w:tc>
      </w:tr>
      <w:tr>
        <w:trPr>
          <w:trHeight w:val="24"/>
        </w:trPr>
        <w:tc>
          <w:tcPr>
            <w:tcW w:w="54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78"/>
        </w:trPr>
        <w:tc>
          <w:tcPr>
            <w:tcW w:w="5420" w:type="dxa"/>
            <w:vAlign w:val="bottom"/>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4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2022</w:t>
            </w:r>
          </w:p>
        </w:tc>
        <w:tc>
          <w:tcPr>
            <w:tcW w:w="5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2022</w:t>
            </w:r>
          </w:p>
        </w:tc>
      </w:tr>
      <w:tr>
        <w:trPr>
          <w:trHeight w:val="186"/>
        </w:trPr>
        <w:tc>
          <w:tcPr>
            <w:tcW w:w="54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6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(In millions)</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20"/>
        </w:trPr>
        <w:tc>
          <w:tcPr>
            <w:tcW w:w="5420" w:type="dxa"/>
            <w:vAlign w:val="bottom"/>
            <w:shd w:val="clear" w:color="auto" w:fill="CCEEFF"/>
          </w:tcPr>
          <w:p>
            <w:pPr>
              <w:spacing w:after="0"/>
              <w:rPr>
                <w:sz w:val="20"/>
                <w:szCs w:val="20"/>
                <w:color w:val="auto"/>
              </w:rPr>
            </w:pPr>
            <w:r>
              <w:rPr>
                <w:rFonts w:ascii="Arial" w:cs="Arial" w:eastAsia="Arial" w:hAnsi="Arial"/>
                <w:sz w:val="16"/>
                <w:szCs w:val="16"/>
                <w:color w:val="auto"/>
              </w:rPr>
              <w:t>Revenues:</w:t>
            </w:r>
          </w:p>
        </w:tc>
        <w:tc>
          <w:tcPr>
            <w:tcW w:w="8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10"/>
        </w:trPr>
        <w:tc>
          <w:tcPr>
            <w:tcW w:w="5420" w:type="dxa"/>
            <w:vAlign w:val="bottom"/>
          </w:tcPr>
          <w:p>
            <w:pPr>
              <w:ind w:left="200"/>
              <w:spacing w:after="0"/>
              <w:rPr>
                <w:sz w:val="20"/>
                <w:szCs w:val="20"/>
                <w:color w:val="auto"/>
              </w:rPr>
            </w:pPr>
            <w:r>
              <w:rPr>
                <w:rFonts w:ascii="Arial" w:cs="Arial" w:eastAsia="Arial" w:hAnsi="Arial"/>
                <w:sz w:val="16"/>
                <w:szCs w:val="16"/>
                <w:color w:val="auto"/>
              </w:rPr>
              <w:t>Other operating revenue</w:t>
            </w:r>
          </w:p>
        </w:tc>
        <w:tc>
          <w:tcPr>
            <w:tcW w:w="880" w:type="dxa"/>
            <w:vAlign w:val="bottom"/>
          </w:tcPr>
          <w:p>
            <w:pPr>
              <w:jc w:val="right"/>
              <w:ind w:right="705"/>
              <w:spacing w:after="0"/>
              <w:rPr>
                <w:sz w:val="20"/>
                <w:szCs w:val="20"/>
                <w:color w:val="auto"/>
              </w:rPr>
            </w:pPr>
            <w:r>
              <w:rPr>
                <w:rFonts w:ascii="Arial" w:cs="Arial" w:eastAsia="Arial" w:hAnsi="Arial"/>
                <w:sz w:val="16"/>
                <w:szCs w:val="16"/>
                <w:color w:val="auto"/>
                <w:w w:val="89"/>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7.6</w:t>
            </w:r>
          </w:p>
        </w:tc>
        <w:tc>
          <w:tcPr>
            <w:tcW w:w="940" w:type="dxa"/>
            <w:vAlign w:val="bottom"/>
            <w:gridSpan w:val="2"/>
          </w:tcPr>
          <w:p>
            <w:pPr>
              <w:jc w:val="right"/>
              <w:ind w:right="740"/>
              <w:spacing w:after="0"/>
              <w:rPr>
                <w:sz w:val="20"/>
                <w:szCs w:val="20"/>
                <w:color w:val="auto"/>
              </w:rPr>
            </w:pPr>
            <w:r>
              <w:rPr>
                <w:rFonts w:ascii="Arial" w:cs="Arial" w:eastAsia="Arial" w:hAnsi="Arial"/>
                <w:sz w:val="16"/>
                <w:szCs w:val="16"/>
                <w:color w:val="auto"/>
              </w:rPr>
              <w:t>$</w:t>
            </w:r>
          </w:p>
        </w:tc>
        <w:tc>
          <w:tcPr>
            <w:tcW w:w="520" w:type="dxa"/>
            <w:vAlign w:val="bottom"/>
          </w:tcPr>
          <w:p>
            <w:pPr>
              <w:jc w:val="right"/>
              <w:ind w:right="1"/>
              <w:spacing w:after="0"/>
              <w:rPr>
                <w:sz w:val="20"/>
                <w:szCs w:val="20"/>
                <w:color w:val="auto"/>
              </w:rPr>
            </w:pPr>
            <w:r>
              <w:rPr>
                <w:rFonts w:ascii="Arial" w:cs="Arial" w:eastAsia="Arial" w:hAnsi="Arial"/>
                <w:sz w:val="16"/>
                <w:szCs w:val="16"/>
                <w:color w:val="auto"/>
              </w:rPr>
              <w:t>7.8</w:t>
            </w:r>
          </w:p>
        </w:tc>
        <w:tc>
          <w:tcPr>
            <w:tcW w:w="54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13.4</w:t>
            </w:r>
          </w:p>
        </w:tc>
        <w:tc>
          <w:tcPr>
            <w:tcW w:w="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13.1</w:t>
            </w:r>
          </w:p>
        </w:tc>
      </w:tr>
      <w:tr>
        <w:trPr>
          <w:trHeight w:val="215"/>
        </w:trPr>
        <w:tc>
          <w:tcPr>
            <w:tcW w:w="5420" w:type="dxa"/>
            <w:vAlign w:val="bottom"/>
            <w:shd w:val="clear" w:color="auto" w:fill="CCEEFF"/>
          </w:tcPr>
          <w:p>
            <w:pPr>
              <w:spacing w:after="0"/>
              <w:rPr>
                <w:sz w:val="20"/>
                <w:szCs w:val="20"/>
                <w:color w:val="auto"/>
              </w:rPr>
            </w:pPr>
            <w:r>
              <w:rPr>
                <w:rFonts w:ascii="Arial" w:cs="Arial" w:eastAsia="Arial" w:hAnsi="Arial"/>
                <w:sz w:val="16"/>
                <w:szCs w:val="16"/>
                <w:color w:val="auto"/>
              </w:rPr>
              <w:t>Operating expenses:</w:t>
            </w: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0"/>
        </w:trPr>
        <w:tc>
          <w:tcPr>
            <w:tcW w:w="5420" w:type="dxa"/>
            <w:vAlign w:val="bottom"/>
          </w:tcPr>
          <w:p>
            <w:pPr>
              <w:ind w:left="200"/>
              <w:spacing w:after="0"/>
              <w:rPr>
                <w:sz w:val="20"/>
                <w:szCs w:val="20"/>
                <w:color w:val="auto"/>
              </w:rPr>
            </w:pPr>
            <w:r>
              <w:rPr>
                <w:rFonts w:ascii="Arial" w:cs="Arial" w:eastAsia="Arial" w:hAnsi="Arial"/>
                <w:sz w:val="16"/>
                <w:szCs w:val="16"/>
                <w:color w:val="auto"/>
              </w:rPr>
              <w:t>Personnel costs</w:t>
            </w:r>
          </w:p>
        </w:tc>
        <w:tc>
          <w:tcPr>
            <w:tcW w:w="8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5.3</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tcPr>
          <w:p>
            <w:pPr>
              <w:jc w:val="right"/>
              <w:ind w:right="1"/>
              <w:spacing w:after="0"/>
              <w:rPr>
                <w:sz w:val="20"/>
                <w:szCs w:val="20"/>
                <w:color w:val="auto"/>
              </w:rPr>
            </w:pPr>
            <w:r>
              <w:rPr>
                <w:rFonts w:ascii="Arial" w:cs="Arial" w:eastAsia="Arial" w:hAnsi="Arial"/>
                <w:sz w:val="16"/>
                <w:szCs w:val="16"/>
                <w:color w:val="auto"/>
              </w:rPr>
              <w:t>9.9</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14.2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24.8</w:t>
            </w:r>
          </w:p>
        </w:tc>
      </w:tr>
      <w:tr>
        <w:trPr>
          <w:trHeight w:val="215"/>
        </w:trPr>
        <w:tc>
          <w:tcPr>
            <w:tcW w:w="54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Depreciation and amortization</w:t>
            </w: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0.6</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1.1</w:t>
            </w:r>
          </w:p>
        </w:tc>
      </w:tr>
      <w:tr>
        <w:trPr>
          <w:trHeight w:val="210"/>
        </w:trPr>
        <w:tc>
          <w:tcPr>
            <w:tcW w:w="542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Other operating expenses</w:t>
            </w:r>
          </w:p>
        </w:tc>
        <w:tc>
          <w:tcPr>
            <w:tcW w:w="8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w:t>
            </w:r>
          </w:p>
        </w:tc>
        <w:tc>
          <w:tcPr>
            <w:tcW w:w="12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20.9</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32.3</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82.8</w:t>
            </w:r>
          </w:p>
        </w:tc>
      </w:tr>
      <w:tr>
        <w:trPr>
          <w:trHeight w:val="208"/>
        </w:trPr>
        <w:tc>
          <w:tcPr>
            <w:tcW w:w="5420" w:type="dxa"/>
            <w:vAlign w:val="bottom"/>
            <w:shd w:val="clear" w:color="auto" w:fill="CCEEFF"/>
          </w:tcPr>
          <w:p>
            <w:pPr>
              <w:ind w:left="440"/>
              <w:spacing w:after="0"/>
              <w:rPr>
                <w:sz w:val="20"/>
                <w:szCs w:val="20"/>
                <w:color w:val="auto"/>
              </w:rPr>
            </w:pPr>
            <w:r>
              <w:rPr>
                <w:rFonts w:ascii="Arial" w:cs="Arial" w:eastAsia="Arial" w:hAnsi="Arial"/>
                <w:sz w:val="16"/>
                <w:szCs w:val="16"/>
                <w:color w:val="auto"/>
              </w:rPr>
              <w:t>Total operating expenses</w:t>
            </w:r>
          </w:p>
        </w:tc>
        <w:tc>
          <w:tcPr>
            <w:tcW w:w="8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22.1</w:t>
            </w:r>
          </w:p>
        </w:tc>
        <w:tc>
          <w:tcPr>
            <w:tcW w:w="12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31.4</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47.3</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108.7</w:t>
            </w:r>
          </w:p>
        </w:tc>
      </w:tr>
      <w:tr>
        <w:trPr>
          <w:trHeight w:val="203"/>
        </w:trPr>
        <w:tc>
          <w:tcPr>
            <w:tcW w:w="5420" w:type="dxa"/>
            <w:vAlign w:val="bottom"/>
            <w:tcBorders>
              <w:bottom w:val="single" w:sz="8" w:color="CCEEFF"/>
            </w:tcBorders>
          </w:tcPr>
          <w:p>
            <w:pPr>
              <w:ind w:left="520"/>
              <w:spacing w:after="0"/>
              <w:rPr>
                <w:sz w:val="20"/>
                <w:szCs w:val="20"/>
                <w:color w:val="auto"/>
              </w:rPr>
            </w:pPr>
            <w:r>
              <w:rPr>
                <w:rFonts w:ascii="Arial" w:cs="Arial" w:eastAsia="Arial" w:hAnsi="Arial"/>
                <w:sz w:val="16"/>
                <w:szCs w:val="16"/>
                <w:color w:val="auto"/>
              </w:rPr>
              <w:t>Operating loss</w:t>
            </w:r>
          </w:p>
        </w:tc>
        <w:tc>
          <w:tcPr>
            <w:tcW w:w="8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w:t>
            </w:r>
          </w:p>
        </w:tc>
        <w:tc>
          <w:tcPr>
            <w:tcW w:w="12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(23.6)</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(33.9)</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(95.6)</w:t>
            </w:r>
          </w:p>
        </w:tc>
      </w:tr>
      <w:tr>
        <w:trPr>
          <w:trHeight w:val="195"/>
        </w:trPr>
        <w:tc>
          <w:tcPr>
            <w:tcW w:w="5420" w:type="dxa"/>
            <w:vAlign w:val="bottom"/>
            <w:shd w:val="clear" w:color="auto" w:fill="CCEEFF"/>
          </w:tcPr>
          <w:p>
            <w:pPr>
              <w:spacing w:after="0"/>
              <w:rPr>
                <w:sz w:val="20"/>
                <w:szCs w:val="20"/>
                <w:color w:val="auto"/>
              </w:rPr>
            </w:pPr>
            <w:r>
              <w:rPr>
                <w:rFonts w:ascii="Arial" w:cs="Arial" w:eastAsia="Arial" w:hAnsi="Arial"/>
                <w:sz w:val="16"/>
                <w:szCs w:val="16"/>
                <w:color w:val="auto"/>
              </w:rPr>
              <w:t>Other income (expense):</w:t>
            </w:r>
          </w:p>
        </w:tc>
        <w:tc>
          <w:tcPr>
            <w:tcW w:w="8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210"/>
        </w:trPr>
        <w:tc>
          <w:tcPr>
            <w:tcW w:w="5420" w:type="dxa"/>
            <w:vAlign w:val="bottom"/>
          </w:tcPr>
          <w:p>
            <w:pPr>
              <w:ind w:left="200"/>
              <w:spacing w:after="0"/>
              <w:rPr>
                <w:sz w:val="20"/>
                <w:szCs w:val="20"/>
                <w:color w:val="auto"/>
              </w:rPr>
            </w:pPr>
            <w:r>
              <w:rPr>
                <w:rFonts w:ascii="Arial" w:cs="Arial" w:eastAsia="Arial" w:hAnsi="Arial"/>
                <w:sz w:val="16"/>
                <w:szCs w:val="16"/>
                <w:color w:val="auto"/>
              </w:rPr>
              <w:t>Interest, investment and other income</w:t>
            </w:r>
          </w:p>
        </w:tc>
        <w:tc>
          <w:tcPr>
            <w:tcW w:w="8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tcPr>
          <w:p>
            <w:pPr>
              <w:jc w:val="right"/>
              <w:ind w:right="1"/>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0.1</w:t>
            </w:r>
          </w:p>
        </w:tc>
      </w:tr>
      <w:tr>
        <w:trPr>
          <w:trHeight w:val="215"/>
        </w:trPr>
        <w:tc>
          <w:tcPr>
            <w:tcW w:w="54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Interest expense</w:t>
            </w: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r>
      <w:tr>
        <w:trPr>
          <w:trHeight w:val="212"/>
        </w:trPr>
        <w:tc>
          <w:tcPr>
            <w:tcW w:w="5420" w:type="dxa"/>
            <w:vAlign w:val="bottom"/>
          </w:tcPr>
          <w:p>
            <w:pPr>
              <w:ind w:left="200"/>
              <w:spacing w:after="0"/>
              <w:rPr>
                <w:sz w:val="20"/>
                <w:szCs w:val="20"/>
                <w:color w:val="auto"/>
              </w:rPr>
            </w:pPr>
            <w:r>
              <w:rPr>
                <w:rFonts w:ascii="Arial" w:cs="Arial" w:eastAsia="Arial" w:hAnsi="Arial"/>
                <w:sz w:val="16"/>
                <w:szCs w:val="16"/>
                <w:color w:val="auto"/>
              </w:rPr>
              <w:t>Recognized (losses) gains, net</w:t>
            </w:r>
          </w:p>
        </w:tc>
        <w:tc>
          <w:tcPr>
            <w:tcW w:w="8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(42.0)</w:t>
            </w:r>
          </w:p>
        </w:tc>
        <w:tc>
          <w:tcPr>
            <w:tcW w:w="12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0"/>
              </w:rPr>
              <w:t>(195.6)</w:t>
            </w:r>
          </w:p>
        </w:tc>
        <w:tc>
          <w:tcPr>
            <w:tcW w:w="1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(460.2)</w:t>
            </w:r>
          </w:p>
        </w:tc>
      </w:tr>
      <w:tr>
        <w:trPr>
          <w:trHeight w:val="206"/>
        </w:trPr>
        <w:tc>
          <w:tcPr>
            <w:tcW w:w="54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Total other (expense) income</w:t>
            </w:r>
          </w:p>
        </w:tc>
        <w:tc>
          <w:tcPr>
            <w:tcW w:w="88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(42.0)</w:t>
            </w:r>
          </w:p>
        </w:tc>
        <w:tc>
          <w:tcPr>
            <w:tcW w:w="1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0"/>
              </w:rPr>
              <w:t>(197.0)</w:t>
            </w:r>
          </w:p>
        </w:tc>
        <w:tc>
          <w:tcPr>
            <w:tcW w:w="10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(462.9)</w:t>
            </w:r>
          </w:p>
        </w:tc>
      </w:tr>
      <w:tr>
        <w:trPr>
          <w:trHeight w:val="206"/>
        </w:trPr>
        <w:tc>
          <w:tcPr>
            <w:tcW w:w="5420" w:type="dxa"/>
            <w:vAlign w:val="bottom"/>
          </w:tcPr>
          <w:p>
            <w:pPr>
              <w:spacing w:after="0"/>
              <w:rPr>
                <w:sz w:val="20"/>
                <w:szCs w:val="20"/>
                <w:color w:val="auto"/>
              </w:rPr>
            </w:pPr>
            <w:r>
              <w:rPr>
                <w:rFonts w:ascii="Arial" w:cs="Arial" w:eastAsia="Arial" w:hAnsi="Arial"/>
                <w:sz w:val="16"/>
                <w:szCs w:val="16"/>
                <w:color w:val="auto"/>
              </w:rPr>
              <w:t>Loss before income taxes and equity in earnings of unconsolidated affiliates</w:t>
            </w:r>
          </w:p>
        </w:tc>
        <w:tc>
          <w:tcPr>
            <w:tcW w:w="880" w:type="dxa"/>
            <w:vAlign w:val="bottom"/>
          </w:tcPr>
          <w:p>
            <w:pPr>
              <w:jc w:val="right"/>
              <w:ind w:right="705"/>
              <w:spacing w:after="0"/>
              <w:rPr>
                <w:sz w:val="20"/>
                <w:szCs w:val="20"/>
                <w:color w:val="auto"/>
              </w:rPr>
            </w:pPr>
            <w:r>
              <w:rPr>
                <w:rFonts w:ascii="Arial" w:cs="Arial" w:eastAsia="Arial" w:hAnsi="Arial"/>
                <w:sz w:val="16"/>
                <w:szCs w:val="16"/>
                <w:color w:val="auto"/>
                <w:w w:val="89"/>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(56.5)</w:t>
            </w:r>
          </w:p>
        </w:tc>
        <w:tc>
          <w:tcPr>
            <w:tcW w:w="940" w:type="dxa"/>
            <w:vAlign w:val="bottom"/>
            <w:gridSpan w:val="2"/>
          </w:tcPr>
          <w:p>
            <w:pPr>
              <w:jc w:val="right"/>
              <w:ind w:right="740"/>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w w:val="90"/>
              </w:rPr>
              <w:t>(220.6)</w:t>
            </w:r>
          </w:p>
        </w:tc>
        <w:tc>
          <w:tcPr>
            <w:tcW w:w="54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(24.2)</w:t>
            </w:r>
          </w:p>
        </w:tc>
        <w:tc>
          <w:tcPr>
            <w:tcW w:w="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(558.5)</w:t>
            </w:r>
          </w:p>
        </w:tc>
      </w:tr>
      <w:tr>
        <w:trPr>
          <w:trHeight w:val="20"/>
        </w:trPr>
        <w:tc>
          <w:tcPr>
            <w:tcW w:w="54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 the Three Months Ended June 30, 2023</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Recognized (losses) gains, net in our Corporate and Other segment consists of the following:</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60" w:type="dxa"/>
            <w:vAlign w:val="bottom"/>
          </w:tcPr>
          <w:p>
            <w:pPr>
              <w:spacing w:after="0"/>
              <w:rPr>
                <w:sz w:val="16"/>
                <w:szCs w:val="16"/>
                <w:color w:val="auto"/>
              </w:rPr>
            </w:pPr>
          </w:p>
        </w:tc>
        <w:tc>
          <w:tcPr>
            <w:tcW w:w="2780" w:type="dxa"/>
            <w:vAlign w:val="bottom"/>
            <w:tcBorders>
              <w:bottom w:val="single" w:sz="8" w:color="auto"/>
            </w:tcBorders>
            <w:gridSpan w:val="5"/>
          </w:tcPr>
          <w:p>
            <w:pPr>
              <w:jc w:val="right"/>
              <w:ind w:right="415"/>
              <w:spacing w:after="0"/>
              <w:rPr>
                <w:sz w:val="20"/>
                <w:szCs w:val="20"/>
                <w:color w:val="auto"/>
              </w:rPr>
            </w:pPr>
            <w:r>
              <w:rPr>
                <w:rFonts w:ascii="Arial" w:cs="Arial" w:eastAsia="Arial" w:hAnsi="Arial"/>
                <w:sz w:val="14"/>
                <w:szCs w:val="14"/>
                <w:b w:val="1"/>
                <w:bCs w:val="1"/>
                <w:color w:val="auto"/>
              </w:rPr>
              <w:t>Three months ended June 30,</w:t>
            </w:r>
          </w:p>
        </w:tc>
      </w:tr>
      <w:tr>
        <w:trPr>
          <w:trHeight w:val="191"/>
        </w:trPr>
        <w:tc>
          <w:tcPr>
            <w:tcW w:w="8460" w:type="dxa"/>
            <w:vAlign w:val="bottom"/>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4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2022</w:t>
            </w:r>
          </w:p>
        </w:tc>
      </w:tr>
      <w:tr>
        <w:trPr>
          <w:trHeight w:val="226"/>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Ceridian fair value adjustments</w:t>
            </w:r>
          </w:p>
        </w:tc>
        <w:tc>
          <w:tcPr>
            <w:tcW w:w="840" w:type="dxa"/>
            <w:vAlign w:val="bottom"/>
            <w:shd w:val="clear" w:color="auto" w:fill="CCEEFF"/>
          </w:tcPr>
          <w:p>
            <w:pPr>
              <w:jc w:val="right"/>
              <w:ind w:right="66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(31.3)</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(152.0)</w:t>
            </w:r>
          </w:p>
        </w:tc>
      </w:tr>
      <w:tr>
        <w:trPr>
          <w:trHeight w:val="232"/>
        </w:trPr>
        <w:tc>
          <w:tcPr>
            <w:tcW w:w="8460" w:type="dxa"/>
            <w:vAlign w:val="bottom"/>
          </w:tcPr>
          <w:p>
            <w:pPr>
              <w:ind w:left="20"/>
              <w:spacing w:after="0"/>
              <w:rPr>
                <w:sz w:val="20"/>
                <w:szCs w:val="20"/>
                <w:color w:val="auto"/>
              </w:rPr>
            </w:pPr>
            <w:r>
              <w:rPr>
                <w:rFonts w:ascii="Arial" w:cs="Arial" w:eastAsia="Arial" w:hAnsi="Arial"/>
                <w:sz w:val="18"/>
                <w:szCs w:val="18"/>
                <w:color w:val="auto"/>
              </w:rPr>
              <w:t>Equity and other security impairments and fair value adjustments</w:t>
            </w:r>
          </w:p>
        </w:tc>
        <w:tc>
          <w:tcPr>
            <w:tcW w:w="84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(43.5)</w:t>
            </w:r>
          </w:p>
        </w:tc>
      </w:tr>
      <w:tr>
        <w:trPr>
          <w:trHeight w:val="232"/>
        </w:trPr>
        <w:tc>
          <w:tcPr>
            <w:tcW w:w="8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net</w:t>
            </w:r>
          </w:p>
        </w:tc>
        <w:tc>
          <w:tcPr>
            <w:tcW w:w="840" w:type="dxa"/>
            <w:vAlign w:val="bottom"/>
            <w:tcBorders>
              <w:bottom w:val="single" w:sz="8" w:color="auto"/>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19"/>
        </w:trPr>
        <w:tc>
          <w:tcPr>
            <w:tcW w:w="8460" w:type="dxa"/>
            <w:vAlign w:val="bottom"/>
          </w:tcPr>
          <w:p>
            <w:pPr>
              <w:ind w:left="240"/>
              <w:spacing w:after="0"/>
              <w:rPr>
                <w:sz w:val="20"/>
                <w:szCs w:val="20"/>
                <w:color w:val="auto"/>
              </w:rPr>
            </w:pPr>
            <w:r>
              <w:rPr>
                <w:rFonts w:ascii="Arial" w:cs="Arial" w:eastAsia="Arial" w:hAnsi="Arial"/>
                <w:sz w:val="18"/>
                <w:szCs w:val="18"/>
                <w:color w:val="auto"/>
              </w:rPr>
              <w:t>Recognized losses, net</w:t>
            </w:r>
          </w:p>
        </w:tc>
        <w:tc>
          <w:tcPr>
            <w:tcW w:w="840" w:type="dxa"/>
            <w:vAlign w:val="bottom"/>
          </w:tcPr>
          <w:p>
            <w:pPr>
              <w:jc w:val="right"/>
              <w:ind w:right="660"/>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93"/>
              </w:rPr>
              <w:t>(42.0)</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(195.6)</w:t>
            </w:r>
          </w:p>
        </w:tc>
      </w:tr>
      <w:tr>
        <w:trPr>
          <w:trHeight w:val="20"/>
        </w:trPr>
        <w:tc>
          <w:tcPr>
            <w:tcW w:w="84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 the Six Months Ended June 30, 2023</w:t>
      </w:r>
    </w:p>
    <w:p>
      <w:pPr>
        <w:spacing w:after="0" w:line="138" w:lineRule="exact"/>
        <w:rPr>
          <w:sz w:val="20"/>
          <w:szCs w:val="20"/>
          <w:color w:val="auto"/>
        </w:rPr>
      </w:pPr>
    </w:p>
    <w:p>
      <w:pPr>
        <w:jc w:val="both"/>
        <w:ind w:firstLine="318"/>
        <w:spacing w:after="0" w:line="295" w:lineRule="auto"/>
        <w:rPr>
          <w:sz w:val="20"/>
          <w:szCs w:val="20"/>
          <w:color w:val="auto"/>
        </w:rPr>
      </w:pPr>
      <w:r>
        <w:rPr>
          <w:rFonts w:ascii="Arial" w:cs="Arial" w:eastAsia="Arial" w:hAnsi="Arial"/>
          <w:sz w:val="17"/>
          <w:szCs w:val="17"/>
          <w:color w:val="auto"/>
        </w:rPr>
        <w:t>Personnel costs decreased $10.6 million in the six months ended June 30, 2023 compared to the corresponding period in 2022. The change in personnel costs was primarily driven by a decrease in the amount of success bonuses paid related to our sales of shares of Ceridian.</w:t>
      </w:r>
    </w:p>
    <w:p>
      <w:pPr>
        <w:spacing w:after="0" w:line="50"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Other operating expenses decreased $50.5 million in the six months ended June 30, 2023 compared to the prior year period. The decrease in the six month period was primarily driven by carried interest incurred with our Manager of $45.2 million in the three months ended June 30, 2022. No carried interest expense was incurred in the six months ended June 30, 2023. The carried interest for the period ended June 30, 2022 was primarily attributable to the Optimal Blue Disposition, of which $31.8 million was paid in D&amp;B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Recognized (losses) gains, net in our Corporate and Other segment consists of the following:</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460" w:type="dxa"/>
            <w:vAlign w:val="bottom"/>
          </w:tcPr>
          <w:p>
            <w:pPr>
              <w:spacing w:after="0"/>
              <w:rPr>
                <w:sz w:val="16"/>
                <w:szCs w:val="16"/>
                <w:color w:val="auto"/>
              </w:rPr>
            </w:pPr>
          </w:p>
        </w:tc>
        <w:tc>
          <w:tcPr>
            <w:tcW w:w="2780" w:type="dxa"/>
            <w:vAlign w:val="bottom"/>
            <w:gridSpan w:val="5"/>
          </w:tcPr>
          <w:p>
            <w:pPr>
              <w:jc w:val="right"/>
              <w:ind w:right="494"/>
              <w:spacing w:after="0"/>
              <w:rPr>
                <w:sz w:val="20"/>
                <w:szCs w:val="20"/>
                <w:color w:val="auto"/>
              </w:rPr>
            </w:pPr>
            <w:r>
              <w:rPr>
                <w:rFonts w:ascii="Arial" w:cs="Arial" w:eastAsia="Arial" w:hAnsi="Arial"/>
                <w:sz w:val="14"/>
                <w:szCs w:val="14"/>
                <w:b w:val="1"/>
                <w:bCs w:val="1"/>
                <w:color w:val="auto"/>
              </w:rPr>
              <w:t>Six months ended June 30,</w:t>
            </w:r>
          </w:p>
        </w:tc>
      </w:tr>
      <w:tr>
        <w:trPr>
          <w:trHeight w:val="24"/>
        </w:trPr>
        <w:tc>
          <w:tcPr>
            <w:tcW w:w="84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86"/>
        </w:trPr>
        <w:tc>
          <w:tcPr>
            <w:tcW w:w="846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2022</w:t>
            </w:r>
          </w:p>
        </w:tc>
      </w:tr>
      <w:tr>
        <w:trPr>
          <w:trHeight w:val="226"/>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Ceridian fair value adjustments</w:t>
            </w:r>
          </w:p>
        </w:tc>
        <w:tc>
          <w:tcPr>
            <w:tcW w:w="900" w:type="dxa"/>
            <w:vAlign w:val="bottom"/>
            <w:shd w:val="clear" w:color="auto" w:fill="CCEEFF"/>
          </w:tcPr>
          <w:p>
            <w:pPr>
              <w:jc w:val="right"/>
              <w:ind w:right="700"/>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(476.5)</w:t>
            </w:r>
          </w:p>
        </w:tc>
      </w:tr>
      <w:tr>
        <w:trPr>
          <w:trHeight w:val="225"/>
        </w:trPr>
        <w:tc>
          <w:tcPr>
            <w:tcW w:w="8460" w:type="dxa"/>
            <w:vAlign w:val="bottom"/>
          </w:tcPr>
          <w:p>
            <w:pPr>
              <w:ind w:left="20"/>
              <w:spacing w:after="0"/>
              <w:rPr>
                <w:sz w:val="20"/>
                <w:szCs w:val="20"/>
                <w:color w:val="auto"/>
              </w:rPr>
            </w:pPr>
            <w:r>
              <w:rPr>
                <w:rFonts w:ascii="Arial" w:cs="Arial" w:eastAsia="Arial" w:hAnsi="Arial"/>
                <w:sz w:val="18"/>
                <w:szCs w:val="18"/>
                <w:color w:val="auto"/>
              </w:rPr>
              <w:t>Paysafe impairment</w:t>
            </w:r>
          </w:p>
        </w:tc>
        <w:tc>
          <w:tcPr>
            <w:tcW w:w="9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(236.0)</w:t>
            </w:r>
          </w:p>
        </w:tc>
      </w:tr>
      <w:tr>
        <w:trPr>
          <w:trHeight w:val="239"/>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and other security impairments and fair value adjustments</w:t>
            </w:r>
          </w:p>
        </w:tc>
        <w:tc>
          <w:tcPr>
            <w:tcW w:w="900" w:type="dxa"/>
            <w:vAlign w:val="bottom"/>
            <w:shd w:val="clear" w:color="auto" w:fill="CCEEFF"/>
          </w:tcPr>
          <w:p>
            <w:pPr>
              <w:spacing w:after="0"/>
              <w:rPr>
                <w:sz w:val="20"/>
                <w:szCs w:val="20"/>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w:t>
            </w:r>
          </w:p>
        </w:tc>
      </w:tr>
      <w:tr>
        <w:trPr>
          <w:trHeight w:val="225"/>
        </w:trPr>
        <w:tc>
          <w:tcPr>
            <w:tcW w:w="8460" w:type="dxa"/>
            <w:vAlign w:val="bottom"/>
          </w:tcPr>
          <w:p>
            <w:pPr>
              <w:ind w:left="20"/>
              <w:spacing w:after="0"/>
              <w:rPr>
                <w:sz w:val="20"/>
                <w:szCs w:val="20"/>
                <w:color w:val="auto"/>
              </w:rPr>
            </w:pPr>
            <w:r>
              <w:rPr>
                <w:rFonts w:ascii="Arial" w:cs="Arial" w:eastAsia="Arial" w:hAnsi="Arial"/>
                <w:sz w:val="18"/>
                <w:szCs w:val="18"/>
                <w:color w:val="auto"/>
              </w:rPr>
              <w:t>Optimal Blue gain on sale</w:t>
            </w:r>
          </w:p>
        </w:tc>
        <w:tc>
          <w:tcPr>
            <w:tcW w:w="9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313.0</w:t>
            </w:r>
          </w:p>
        </w:tc>
      </w:tr>
      <w:tr>
        <w:trPr>
          <w:trHeight w:val="226"/>
        </w:trPr>
        <w:tc>
          <w:tcPr>
            <w:tcW w:w="8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net</w:t>
            </w:r>
          </w:p>
        </w:tc>
        <w:tc>
          <w:tcPr>
            <w:tcW w:w="90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r>
      <w:tr>
        <w:trPr>
          <w:trHeight w:val="233"/>
        </w:trPr>
        <w:tc>
          <w:tcPr>
            <w:tcW w:w="8460" w:type="dxa"/>
            <w:vAlign w:val="bottom"/>
          </w:tcPr>
          <w:p>
            <w:pPr>
              <w:ind w:left="240"/>
              <w:spacing w:after="0"/>
              <w:rPr>
                <w:sz w:val="20"/>
                <w:szCs w:val="20"/>
                <w:color w:val="auto"/>
              </w:rPr>
            </w:pPr>
            <w:r>
              <w:rPr>
                <w:rFonts w:ascii="Arial" w:cs="Arial" w:eastAsia="Arial" w:hAnsi="Arial"/>
                <w:sz w:val="18"/>
                <w:szCs w:val="18"/>
                <w:color w:val="auto"/>
              </w:rPr>
              <w:t>Recognized gains (losses), net</w:t>
            </w:r>
          </w:p>
        </w:tc>
        <w:tc>
          <w:tcPr>
            <w:tcW w:w="900" w:type="dxa"/>
            <w:vAlign w:val="bottom"/>
          </w:tcPr>
          <w:p>
            <w:pPr>
              <w:jc w:val="right"/>
              <w:ind w:right="700"/>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10.0</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(460.2)</w:t>
            </w:r>
          </w:p>
        </w:tc>
      </w:tr>
      <w:tr>
        <w:trPr>
          <w:trHeight w:val="20"/>
        </w:trPr>
        <w:tc>
          <w:tcPr>
            <w:tcW w:w="84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17" w:lineRule="exact"/>
        <w:rPr>
          <w:sz w:val="20"/>
          <w:szCs w:val="20"/>
          <w:color w:val="auto"/>
        </w:rPr>
      </w:pPr>
    </w:p>
    <w:p>
      <w:pPr>
        <w:jc w:val="both"/>
        <w:ind w:firstLine="318"/>
        <w:spacing w:after="0" w:line="269" w:lineRule="auto"/>
        <w:rPr>
          <w:sz w:val="20"/>
          <w:szCs w:val="20"/>
          <w:color w:val="auto"/>
        </w:rPr>
      </w:pPr>
      <w:r>
        <w:rPr>
          <w:rFonts w:ascii="Arial" w:cs="Arial" w:eastAsia="Arial" w:hAnsi="Arial"/>
          <w:sz w:val="17"/>
          <w:szCs w:val="17"/>
          <w:i w:val="1"/>
          <w:iCs w:val="1"/>
          <w:color w:val="auto"/>
        </w:rPr>
        <w:t xml:space="preserve">Cash Requirements. </w:t>
      </w:r>
      <w:r>
        <w:rPr>
          <w:rFonts w:ascii="Arial" w:cs="Arial" w:eastAsia="Arial" w:hAnsi="Arial"/>
          <w:sz w:val="17"/>
          <w:szCs w:val="17"/>
          <w:color w:val="auto"/>
        </w:rPr>
        <w:t>Our current cash requirements include personnel costs, operating expenses, taxes, payments of interest and principal on our debt,</w:t>
      </w:r>
      <w:r>
        <w:rPr>
          <w:rFonts w:ascii="Arial" w:cs="Arial" w:eastAsia="Arial" w:hAnsi="Arial"/>
          <w:sz w:val="17"/>
          <w:szCs w:val="17"/>
          <w:i w:val="1"/>
          <w:iCs w:val="1"/>
          <w:color w:val="auto"/>
        </w:rPr>
        <w:t xml:space="preserve"> </w:t>
      </w:r>
      <w:r>
        <w:rPr>
          <w:rFonts w:ascii="Arial" w:cs="Arial" w:eastAsia="Arial" w:hAnsi="Arial"/>
          <w:sz w:val="17"/>
          <w:szCs w:val="17"/>
          <w:color w:val="auto"/>
        </w:rPr>
        <w:t>capital expenditures, the BKFE Commitment, and other potential business acquisitions or investments. There are no restrictions on our retained earnings regarding our ability to pay dividends to stockholders, although there are limits on the ability of certain subsidiaries to pay dividends to us, as a result of provisions in certain debt agreements. The declaration of any future dividends is at the discretion of our Board of Directors. Additional uses of cash flow are expected to include stock repurchases, acquisitions, and debt repayments.</w:t>
      </w:r>
    </w:p>
    <w:p>
      <w:pPr>
        <w:spacing w:after="0" w:line="72"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As of June 30, 2023, we had cash and cash equivalents of $112.7 million, of which $100.1 million was cash held by the corporate holding company, $53.6 million of short-term investments held by the corporate holding company, and $150.0 million of capacity under our existing holding company credit facilities with the ability to add an additional $350.0 million of borrowing capacity by amending our 2020 Margin Facility.</w:t>
      </w:r>
    </w:p>
    <w:p>
      <w:pPr>
        <w:spacing w:after="0" w:line="66"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We continually assess our capital allocation strategy, including decisions relating to reducing debt, repurchasing our stock, and/or conserving cash. We believe that all anticipated cash requirements for current operations will be met from internally generated funds, cash dividends from subsidiaries, cash generated by investment securities, potential sales of non-strategic assets, and borrowings on existing credit facilities. Our short-term and long-term liquidity requirements are monitored regularly to ensure that we can meet our cash requirements. We forecast the needs of all of our subsidiaries and periodically review their short-term and long-term projected sources and uses of funds, as well as the asset, liability, investment and cash flow assumptions underlying such forecasts.</w:t>
      </w:r>
    </w:p>
    <w:p>
      <w:pPr>
        <w:spacing w:after="0" w:line="9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are focused on evaluating our assets and ownership interests as potential vehicles for creating liquidity. Our intent is to use that liquidity for general corporate purposes, including future acquisitions, potentially reducing debt, repurchasing shares of our stock, other strategic initiatives and/or conserving cash.</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for the Six Months Ended June 30, 2023</w:t>
      </w:r>
    </w:p>
    <w:p>
      <w:pPr>
        <w:spacing w:after="0" w:line="11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i w:val="1"/>
          <w:iCs w:val="1"/>
          <w:color w:val="auto"/>
        </w:rPr>
        <w:t>Operating Cash Flow</w:t>
      </w:r>
      <w:r>
        <w:rPr>
          <w:rFonts w:ascii="Arial" w:cs="Arial" w:eastAsia="Arial" w:hAnsi="Arial"/>
          <w:sz w:val="18"/>
          <w:szCs w:val="18"/>
          <w:color w:val="auto"/>
        </w:rPr>
        <w:t>. Our cash flows used in operations for the six months ended June 30, 2023 and 2022 totaled $34.6 million and $133.0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respectively. The decrease in cash used in operations of $98.4 million is primarily attributable to higher tax payments, carried interest expense incurred with our Manager and ISIP bonuses paid in the 2022 period.</w:t>
      </w:r>
    </w:p>
    <w:p>
      <w:pPr>
        <w:spacing w:after="0" w:line="83"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i w:val="1"/>
          <w:iCs w:val="1"/>
          <w:color w:val="auto"/>
        </w:rPr>
        <w:t xml:space="preserve">Investing Cash Flows. </w:t>
      </w:r>
      <w:r>
        <w:rPr>
          <w:rFonts w:ascii="Arial" w:cs="Arial" w:eastAsia="Arial" w:hAnsi="Arial"/>
          <w:sz w:val="15"/>
          <w:szCs w:val="15"/>
          <w:color w:val="auto"/>
        </w:rPr>
        <w:t>Our cash flows (used in) provided by investing activities for the six months ended June 30, 2023 and 2022 were $(51.0) million</w:t>
      </w:r>
      <w:r>
        <w:rPr>
          <w:rFonts w:ascii="Arial" w:cs="Arial" w:eastAsia="Arial" w:hAnsi="Arial"/>
          <w:sz w:val="15"/>
          <w:szCs w:val="15"/>
          <w:i w:val="1"/>
          <w:iCs w:val="1"/>
          <w:color w:val="auto"/>
        </w:rPr>
        <w:t xml:space="preserve"> </w:t>
      </w:r>
      <w:r>
        <w:rPr>
          <w:rFonts w:ascii="Arial" w:cs="Arial" w:eastAsia="Arial" w:hAnsi="Arial"/>
          <w:sz w:val="15"/>
          <w:szCs w:val="15"/>
          <w:color w:val="auto"/>
        </w:rPr>
        <w:t>and $201.7 million, respectively. The decrease in cash provided by (increase in cash used in) investing activities of $252.7 million in the 2023 period from the 2022 period is primarily attributable to less sales of investments and new investments made in the 2023 period compared to the 2022 period.</w:t>
      </w:r>
    </w:p>
    <w:p>
      <w:pPr>
        <w:spacing w:after="0" w:line="31"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i w:val="1"/>
          <w:iCs w:val="1"/>
          <w:color w:val="auto"/>
        </w:rPr>
        <w:t xml:space="preserve">Financing Cash Flows. </w:t>
      </w:r>
      <w:r>
        <w:rPr>
          <w:rFonts w:ascii="Arial" w:cs="Arial" w:eastAsia="Arial" w:hAnsi="Arial"/>
          <w:sz w:val="18"/>
          <w:szCs w:val="18"/>
          <w:color w:val="auto"/>
        </w:rPr>
        <w:t>Our cash flows used in financing activities for the six months ended June 30, 2023 and 2022 were $49.4 million and $53.9</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respectively. The decrease in cash used in (increase in cash provided by) financing activities of $4.5 million is primarily attributable to less treasury stock purchased in the six months ended June, 2023 compared to the same period in 2022 as well as the proceeds from draws on the FNF Revolver in the 2022 period.</w:t>
      </w:r>
    </w:p>
    <w:p>
      <w:pPr>
        <w:spacing w:after="0" w:line="86"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8"/>
          <w:szCs w:val="18"/>
          <w:i w:val="1"/>
          <w:iCs w:val="1"/>
          <w:color w:val="auto"/>
        </w:rPr>
        <w:t xml:space="preserve">Financing Arrangements. </w:t>
      </w:r>
      <w:r>
        <w:rPr>
          <w:rFonts w:ascii="Arial" w:cs="Arial" w:eastAsia="Arial" w:hAnsi="Arial"/>
          <w:sz w:val="18"/>
          <w:szCs w:val="18"/>
          <w:color w:val="auto"/>
        </w:rPr>
        <w:t>For a description of our financing arrangements, see Note G -</w:t>
      </w:r>
      <w:r>
        <w:rPr>
          <w:rFonts w:ascii="Arial" w:cs="Arial" w:eastAsia="Arial" w:hAnsi="Arial"/>
          <w:sz w:val="18"/>
          <w:szCs w:val="18"/>
          <w:i w:val="1"/>
          <w:iCs w:val="1"/>
          <w:color w:val="auto"/>
        </w:rPr>
        <w:t xml:space="preserve"> Notes Payable </w:t>
      </w:r>
      <w:r>
        <w:rPr>
          <w:rFonts w:ascii="Arial" w:cs="Arial" w:eastAsia="Arial" w:hAnsi="Arial"/>
          <w:sz w:val="18"/>
          <w:szCs w:val="18"/>
          <w:color w:val="auto"/>
        </w:rPr>
        <w:t>included in Item 1 of Part I of this Quarterly</w:t>
      </w:r>
      <w:r>
        <w:rPr>
          <w:rFonts w:ascii="Arial" w:cs="Arial" w:eastAsia="Arial" w:hAnsi="Arial"/>
          <w:sz w:val="18"/>
          <w:szCs w:val="18"/>
          <w:i w:val="1"/>
          <w:iCs w:val="1"/>
          <w:color w:val="auto"/>
        </w:rPr>
        <w:t xml:space="preserve"> </w:t>
      </w:r>
      <w:r>
        <w:rPr>
          <w:rFonts w:ascii="Arial" w:cs="Arial" w:eastAsia="Arial" w:hAnsi="Arial"/>
          <w:sz w:val="18"/>
          <w:szCs w:val="18"/>
          <w:color w:val="auto"/>
        </w:rPr>
        <w:t>Report, which is incorporated by reference into this Item 2 of Part I.</w:t>
      </w:r>
    </w:p>
    <w:p>
      <w:pPr>
        <w:spacing w:after="0" w:line="74"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8"/>
          <w:szCs w:val="18"/>
          <w:i w:val="1"/>
          <w:iCs w:val="1"/>
          <w:color w:val="auto"/>
        </w:rPr>
        <w:t xml:space="preserve">Seasonality. </w:t>
      </w:r>
      <w:r>
        <w:rPr>
          <w:rFonts w:ascii="Arial" w:cs="Arial" w:eastAsia="Arial" w:hAnsi="Arial"/>
          <w:sz w:val="18"/>
          <w:szCs w:val="18"/>
          <w:color w:val="auto"/>
        </w:rPr>
        <w:t>There have been no material changes to the seasonality experienced in our businesses from those described for the period as of and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year ended December 31, 2022 included in our Annual Report.</w:t>
      </w:r>
    </w:p>
    <w:p>
      <w:pPr>
        <w:spacing w:after="0" w:line="74" w:lineRule="exact"/>
        <w:rPr>
          <w:sz w:val="20"/>
          <w:szCs w:val="20"/>
          <w:color w:val="auto"/>
        </w:rPr>
      </w:pPr>
    </w:p>
    <w:p>
      <w:pPr>
        <w:jc w:val="both"/>
        <w:ind w:firstLine="318"/>
        <w:spacing w:after="0" w:line="295" w:lineRule="auto"/>
        <w:rPr>
          <w:sz w:val="20"/>
          <w:szCs w:val="20"/>
          <w:color w:val="auto"/>
        </w:rPr>
      </w:pPr>
      <w:r>
        <w:rPr>
          <w:rFonts w:ascii="Arial" w:cs="Arial" w:eastAsia="Arial" w:hAnsi="Arial"/>
          <w:sz w:val="17"/>
          <w:szCs w:val="17"/>
          <w:i w:val="1"/>
          <w:iCs w:val="1"/>
          <w:color w:val="auto"/>
        </w:rPr>
        <w:t xml:space="preserve">Contractual Obligations. </w:t>
      </w:r>
      <w:r>
        <w:rPr>
          <w:rFonts w:ascii="Arial" w:cs="Arial" w:eastAsia="Arial" w:hAnsi="Arial"/>
          <w:sz w:val="17"/>
          <w:szCs w:val="17"/>
          <w:color w:val="auto"/>
        </w:rPr>
        <w:t>Our long-term contractual obligations generally include our credit agreements and other debt facilities, lease payments and</w:t>
      </w:r>
      <w:r>
        <w:rPr>
          <w:rFonts w:ascii="Arial" w:cs="Arial" w:eastAsia="Arial" w:hAnsi="Arial"/>
          <w:sz w:val="17"/>
          <w:szCs w:val="17"/>
          <w:i w:val="1"/>
          <w:iCs w:val="1"/>
          <w:color w:val="auto"/>
        </w:rPr>
        <w:t xml:space="preserve"> </w:t>
      </w:r>
      <w:r>
        <w:rPr>
          <w:rFonts w:ascii="Arial" w:cs="Arial" w:eastAsia="Arial" w:hAnsi="Arial"/>
          <w:sz w:val="17"/>
          <w:szCs w:val="17"/>
          <w:color w:val="auto"/>
        </w:rPr>
        <w:t>financing obligations on certain of our premises and equipment, purchase obligations of the Restaurant Group and payments to our Manager.</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20"/>
        <w:spacing w:after="0"/>
        <w:rPr>
          <w:sz w:val="20"/>
          <w:szCs w:val="20"/>
          <w:color w:val="auto"/>
        </w:rPr>
      </w:pPr>
      <w:r>
        <w:rPr>
          <w:rFonts w:ascii="Arial" w:cs="Arial" w:eastAsia="Arial" w:hAnsi="Arial"/>
          <w:sz w:val="15"/>
          <w:szCs w:val="15"/>
          <w:color w:val="auto"/>
        </w:rPr>
        <w:t>Operating lease payments include the expected future rent payments of the Company and its operating subsidiaries, primarily for the Restaurant Group.</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operating leases are accounted for pursuant to ASC 842 </w:t>
      </w:r>
      <w:r>
        <w:rPr>
          <w:rFonts w:ascii="Arial" w:cs="Arial" w:eastAsia="Arial" w:hAnsi="Arial"/>
          <w:sz w:val="18"/>
          <w:szCs w:val="18"/>
          <w:i w:val="1"/>
          <w:iCs w:val="1"/>
          <w:color w:val="auto"/>
        </w:rPr>
        <w:t>Leases</w:t>
      </w:r>
      <w:r>
        <w:rPr>
          <w:rFonts w:ascii="Arial" w:cs="Arial" w:eastAsia="Arial" w:hAnsi="Arial"/>
          <w:sz w:val="18"/>
          <w:szCs w:val="18"/>
          <w:color w:val="auto"/>
        </w:rPr>
        <w:t>.</w:t>
      </w:r>
    </w:p>
    <w:p>
      <w:pPr>
        <w:spacing w:after="0" w:line="100" w:lineRule="exact"/>
        <w:rPr>
          <w:sz w:val="20"/>
          <w:szCs w:val="20"/>
          <w:color w:val="auto"/>
        </w:rPr>
      </w:pPr>
    </w:p>
    <w:p>
      <w:pPr>
        <w:jc w:val="both"/>
        <w:ind w:firstLine="318"/>
        <w:spacing w:after="0" w:line="307" w:lineRule="auto"/>
        <w:rPr>
          <w:sz w:val="20"/>
          <w:szCs w:val="20"/>
          <w:color w:val="auto"/>
        </w:rPr>
      </w:pPr>
      <w:r>
        <w:rPr>
          <w:rFonts w:ascii="Arial" w:cs="Arial" w:eastAsia="Arial" w:hAnsi="Arial"/>
          <w:sz w:val="15"/>
          <w:szCs w:val="15"/>
          <w:color w:val="auto"/>
        </w:rPr>
        <w:t>Purchase obligations include agreements to purchase goods or services that are enforceable, are legally binding and specify all significant terms, including fixed or minimum quantities to be purchased; fixed, minimum or variable price provisions; and the approximate timing of the transaction. The Restaurant Group has unconditional purchase obligations with various vendors, primarily related to food and beverage obligations with fixed commitments in regard to the time period of the contract and the quantities purchased with annual price adjustments that can fluctuate. Future purchase obligations are estimated by assuming historical purchase activity over the remaining, non-cancellable terms of the various agreements. For agreements with minimum purchase obligations, at least the minimum amounts we are legally required to purchase are included. These agreements do not include fixed delivery terms. We used both historical and projected volume and pricing as of June 30, 2023 to determine the amount of these obligations.</w:t>
      </w:r>
    </w:p>
    <w:p>
      <w:pPr>
        <w:spacing w:after="0" w:line="47" w:lineRule="exact"/>
        <w:rPr>
          <w:sz w:val="20"/>
          <w:szCs w:val="20"/>
          <w:color w:val="auto"/>
        </w:rPr>
      </w:pPr>
    </w:p>
    <w:p>
      <w:pPr>
        <w:jc w:val="both"/>
        <w:ind w:firstLine="318"/>
        <w:spacing w:after="0" w:line="269" w:lineRule="auto"/>
        <w:rPr>
          <w:sz w:val="20"/>
          <w:szCs w:val="20"/>
          <w:color w:val="auto"/>
        </w:rPr>
      </w:pPr>
      <w:r>
        <w:rPr>
          <w:rFonts w:ascii="Arial" w:cs="Arial" w:eastAsia="Arial" w:hAnsi="Arial"/>
          <w:sz w:val="17"/>
          <w:szCs w:val="17"/>
          <w:color w:val="auto"/>
        </w:rPr>
        <w:t>Pursuant to the terms of the Management Services Agreement between Cannae LLC and our Manager, Cannae LLC is obligated to pay our Manager a quarterly management fee equal to 0.375% (1.5% annualized) of the Company’s cost of invested capital (as defined in the Management Services Agreement) as of the last day of each fiscal quarter, payable in arrears in cash, as may be adjusted pursuant to the terms of the Management Services Agreement. Management fees payable to our Manager are included for the initial 5-year term of the Management Services Agreement that began in September 2019 and are based on our cost of invested capital of $2,575.2 million as of June 30, 2023.</w:t>
      </w:r>
    </w:p>
    <w:p>
      <w:pPr>
        <w:spacing w:after="0" w:line="72"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8"/>
          <w:szCs w:val="18"/>
          <w:color w:val="auto"/>
        </w:rPr>
        <w:t>Restaurant Group financing obligations include its agreements to lease its corporate office and certain O'Charley's restaurant locations, which are accounted for as failed sale and leaseback transactions.</w:t>
      </w:r>
    </w:p>
    <w:p>
      <w:pPr>
        <w:spacing w:after="0" w:line="7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As of June 30, 2023, our required annual payments relating to these contractual obligations were as follows: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ind w:right="254"/>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jc w:val="right"/>
              <w:ind w:right="254"/>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ind w:right="274"/>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ind w:right="256"/>
              <w:spacing w:after="0"/>
              <w:rPr>
                <w:sz w:val="20"/>
                <w:szCs w:val="20"/>
                <w:color w:val="auto"/>
              </w:rPr>
            </w:pPr>
            <w:r>
              <w:rPr>
                <w:rFonts w:ascii="Arial" w:cs="Arial" w:eastAsia="Arial" w:hAnsi="Arial"/>
                <w:sz w:val="14"/>
                <w:szCs w:val="14"/>
                <w:b w:val="1"/>
                <w:bCs w:val="1"/>
                <w:color w:val="auto"/>
              </w:rPr>
              <w:t>2026</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ind w:right="254"/>
              <w:spacing w:after="0"/>
              <w:rPr>
                <w:sz w:val="20"/>
                <w:szCs w:val="20"/>
                <w:color w:val="auto"/>
              </w:rPr>
            </w:pPr>
            <w:r>
              <w:rPr>
                <w:rFonts w:ascii="Arial" w:cs="Arial" w:eastAsia="Arial" w:hAnsi="Arial"/>
                <w:sz w:val="14"/>
                <w:szCs w:val="14"/>
                <w:b w:val="1"/>
                <w:bCs w:val="1"/>
                <w:color w:val="auto"/>
              </w:rPr>
              <w:t>2027</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ind w:right="94"/>
              <w:spacing w:after="0"/>
              <w:rPr>
                <w:sz w:val="20"/>
                <w:szCs w:val="20"/>
                <w:color w:val="auto"/>
              </w:rPr>
            </w:pPr>
            <w:r>
              <w:rPr>
                <w:rFonts w:ascii="Arial" w:cs="Arial" w:eastAsia="Arial" w:hAnsi="Arial"/>
                <w:sz w:val="14"/>
                <w:szCs w:val="14"/>
                <w:b w:val="1"/>
                <w:bCs w:val="1"/>
                <w:color w:val="auto"/>
                <w:w w:val="96"/>
              </w:rPr>
              <w:t>Thereafter</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ind w:right="254"/>
              <w:spacing w:after="0"/>
              <w:rPr>
                <w:sz w:val="20"/>
                <w:szCs w:val="20"/>
                <w:color w:val="auto"/>
              </w:rPr>
            </w:pPr>
            <w:r>
              <w:rPr>
                <w:rFonts w:ascii="Arial" w:cs="Arial" w:eastAsia="Arial" w:hAnsi="Arial"/>
                <w:sz w:val="14"/>
                <w:szCs w:val="14"/>
                <w:b w:val="1"/>
                <w:bCs w:val="1"/>
                <w:color w:val="auto"/>
              </w:rPr>
              <w:t>Total</w:t>
            </w:r>
          </w:p>
        </w:tc>
      </w:tr>
      <w:tr>
        <w:trPr>
          <w:trHeight w:val="24"/>
        </w:trPr>
        <w:tc>
          <w:tcPr>
            <w:tcW w:w="37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178"/>
        </w:trPr>
        <w:tc>
          <w:tcPr>
            <w:tcW w:w="3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ind w:right="16"/>
              <w:spacing w:after="0"/>
              <w:rPr>
                <w:sz w:val="20"/>
                <w:szCs w:val="20"/>
                <w:color w:val="auto"/>
              </w:rPr>
            </w:pPr>
            <w:r>
              <w:rPr>
                <w:rFonts w:ascii="Arial" w:cs="Arial" w:eastAsia="Arial" w:hAnsi="Arial"/>
                <w:sz w:val="14"/>
                <w:szCs w:val="14"/>
                <w:b w:val="1"/>
                <w:bCs w:val="1"/>
                <w:color w:val="auto"/>
                <w:w w:val="94"/>
              </w:rPr>
              <w:t>(In millions)</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240"/>
        </w:trPr>
        <w:tc>
          <w:tcPr>
            <w:tcW w:w="3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payments</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114.5</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231.4</w:t>
            </w:r>
          </w:p>
        </w:tc>
      </w:tr>
      <w:tr>
        <w:trPr>
          <w:trHeight w:val="225"/>
        </w:trPr>
        <w:tc>
          <w:tcPr>
            <w:tcW w:w="3740" w:type="dxa"/>
            <w:vAlign w:val="bottom"/>
          </w:tcPr>
          <w:p>
            <w:pPr>
              <w:ind w:left="20"/>
              <w:spacing w:after="0"/>
              <w:rPr>
                <w:sz w:val="20"/>
                <w:szCs w:val="20"/>
                <w:color w:val="auto"/>
              </w:rPr>
            </w:pPr>
            <w:r>
              <w:rPr>
                <w:rFonts w:ascii="Arial" w:cs="Arial" w:eastAsia="Arial" w:hAnsi="Arial"/>
                <w:sz w:val="18"/>
                <w:szCs w:val="18"/>
                <w:color w:val="auto"/>
              </w:rPr>
              <w:t>Unconditional purchase obligations</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43.6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62.9</w:t>
            </w:r>
          </w:p>
        </w:tc>
      </w:tr>
      <w:tr>
        <w:trPr>
          <w:trHeight w:val="226"/>
        </w:trPr>
        <w:tc>
          <w:tcPr>
            <w:tcW w:w="3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Notes payable</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104.3</w:t>
            </w:r>
          </w:p>
        </w:tc>
      </w:tr>
      <w:tr>
        <w:trPr>
          <w:trHeight w:val="232"/>
        </w:trPr>
        <w:tc>
          <w:tcPr>
            <w:tcW w:w="3740" w:type="dxa"/>
            <w:vAlign w:val="bottom"/>
          </w:tcPr>
          <w:p>
            <w:pPr>
              <w:ind w:left="20"/>
              <w:spacing w:after="0"/>
              <w:rPr>
                <w:sz w:val="20"/>
                <w:szCs w:val="20"/>
                <w:color w:val="auto"/>
              </w:rPr>
            </w:pPr>
            <w:r>
              <w:rPr>
                <w:rFonts w:ascii="Arial" w:cs="Arial" w:eastAsia="Arial" w:hAnsi="Arial"/>
                <w:sz w:val="18"/>
                <w:szCs w:val="18"/>
                <w:color w:val="auto"/>
              </w:rPr>
              <w:t>Management fees payable to Manager</w:t>
            </w: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31.8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50.9</w:t>
            </w:r>
          </w:p>
        </w:tc>
      </w:tr>
      <w:tr>
        <w:trPr>
          <w:trHeight w:val="232"/>
        </w:trPr>
        <w:tc>
          <w:tcPr>
            <w:tcW w:w="3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Restaurant Group financing obligations</w:t>
            </w:r>
          </w:p>
        </w:tc>
        <w:tc>
          <w:tcPr>
            <w:tcW w:w="22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w:t>
            </w:r>
          </w:p>
        </w:tc>
      </w:tr>
      <w:tr>
        <w:trPr>
          <w:trHeight w:val="219"/>
        </w:trPr>
        <w:tc>
          <w:tcPr>
            <w:tcW w:w="3740" w:type="dxa"/>
            <w:vAlign w:val="bottom"/>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86.7</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73.6</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122.3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40.8</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26.1</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134.4</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483.9</w:t>
            </w:r>
          </w:p>
        </w:tc>
      </w:tr>
      <w:tr>
        <w:trPr>
          <w:trHeight w:val="20"/>
        </w:trPr>
        <w:tc>
          <w:tcPr>
            <w:tcW w:w="37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i w:val="1"/>
          <w:iCs w:val="1"/>
          <w:color w:val="auto"/>
        </w:rPr>
        <w:t>Capital Stock Transactions</w:t>
      </w:r>
      <w:r>
        <w:rPr>
          <w:rFonts w:ascii="Arial" w:cs="Arial" w:eastAsia="Arial" w:hAnsi="Arial"/>
          <w:sz w:val="18"/>
          <w:szCs w:val="18"/>
          <w:color w:val="auto"/>
        </w:rPr>
        <w:t>. On August 3, 2022, our Board authorized a three-year stock repurchase program (the "2022 Repurchase Program"), under</w:t>
      </w:r>
      <w:r>
        <w:rPr>
          <w:rFonts w:ascii="Arial" w:cs="Arial" w:eastAsia="Arial" w:hAnsi="Arial"/>
          <w:sz w:val="18"/>
          <w:szCs w:val="18"/>
          <w:i w:val="1"/>
          <w:iCs w:val="1"/>
          <w:color w:val="auto"/>
        </w:rPr>
        <w:t xml:space="preserve"> </w:t>
      </w:r>
      <w:r>
        <w:rPr>
          <w:rFonts w:ascii="Arial" w:cs="Arial" w:eastAsia="Arial" w:hAnsi="Arial"/>
          <w:sz w:val="18"/>
          <w:szCs w:val="18"/>
          <w:color w:val="auto"/>
        </w:rPr>
        <w:t>which the Company may repurchase up to 10.0 million shares of its common stock. Purchases may be made from time to time in the open market at prevailing prices or in privately negotiated transactions through August 3, 2025. The repurchase program does not obligate the Company to acquire any specific number of shares and may be suspended or terminated at any time.</w:t>
      </w:r>
    </w:p>
    <w:p>
      <w:pPr>
        <w:spacing w:after="0" w:line="86"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During the three and six months ended June 30, 2023, we repurchased 3,065,804 shares of common stock for approximately $60.4 million or $19.71 per share. Subsequent to June 30, 2023, we repurchased 54,880 shares of common stock for approximately $1.1 million, or $19.98 per share. Since the original commencement of the 2022 Repurchase Program through the date of this Quarterly Report we have repurchased 4,387,966 shares of common stock for approximately $88.4 million, or $20.13 per share. As of the date of this Quarterly Report, there are 5,612,134 shares of common stock available for repurchase under the 2022 Repurchase Program.</w:t>
      </w:r>
    </w:p>
    <w:p>
      <w:pPr>
        <w:spacing w:after="0" w:line="89"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 xml:space="preserve">Off-Balance Sheet Arrangements. </w:t>
      </w:r>
      <w:r>
        <w:rPr>
          <w:rFonts w:ascii="Arial" w:cs="Arial" w:eastAsia="Arial" w:hAnsi="Arial"/>
          <w:sz w:val="17"/>
          <w:szCs w:val="17"/>
          <w:color w:val="auto"/>
        </w:rPr>
        <w:t>There have been no significant changes to our off-balance sheet arrangements since our Annual Report.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 about Market Risk</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There have been no material changes in the market risks described in our Annual Report on Form 10-K for the year ended December 31, 2022.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jc w:val="both"/>
        <w:ind w:firstLine="318"/>
        <w:spacing w:after="0" w:line="313" w:lineRule="auto"/>
        <w:rPr>
          <w:sz w:val="20"/>
          <w:szCs w:val="20"/>
          <w:color w:val="auto"/>
        </w:rPr>
      </w:pPr>
      <w:r>
        <w:rPr>
          <w:rFonts w:ascii="Arial" w:cs="Arial" w:eastAsia="Arial" w:hAnsi="Arial"/>
          <w:sz w:val="15"/>
          <w:szCs w:val="15"/>
          <w:color w:val="auto"/>
        </w:rPr>
        <w:t>As of the end of the period covered by this report, we carried out an evaluation, under the supervision and with the participation of our principal executive officer and principal financial officer, of the effectiveness of the design and operation of our disclosure controls and procedures, as such term is defined in Rule 13a-15(e) under the Securities Exchange Act of 1934, as amended. Based on this evaluation, our principal executive officer and principal financial officer concluded that our disclosure controls and procedures are effective to ensure that information required to be disclosed by us in the reports that we file or submit under the Securities Exchange Act of 1934 is: (a) recorded, processed, summarized and reported, within the time periods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specified in the Commission’s rules and forms; and (b) accumulated and communicated to management, including our principal executive and principal financial officers, as appropriate to allow timely decisions regarding required disclosure.</w:t>
      </w:r>
    </w:p>
    <w:p>
      <w:pPr>
        <w:spacing w:after="0" w:line="74"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8"/>
          <w:szCs w:val="18"/>
          <w:color w:val="auto"/>
        </w:rPr>
        <w:t>There were no changes in our internal control over financial reporting that occurred during the quarter ended June 30, 2023 that have materially affected, or are reasonably likely to materially affect, our internal control over financial reporting.</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17"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8"/>
          <w:szCs w:val="18"/>
          <w:color w:val="auto"/>
        </w:rPr>
        <w:t xml:space="preserve">See discussion of legal proceedings in Note H -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to the Condensed Consolidated Financial Statements included in Item 1 of Part I of this Quarterly Report, which is incorporated by reference into this Item 1 of Part II.</w:t>
      </w:r>
    </w:p>
    <w:p>
      <w:pPr>
        <w:spacing w:after="0" w:line="6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p>
    <w:p>
      <w:pPr>
        <w:spacing w:after="0" w:line="117"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8"/>
          <w:szCs w:val="18"/>
          <w:color w:val="auto"/>
        </w:rPr>
        <w:t>The risk factors disclosed in "Item 1A. Risk Factors" included in our Annual Report on Form 10-K for the year ended December 31, 2022, are hereby incorporated by reference. In addition, we identified the following additional risk.</w:t>
      </w:r>
    </w:p>
    <w:p>
      <w:pPr>
        <w:spacing w:after="0" w:line="74"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8"/>
          <w:szCs w:val="18"/>
          <w:b w:val="1"/>
          <w:bCs w:val="1"/>
          <w:i w:val="1"/>
          <w:iCs w:val="1"/>
          <w:color w:val="auto"/>
        </w:rPr>
        <w:t>An inability of our material unconsolidated affiliates to maintain effective financial reporting processes may adversely impact our ability to report our results of operations or financial condition accurately and timely.</w:t>
      </w:r>
    </w:p>
    <w:p>
      <w:pPr>
        <w:spacing w:after="0" w:line="74" w:lineRule="exact"/>
        <w:rPr>
          <w:sz w:val="20"/>
          <w:szCs w:val="20"/>
          <w:color w:val="auto"/>
        </w:rPr>
      </w:pPr>
    </w:p>
    <w:p>
      <w:pPr>
        <w:jc w:val="both"/>
        <w:ind w:firstLine="318"/>
        <w:spacing w:after="0" w:line="304" w:lineRule="auto"/>
        <w:rPr>
          <w:sz w:val="20"/>
          <w:szCs w:val="20"/>
          <w:color w:val="auto"/>
        </w:rPr>
      </w:pPr>
      <w:r>
        <w:rPr>
          <w:rFonts w:ascii="Arial" w:cs="Arial" w:eastAsia="Arial" w:hAnsi="Arial"/>
          <w:sz w:val="15"/>
          <w:szCs w:val="15"/>
          <w:color w:val="auto"/>
        </w:rPr>
        <w:t>The accuracy and timeliness of the Company's financial reporting is dependent on the timely financial reporting and effectiveness of internal controls over financial reporting of our material investments in unconsolidated affiliates. Material deficiencies in the internal controls over financial reporting or other matters impacting the ability of our unconsolidated affiliates to accurately and timely report their standalone results of operations and financial condition or meet related debt covenants, if any, may cause us to be unable to report the financial information of the Company on a timely basis or reduce the value of the Company's related investment. Furthermore, restatements to prior period financial information reported by our material unconsolidated affiliates could require the Company to similarly restate its prior period financial information. If the Company is unable to timely and accurately report its financial information it could subject us to adverse regulatory consequences, including potential sanctions by the SEC or violations of applicable stock exchange listing rules. There also could be a negative reaction in the financial markets due to a loss of investor confidence in us and the reliability of our financial statements. This could materially adversely affect us and lead to a decline in the price of the Company's common stock.</w:t>
      </w:r>
    </w:p>
    <w:p>
      <w:pPr>
        <w:spacing w:after="0" w:line="50" w:lineRule="exact"/>
        <w:rPr>
          <w:sz w:val="20"/>
          <w:szCs w:val="20"/>
          <w:color w:val="auto"/>
        </w:rPr>
      </w:pPr>
    </w:p>
    <w:p>
      <w:pPr>
        <w:jc w:val="both"/>
        <w:ind w:firstLine="318"/>
        <w:spacing w:after="0" w:line="305" w:lineRule="auto"/>
        <w:rPr>
          <w:sz w:val="20"/>
          <w:szCs w:val="20"/>
          <w:color w:val="auto"/>
        </w:rPr>
      </w:pPr>
      <w:r>
        <w:rPr>
          <w:rFonts w:ascii="Arial" w:cs="Arial" w:eastAsia="Arial" w:hAnsi="Arial"/>
          <w:sz w:val="15"/>
          <w:szCs w:val="15"/>
          <w:color w:val="auto"/>
        </w:rPr>
        <w:t>Cannae records its share of equity in earnings or loss of System1 on a three-month lag. As of the date of filing of our Quarterly Report on Form 10-Q for the period ended March 31, 2023, System1 had not filed its annual report for the period ended December 31, 2022, and accordingly, our equity in losses of unconsolidated affiliates for the three months ended March 31, 2023 included our ratable share of System1's preliminary results of operations for the three months ended December 31, 2022. On June 6, 2023, System1 finalized and filed its annual report as well as restated quarterly reports for the periods ended March 31, 2022, June 30, 2022 and September 30, 2022. Based on an assessment of the impact of System1's restated results of operations and financial condition for these periods, the restatements by System1 did not have a material impact to Cannae's previously reported financial information. As of the date of this Quarterly Report on Form 10-Q, System1 has filed its quarterly report for the period ended March 31, 2023. Accordingly, our net loss for the three and six months ended June 30, 2023 and 2022 include our equity in System1’s loss for the three and six months ended March 31, 2023 and 2022, respectively.</w:t>
      </w:r>
    </w:p>
    <w:p>
      <w:pPr>
        <w:spacing w:after="0" w:line="8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1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summarizes repurchases of equity securities by the Company during the three months ended June 30, 2023:</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1"/>
              </w:rPr>
              <w:t>Total Number of Shares</w:t>
            </w:r>
          </w:p>
        </w:tc>
        <w:tc>
          <w:tcPr>
            <w:tcW w:w="10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5"/>
              </w:rPr>
              <w:t>Maximum Number of</w:t>
            </w:r>
          </w:p>
        </w:tc>
        <w:tc>
          <w:tcPr>
            <w:tcW w:w="0" w:type="dxa"/>
            <w:vAlign w:val="bottom"/>
          </w:tcPr>
          <w:p>
            <w:pPr>
              <w:spacing w:after="0"/>
              <w:rPr>
                <w:sz w:val="1"/>
                <w:szCs w:val="1"/>
                <w:color w:val="auto"/>
              </w:rPr>
            </w:pPr>
          </w:p>
        </w:tc>
      </w:tr>
      <w:tr>
        <w:trPr>
          <w:trHeight w:val="137"/>
        </w:trPr>
        <w:tc>
          <w:tcPr>
            <w:tcW w:w="3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2"/>
              </w:rPr>
              <w:t>Total Number of Shares</w:t>
            </w:r>
          </w:p>
        </w:tc>
        <w:tc>
          <w:tcPr>
            <w:tcW w:w="320" w:type="dxa"/>
            <w:vAlign w:val="bottom"/>
          </w:tcPr>
          <w:p>
            <w:pPr>
              <w:spacing w:after="0"/>
              <w:rPr>
                <w:sz w:val="11"/>
                <w:szCs w:val="11"/>
                <w:color w:val="auto"/>
              </w:rPr>
            </w:pPr>
          </w:p>
        </w:tc>
        <w:tc>
          <w:tcPr>
            <w:tcW w:w="14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1"/>
              </w:rPr>
              <w:t>Average Price Paid per</w:t>
            </w:r>
          </w:p>
        </w:tc>
        <w:tc>
          <w:tcPr>
            <w:tcW w:w="100" w:type="dxa"/>
            <w:vAlign w:val="bottom"/>
          </w:tcPr>
          <w:p>
            <w:pPr>
              <w:spacing w:after="0"/>
              <w:rPr>
                <w:sz w:val="11"/>
                <w:szCs w:val="11"/>
                <w:color w:val="auto"/>
              </w:rPr>
            </w:pPr>
          </w:p>
        </w:tc>
        <w:tc>
          <w:tcPr>
            <w:tcW w:w="1480" w:type="dxa"/>
            <w:vAlign w:val="bottom"/>
          </w:tcPr>
          <w:p>
            <w:pPr>
              <w:jc w:val="center"/>
              <w:spacing w:after="0" w:line="137" w:lineRule="exact"/>
              <w:rPr>
                <w:sz w:val="20"/>
                <w:szCs w:val="20"/>
                <w:color w:val="auto"/>
              </w:rPr>
            </w:pPr>
            <w:r>
              <w:rPr>
                <w:rFonts w:ascii="Arial" w:cs="Arial" w:eastAsia="Arial" w:hAnsi="Arial"/>
                <w:sz w:val="14"/>
                <w:szCs w:val="14"/>
                <w:b w:val="1"/>
                <w:bCs w:val="1"/>
                <w:color w:val="auto"/>
                <w:w w:val="89"/>
              </w:rPr>
              <w:t>Purchased as Part of</w:t>
            </w:r>
          </w:p>
        </w:tc>
        <w:tc>
          <w:tcPr>
            <w:tcW w:w="100" w:type="dxa"/>
            <w:vAlign w:val="bottom"/>
          </w:tcPr>
          <w:p>
            <w:pPr>
              <w:spacing w:after="0"/>
              <w:rPr>
                <w:sz w:val="11"/>
                <w:szCs w:val="11"/>
                <w:color w:val="auto"/>
              </w:rPr>
            </w:pPr>
          </w:p>
        </w:tc>
        <w:tc>
          <w:tcPr>
            <w:tcW w:w="1480" w:type="dxa"/>
            <w:vAlign w:val="bottom"/>
          </w:tcPr>
          <w:p>
            <w:pPr>
              <w:jc w:val="center"/>
              <w:spacing w:after="0" w:line="137" w:lineRule="exact"/>
              <w:rPr>
                <w:sz w:val="20"/>
                <w:szCs w:val="20"/>
                <w:color w:val="auto"/>
              </w:rPr>
            </w:pPr>
            <w:r>
              <w:rPr>
                <w:rFonts w:ascii="Arial" w:cs="Arial" w:eastAsia="Arial" w:hAnsi="Arial"/>
                <w:sz w:val="14"/>
                <w:szCs w:val="14"/>
                <w:b w:val="1"/>
                <w:bCs w:val="1"/>
                <w:color w:val="auto"/>
                <w:w w:val="91"/>
              </w:rPr>
              <w:t>Shares that May Yet Be</w:t>
            </w:r>
          </w:p>
        </w:tc>
        <w:tc>
          <w:tcPr>
            <w:tcW w:w="0" w:type="dxa"/>
            <w:vAlign w:val="bottom"/>
          </w:tcPr>
          <w:p>
            <w:pPr>
              <w:spacing w:after="0"/>
              <w:rPr>
                <w:sz w:val="1"/>
                <w:szCs w:val="1"/>
                <w:color w:val="auto"/>
              </w:rPr>
            </w:pPr>
          </w:p>
        </w:tc>
      </w:tr>
      <w:tr>
        <w:trPr>
          <w:trHeight w:val="143"/>
        </w:trPr>
        <w:tc>
          <w:tcPr>
            <w:tcW w:w="37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10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9"/>
              </w:rPr>
              <w:t>Publicly Announced</w:t>
            </w:r>
          </w:p>
        </w:tc>
        <w:tc>
          <w:tcPr>
            <w:tcW w:w="100" w:type="dxa"/>
            <w:vAlign w:val="bottom"/>
          </w:tcPr>
          <w:p>
            <w:pPr>
              <w:spacing w:after="0"/>
              <w:rPr>
                <w:sz w:val="12"/>
                <w:szCs w:val="12"/>
                <w:color w:val="auto"/>
              </w:rPr>
            </w:pPr>
          </w:p>
        </w:tc>
        <w:tc>
          <w:tcPr>
            <w:tcW w:w="148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0"/>
              </w:rPr>
              <w:t>Purchased Under the</w:t>
            </w:r>
          </w:p>
        </w:tc>
        <w:tc>
          <w:tcPr>
            <w:tcW w:w="0" w:type="dxa"/>
            <w:vAlign w:val="bottom"/>
          </w:tcPr>
          <w:p>
            <w:pPr>
              <w:spacing w:after="0"/>
              <w:rPr>
                <w:sz w:val="1"/>
                <w:szCs w:val="1"/>
                <w:color w:val="auto"/>
              </w:rPr>
            </w:pPr>
          </w:p>
        </w:tc>
      </w:tr>
      <w:tr>
        <w:trPr>
          <w:trHeight w:val="198"/>
        </w:trPr>
        <w:tc>
          <w:tcPr>
            <w:tcW w:w="37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50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Purchased</w:t>
            </w:r>
          </w:p>
        </w:tc>
        <w:tc>
          <w:tcPr>
            <w:tcW w:w="3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Share</w:t>
            </w:r>
          </w:p>
        </w:tc>
        <w:tc>
          <w:tcPr>
            <w:tcW w:w="100" w:type="dxa"/>
            <w:vAlign w:val="bottom"/>
            <w:tcBorders>
              <w:bottom w:val="single" w:sz="8" w:color="CCEEFF"/>
            </w:tcBorders>
          </w:tcPr>
          <w:p>
            <w:pPr>
              <w:spacing w:after="0"/>
              <w:rPr>
                <w:sz w:val="17"/>
                <w:szCs w:val="17"/>
                <w:color w:val="auto"/>
              </w:rPr>
            </w:pPr>
          </w:p>
        </w:tc>
        <w:tc>
          <w:tcPr>
            <w:tcW w:w="1480" w:type="dxa"/>
            <w:vAlign w:val="bottom"/>
            <w:tcBorders>
              <w:bottom w:val="single" w:sz="8" w:color="auto"/>
            </w:tcBorders>
          </w:tcPr>
          <w:p>
            <w:pPr>
              <w:jc w:val="center"/>
              <w:spacing w:after="0" w:line="198" w:lineRule="exact"/>
              <w:rPr>
                <w:sz w:val="20"/>
                <w:szCs w:val="20"/>
                <w:color w:val="auto"/>
              </w:rPr>
            </w:pPr>
            <w:r>
              <w:rPr>
                <w:rFonts w:ascii="Arial" w:cs="Arial" w:eastAsia="Arial" w:hAnsi="Arial"/>
                <w:sz w:val="14"/>
                <w:szCs w:val="14"/>
                <w:b w:val="1"/>
                <w:bCs w:val="1"/>
                <w:color w:val="auto"/>
                <w:w w:val="89"/>
              </w:rPr>
              <w:t xml:space="preserve">Plans or Programs </w:t>
            </w:r>
            <w:r>
              <w:rPr>
                <w:rFonts w:ascii="Arial" w:cs="Arial" w:eastAsia="Arial" w:hAnsi="Arial"/>
                <w:sz w:val="18"/>
                <w:szCs w:val="18"/>
                <w:b w:val="1"/>
                <w:bCs w:val="1"/>
                <w:color w:val="auto"/>
                <w:w w:val="89"/>
                <w:vertAlign w:val="superscript"/>
              </w:rPr>
              <w:t>(1)</w:t>
            </w:r>
          </w:p>
        </w:tc>
        <w:tc>
          <w:tcPr>
            <w:tcW w:w="100" w:type="dxa"/>
            <w:vAlign w:val="bottom"/>
            <w:tcBorders>
              <w:bottom w:val="single" w:sz="8" w:color="CCEEFF"/>
            </w:tcBorders>
          </w:tcPr>
          <w:p>
            <w:pPr>
              <w:spacing w:after="0"/>
              <w:rPr>
                <w:sz w:val="17"/>
                <w:szCs w:val="17"/>
                <w:color w:val="auto"/>
              </w:rPr>
            </w:pPr>
          </w:p>
        </w:tc>
        <w:tc>
          <w:tcPr>
            <w:tcW w:w="1480" w:type="dxa"/>
            <w:vAlign w:val="bottom"/>
            <w:tcBorders>
              <w:bottom w:val="single" w:sz="8" w:color="auto"/>
            </w:tcBorders>
          </w:tcPr>
          <w:p>
            <w:pPr>
              <w:jc w:val="center"/>
              <w:spacing w:after="0" w:line="198" w:lineRule="exact"/>
              <w:rPr>
                <w:sz w:val="20"/>
                <w:szCs w:val="20"/>
                <w:color w:val="auto"/>
              </w:rPr>
            </w:pPr>
            <w:r>
              <w:rPr>
                <w:rFonts w:ascii="Arial" w:cs="Arial" w:eastAsia="Arial" w:hAnsi="Arial"/>
                <w:sz w:val="14"/>
                <w:szCs w:val="14"/>
                <w:b w:val="1"/>
                <w:bCs w:val="1"/>
                <w:color w:val="auto"/>
                <w:w w:val="88"/>
              </w:rPr>
              <w:t xml:space="preserve">Plans or Programs </w:t>
            </w:r>
            <w:r>
              <w:rPr>
                <w:rFonts w:ascii="Arial" w:cs="Arial" w:eastAsia="Arial" w:hAnsi="Arial"/>
                <w:sz w:val="18"/>
                <w:szCs w:val="18"/>
                <w:b w:val="1"/>
                <w:bCs w:val="1"/>
                <w:color w:val="auto"/>
                <w:w w:val="88"/>
                <w:vertAlign w:val="superscript"/>
              </w:rPr>
              <w:t>(2)</w:t>
            </w:r>
          </w:p>
        </w:tc>
        <w:tc>
          <w:tcPr>
            <w:tcW w:w="0" w:type="dxa"/>
            <w:vAlign w:val="bottom"/>
          </w:tcPr>
          <w:p>
            <w:pPr>
              <w:spacing w:after="0"/>
              <w:rPr>
                <w:sz w:val="1"/>
                <w:szCs w:val="1"/>
                <w:color w:val="auto"/>
              </w:rPr>
            </w:pPr>
          </w:p>
        </w:tc>
      </w:tr>
      <w:tr>
        <w:trPr>
          <w:trHeight w:val="219"/>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4/1/2023 - 4/30/2023</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37"/>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8,732,818</w:t>
            </w:r>
          </w:p>
        </w:tc>
        <w:tc>
          <w:tcPr>
            <w:tcW w:w="0" w:type="dxa"/>
            <w:vAlign w:val="bottom"/>
          </w:tcPr>
          <w:p>
            <w:pPr>
              <w:spacing w:after="0"/>
              <w:rPr>
                <w:sz w:val="1"/>
                <w:szCs w:val="1"/>
                <w:color w:val="auto"/>
              </w:rPr>
            </w:pPr>
          </w:p>
        </w:tc>
      </w:tr>
      <w:tr>
        <w:trPr>
          <w:trHeight w:val="225"/>
        </w:trPr>
        <w:tc>
          <w:tcPr>
            <w:tcW w:w="3720" w:type="dxa"/>
            <w:vAlign w:val="bottom"/>
          </w:tcPr>
          <w:p>
            <w:pPr>
              <w:ind w:left="20"/>
              <w:spacing w:after="0"/>
              <w:rPr>
                <w:sz w:val="20"/>
                <w:szCs w:val="20"/>
                <w:color w:val="auto"/>
              </w:rPr>
            </w:pPr>
            <w:r>
              <w:rPr>
                <w:rFonts w:ascii="Arial" w:cs="Arial" w:eastAsia="Arial" w:hAnsi="Arial"/>
                <w:sz w:val="18"/>
                <w:szCs w:val="18"/>
                <w:color w:val="auto"/>
              </w:rPr>
              <w:t>5/1/2023 - 5/31/2023</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1,148,905</w:t>
            </w:r>
          </w:p>
        </w:tc>
        <w:tc>
          <w:tcPr>
            <w:tcW w:w="640" w:type="dxa"/>
            <w:vAlign w:val="bottom"/>
            <w:gridSpan w:val="2"/>
          </w:tcPr>
          <w:p>
            <w:pPr>
              <w:jc w:val="right"/>
              <w:ind w:right="137"/>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19.39</w:t>
            </w:r>
          </w:p>
        </w:tc>
        <w:tc>
          <w:tcPr>
            <w:tcW w:w="1580" w:type="dxa"/>
            <w:vAlign w:val="bottom"/>
            <w:gridSpan w:val="2"/>
          </w:tcPr>
          <w:p>
            <w:pPr>
              <w:jc w:val="right"/>
              <w:ind w:right="2"/>
              <w:spacing w:after="0"/>
              <w:rPr>
                <w:sz w:val="20"/>
                <w:szCs w:val="20"/>
                <w:color w:val="auto"/>
              </w:rPr>
            </w:pPr>
            <w:r>
              <w:rPr>
                <w:rFonts w:ascii="Arial" w:cs="Arial" w:eastAsia="Arial" w:hAnsi="Arial"/>
                <w:sz w:val="18"/>
                <w:szCs w:val="18"/>
                <w:color w:val="auto"/>
              </w:rPr>
              <w:t>1,148,905</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7,583,913</w:t>
            </w:r>
          </w:p>
        </w:tc>
        <w:tc>
          <w:tcPr>
            <w:tcW w:w="0" w:type="dxa"/>
            <w:vAlign w:val="bottom"/>
          </w:tcPr>
          <w:p>
            <w:pPr>
              <w:spacing w:after="0"/>
              <w:rPr>
                <w:sz w:val="1"/>
                <w:szCs w:val="1"/>
                <w:color w:val="auto"/>
              </w:rPr>
            </w:pPr>
          </w:p>
        </w:tc>
      </w:tr>
      <w:tr>
        <w:trPr>
          <w:trHeight w:val="226"/>
        </w:trPr>
        <w:tc>
          <w:tcPr>
            <w:tcW w:w="3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6/1/2023 - 6/30/2023</w:t>
            </w:r>
          </w:p>
        </w:tc>
        <w:tc>
          <w:tcPr>
            <w:tcW w:w="10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1,916,899</w:t>
            </w:r>
          </w:p>
        </w:tc>
        <w:tc>
          <w:tcPr>
            <w:tcW w:w="3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19.91</w:t>
            </w:r>
          </w:p>
        </w:tc>
        <w:tc>
          <w:tcPr>
            <w:tcW w:w="10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1,916,899</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5,667,014</w:t>
            </w:r>
          </w:p>
        </w:tc>
        <w:tc>
          <w:tcPr>
            <w:tcW w:w="0" w:type="dxa"/>
            <w:vAlign w:val="bottom"/>
          </w:tcPr>
          <w:p>
            <w:pPr>
              <w:spacing w:after="0"/>
              <w:rPr>
                <w:sz w:val="1"/>
                <w:szCs w:val="1"/>
                <w:color w:val="auto"/>
              </w:rPr>
            </w:pPr>
          </w:p>
        </w:tc>
      </w:tr>
      <w:tr>
        <w:trPr>
          <w:trHeight w:val="232"/>
        </w:trPr>
        <w:tc>
          <w:tcPr>
            <w:tcW w:w="3720" w:type="dxa"/>
            <w:vAlign w:val="bottom"/>
          </w:tcPr>
          <w:p>
            <w:pPr>
              <w:ind w:left="2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3,065,804</w:t>
            </w:r>
          </w:p>
        </w:tc>
        <w:tc>
          <w:tcPr>
            <w:tcW w:w="320" w:type="dxa"/>
            <w:vAlign w:val="bottom"/>
          </w:tcPr>
          <w:p>
            <w:pPr>
              <w:spacing w:after="0"/>
              <w:rPr>
                <w:sz w:val="20"/>
                <w:szCs w:val="20"/>
                <w:color w:val="auto"/>
              </w:rPr>
            </w:pPr>
          </w:p>
        </w:tc>
        <w:tc>
          <w:tcPr>
            <w:tcW w:w="320" w:type="dxa"/>
            <w:vAlign w:val="bottom"/>
            <w:tcBorders>
              <w:bottom w:val="single" w:sz="8" w:color="auto"/>
            </w:tcBorders>
          </w:tcPr>
          <w:p>
            <w:pPr>
              <w:jc w:val="right"/>
              <w:ind w:right="137"/>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19.71</w:t>
            </w:r>
          </w:p>
        </w:tc>
        <w:tc>
          <w:tcPr>
            <w:tcW w:w="100" w:type="dxa"/>
            <w:vAlign w:val="bottom"/>
          </w:tcPr>
          <w:p>
            <w:pPr>
              <w:spacing w:after="0"/>
              <w:rPr>
                <w:sz w:val="20"/>
                <w:szCs w:val="20"/>
                <w:color w:val="auto"/>
              </w:rPr>
            </w:pPr>
          </w:p>
        </w:tc>
        <w:tc>
          <w:tcPr>
            <w:tcW w:w="1480" w:type="dxa"/>
            <w:vAlign w:val="bottom"/>
            <w:tcBorders>
              <w:bottom w:val="single" w:sz="8" w:color="auto"/>
            </w:tcBorders>
          </w:tcPr>
          <w:p>
            <w:pPr>
              <w:jc w:val="right"/>
              <w:ind w:right="2"/>
              <w:spacing w:after="0"/>
              <w:rPr>
                <w:sz w:val="20"/>
                <w:szCs w:val="20"/>
                <w:color w:val="auto"/>
              </w:rPr>
            </w:pPr>
            <w:r>
              <w:rPr>
                <w:rFonts w:ascii="Arial" w:cs="Arial" w:eastAsia="Arial" w:hAnsi="Arial"/>
                <w:sz w:val="18"/>
                <w:szCs w:val="18"/>
                <w:color w:val="auto"/>
              </w:rPr>
              <w:t>3,065,804</w:t>
            </w: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left="320" w:hanging="314"/>
        <w:spacing w:after="0" w:line="265" w:lineRule="auto"/>
        <w:tabs>
          <w:tab w:leader="none" w:pos="390" w:val="left"/>
        </w:tabs>
        <w:numPr>
          <w:ilvl w:val="0"/>
          <w:numId w:val="9"/>
        </w:numPr>
        <w:rPr>
          <w:rFonts w:ascii="Arial" w:cs="Arial" w:eastAsia="Arial" w:hAnsi="Arial"/>
          <w:sz w:val="18"/>
          <w:szCs w:val="18"/>
          <w:color w:val="auto"/>
        </w:rPr>
      </w:pPr>
      <w:r>
        <w:rPr>
          <w:rFonts w:ascii="Arial" w:cs="Arial" w:eastAsia="Arial" w:hAnsi="Arial"/>
          <w:sz w:val="18"/>
          <w:szCs w:val="18"/>
          <w:color w:val="auto"/>
        </w:rPr>
        <w:t>On August 3, 2022, our Board of Directors approved the 2022 Repurchase Program, under which we may purchase up to 10 million shares of our CNNE common stock through August 3, 2025.</w:t>
      </w:r>
    </w:p>
    <w:p>
      <w:pPr>
        <w:spacing w:after="0" w:line="73" w:lineRule="exact"/>
        <w:rPr>
          <w:rFonts w:ascii="Arial" w:cs="Arial" w:eastAsia="Arial" w:hAnsi="Arial"/>
          <w:sz w:val="18"/>
          <w:szCs w:val="18"/>
          <w:color w:val="auto"/>
        </w:rPr>
      </w:pPr>
    </w:p>
    <w:p>
      <w:pPr>
        <w:ind w:left="380" w:hanging="374"/>
        <w:spacing w:after="0"/>
        <w:tabs>
          <w:tab w:leader="none" w:pos="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As of the last day of the applicable month.</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1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14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Item 5. Other Information</w:t>
      </w:r>
    </w:p>
    <w:p>
      <w:pPr>
        <w:spacing w:after="0" w:line="21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07"/>
        </w:trPr>
        <w:tc>
          <w:tcPr>
            <w:tcW w:w="1340" w:type="dxa"/>
            <w:vAlign w:val="bottom"/>
            <w:tcBorders>
              <w:bottom w:val="single" w:sz="8" w:color="0000FF"/>
            </w:tcBorders>
          </w:tcPr>
          <w:p>
            <w:pPr>
              <w:jc w:val="center"/>
              <w:spacing w:after="0"/>
              <w:rPr>
                <w:sz w:val="20"/>
                <w:szCs w:val="20"/>
                <w:color w:val="auto"/>
              </w:rPr>
            </w:pPr>
            <w:r>
              <w:rPr>
                <w:rFonts w:ascii="Arial" w:cs="Arial" w:eastAsia="Arial" w:hAnsi="Arial"/>
                <w:sz w:val="18"/>
                <w:szCs w:val="18"/>
                <w:b w:val="1"/>
                <w:bCs w:val="1"/>
                <w:color w:val="0000FF"/>
                <w:w w:val="88"/>
              </w:rPr>
              <w:t>Table of Contents</w:t>
            </w:r>
          </w:p>
        </w:tc>
        <w:tc>
          <w:tcPr>
            <w:tcW w:w="3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5"/>
        </w:trPr>
        <w:tc>
          <w:tcPr>
            <w:tcW w:w="1340" w:type="dxa"/>
            <w:vAlign w:val="bottom"/>
          </w:tcPr>
          <w:p>
            <w:pPr>
              <w:spacing w:after="0"/>
              <w:rPr>
                <w:sz w:val="20"/>
                <w:szCs w:val="20"/>
                <w:color w:val="auto"/>
              </w:rPr>
            </w:pPr>
            <w:r>
              <w:rPr>
                <w:rFonts w:ascii="Arial" w:cs="Arial" w:eastAsia="Arial" w:hAnsi="Arial"/>
                <w:sz w:val="18"/>
                <w:szCs w:val="18"/>
                <w:b w:val="1"/>
                <w:bCs w:val="1"/>
                <w:color w:val="auto"/>
                <w:w w:val="99"/>
              </w:rPr>
              <w:t>Item 6. Exhibits</w:t>
            </w:r>
          </w:p>
        </w:tc>
        <w:tc>
          <w:tcPr>
            <w:tcW w:w="3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340" w:type="dxa"/>
            <w:vAlign w:val="bottom"/>
          </w:tcPr>
          <w:p>
            <w:pPr>
              <w:jc w:val="center"/>
              <w:spacing w:after="0"/>
              <w:rPr>
                <w:sz w:val="20"/>
                <w:szCs w:val="20"/>
                <w:color w:val="auto"/>
              </w:rPr>
            </w:pPr>
            <w:r>
              <w:rPr>
                <w:rFonts w:ascii="Arial" w:cs="Arial" w:eastAsia="Arial" w:hAnsi="Arial"/>
                <w:sz w:val="18"/>
                <w:szCs w:val="18"/>
                <w:color w:val="auto"/>
                <w:w w:val="92"/>
              </w:rPr>
              <w:t>(a) Exhibits:</w:t>
            </w:r>
          </w:p>
        </w:tc>
        <w:tc>
          <w:tcPr>
            <w:tcW w:w="3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20" w:type="dxa"/>
            <w:vAlign w:val="bottom"/>
            <w:gridSpan w:val="4"/>
            <w:vMerge w:val="restart"/>
          </w:tcPr>
          <w:p>
            <w:pPr>
              <w:ind w:left="74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212"/>
        </w:trPr>
        <w:tc>
          <w:tcPr>
            <w:tcW w:w="1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20" w:type="dxa"/>
            <w:vAlign w:val="bottom"/>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66"/>
        </w:trPr>
        <w:tc>
          <w:tcPr>
            <w:tcW w:w="134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380" w:type="dxa"/>
            <w:vAlign w:val="bottom"/>
          </w:tcPr>
          <w:p>
            <w:pPr>
              <w:spacing w:after="0"/>
              <w:rPr>
                <w:sz w:val="23"/>
                <w:szCs w:val="23"/>
                <w:color w:val="auto"/>
              </w:rPr>
            </w:pPr>
          </w:p>
        </w:tc>
        <w:tc>
          <w:tcPr>
            <w:tcW w:w="9500" w:type="dxa"/>
            <w:vAlign w:val="bottom"/>
            <w:gridSpan w:val="7"/>
          </w:tcPr>
          <w:p>
            <w:pPr>
              <w:spacing w:after="0"/>
              <w:rPr>
                <w:sz w:val="20"/>
                <w:szCs w:val="20"/>
                <w:color w:val="auto"/>
              </w:rPr>
            </w:pPr>
            <w:r>
              <w:rPr>
                <w:rFonts w:ascii="Arial" w:cs="Arial" w:eastAsia="Arial" w:hAnsi="Arial"/>
                <w:sz w:val="18"/>
                <w:szCs w:val="18"/>
                <w:color w:val="0000FF"/>
                <w:w w:val="90"/>
              </w:rPr>
              <w:t>Amendment Agreement dated as of June 16, 2023, to the Margin Loan Agreement, dated as of November 30, 2020, among Cannae</w:t>
            </w:r>
          </w:p>
        </w:tc>
        <w:tc>
          <w:tcPr>
            <w:tcW w:w="0" w:type="dxa"/>
            <w:vAlign w:val="bottom"/>
          </w:tcPr>
          <w:p>
            <w:pPr>
              <w:spacing w:after="0"/>
              <w:rPr>
                <w:sz w:val="1"/>
                <w:szCs w:val="1"/>
                <w:color w:val="auto"/>
              </w:rPr>
            </w:pPr>
          </w:p>
        </w:tc>
      </w:tr>
      <w:tr>
        <w:trPr>
          <w:trHeight w:val="152"/>
        </w:trPr>
        <w:tc>
          <w:tcPr>
            <w:tcW w:w="13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480" w:type="dxa"/>
            <w:vAlign w:val="bottom"/>
            <w:tcBorders>
              <w:top w:val="single" w:sz="8" w:color="0000FF"/>
              <w:bottom w:val="single" w:sz="8" w:color="0000FF"/>
            </w:tcBorders>
            <w:gridSpan w:val="6"/>
          </w:tcPr>
          <w:p>
            <w:pPr>
              <w:spacing w:after="0" w:line="153" w:lineRule="exact"/>
              <w:rPr>
                <w:sz w:val="20"/>
                <w:szCs w:val="20"/>
                <w:color w:val="auto"/>
              </w:rPr>
            </w:pPr>
            <w:r>
              <w:rPr>
                <w:rFonts w:ascii="Arial" w:cs="Arial" w:eastAsia="Arial" w:hAnsi="Arial"/>
                <w:sz w:val="17"/>
                <w:szCs w:val="17"/>
                <w:color w:val="0000FF"/>
                <w:w w:val="95"/>
              </w:rPr>
              <w:t>Funding C, LLC, as Borrower 1, Cannae Funding D, LLC, as Borrower 2, the lenders from time to time party thereto and Royal Bank</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1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80" w:type="dxa"/>
            <w:vAlign w:val="bottom"/>
            <w:tcBorders>
              <w:bottom w:val="single" w:sz="8" w:color="0000FF"/>
            </w:tcBorders>
            <w:gridSpan w:val="3"/>
          </w:tcPr>
          <w:p>
            <w:pPr>
              <w:spacing w:after="0" w:line="166" w:lineRule="exact"/>
              <w:rPr>
                <w:sz w:val="20"/>
                <w:szCs w:val="20"/>
                <w:color w:val="auto"/>
              </w:rPr>
            </w:pPr>
            <w:r>
              <w:rPr>
                <w:rFonts w:ascii="Arial" w:cs="Arial" w:eastAsia="Arial" w:hAnsi="Arial"/>
                <w:sz w:val="18"/>
                <w:szCs w:val="18"/>
                <w:color w:val="0000FF"/>
                <w:w w:val="86"/>
              </w:rPr>
              <w:t>of Canada, as administrative agent.</w:t>
            </w:r>
          </w:p>
        </w:tc>
        <w:tc>
          <w:tcPr>
            <w:tcW w:w="700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9"/>
        </w:trPr>
        <w:tc>
          <w:tcPr>
            <w:tcW w:w="1340" w:type="dxa"/>
            <w:vAlign w:val="bottom"/>
          </w:tcPr>
          <w:p>
            <w:pPr>
              <w:jc w:val="center"/>
              <w:spacing w:after="0"/>
              <w:rPr>
                <w:sz w:val="20"/>
                <w:szCs w:val="20"/>
                <w:color w:val="auto"/>
              </w:rPr>
            </w:pPr>
            <w:r>
              <w:rPr>
                <w:rFonts w:ascii="Arial" w:cs="Arial" w:eastAsia="Arial" w:hAnsi="Arial"/>
                <w:sz w:val="18"/>
                <w:szCs w:val="18"/>
                <w:color w:val="auto"/>
                <w:w w:val="85"/>
              </w:rPr>
              <w:t>31.1</w:t>
            </w:r>
          </w:p>
        </w:tc>
        <w:tc>
          <w:tcPr>
            <w:tcW w:w="380" w:type="dxa"/>
            <w:vAlign w:val="bottom"/>
          </w:tcPr>
          <w:p>
            <w:pPr>
              <w:spacing w:after="0"/>
              <w:rPr>
                <w:sz w:val="22"/>
                <w:szCs w:val="22"/>
                <w:color w:val="auto"/>
              </w:rPr>
            </w:pPr>
          </w:p>
        </w:tc>
        <w:tc>
          <w:tcPr>
            <w:tcW w:w="734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90"/>
              </w:rPr>
              <w:t>Certification of Principal Executive Officer pursuant to Section 302 of the Sarbanes-Oxley Act of 2002.</w:t>
            </w:r>
          </w:p>
        </w:tc>
        <w:tc>
          <w:tcPr>
            <w:tcW w:w="216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444"/>
        </w:trPr>
        <w:tc>
          <w:tcPr>
            <w:tcW w:w="1340" w:type="dxa"/>
            <w:vAlign w:val="bottom"/>
          </w:tcPr>
          <w:p>
            <w:pPr>
              <w:jc w:val="center"/>
              <w:spacing w:after="0"/>
              <w:rPr>
                <w:sz w:val="20"/>
                <w:szCs w:val="20"/>
                <w:color w:val="auto"/>
              </w:rPr>
            </w:pPr>
            <w:r>
              <w:rPr>
                <w:rFonts w:ascii="Arial" w:cs="Arial" w:eastAsia="Arial" w:hAnsi="Arial"/>
                <w:sz w:val="18"/>
                <w:szCs w:val="18"/>
                <w:color w:val="auto"/>
                <w:w w:val="85"/>
              </w:rPr>
              <w:t>31.2</w:t>
            </w:r>
          </w:p>
        </w:tc>
        <w:tc>
          <w:tcPr>
            <w:tcW w:w="380" w:type="dxa"/>
            <w:vAlign w:val="bottom"/>
          </w:tcPr>
          <w:p>
            <w:pPr>
              <w:spacing w:after="0"/>
              <w:rPr>
                <w:sz w:val="24"/>
                <w:szCs w:val="24"/>
                <w:color w:val="auto"/>
              </w:rPr>
            </w:pPr>
          </w:p>
        </w:tc>
        <w:tc>
          <w:tcPr>
            <w:tcW w:w="704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90"/>
              </w:rPr>
              <w:t>Certification of Chief Financial Officer pursuant to Section 302 of the Sarbanes-Oxley Act of 2002.</w:t>
            </w:r>
          </w:p>
        </w:tc>
        <w:tc>
          <w:tcPr>
            <w:tcW w:w="246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1340" w:type="dxa"/>
            <w:vAlign w:val="bottom"/>
          </w:tcPr>
          <w:p>
            <w:pPr>
              <w:jc w:val="center"/>
              <w:spacing w:after="0"/>
              <w:rPr>
                <w:sz w:val="20"/>
                <w:szCs w:val="20"/>
                <w:color w:val="auto"/>
              </w:rPr>
            </w:pPr>
            <w:r>
              <w:rPr>
                <w:rFonts w:ascii="Arial" w:cs="Arial" w:eastAsia="Arial" w:hAnsi="Arial"/>
                <w:sz w:val="18"/>
                <w:szCs w:val="18"/>
                <w:color w:val="auto"/>
                <w:w w:val="95"/>
              </w:rPr>
              <w:t>32.1*</w:t>
            </w:r>
          </w:p>
        </w:tc>
        <w:tc>
          <w:tcPr>
            <w:tcW w:w="380" w:type="dxa"/>
            <w:vAlign w:val="bottom"/>
          </w:tcPr>
          <w:p>
            <w:pPr>
              <w:spacing w:after="0"/>
              <w:rPr>
                <w:sz w:val="24"/>
                <w:szCs w:val="24"/>
                <w:color w:val="auto"/>
              </w:rPr>
            </w:pPr>
          </w:p>
        </w:tc>
        <w:tc>
          <w:tcPr>
            <w:tcW w:w="9500" w:type="dxa"/>
            <w:vAlign w:val="bottom"/>
            <w:gridSpan w:val="7"/>
          </w:tcPr>
          <w:p>
            <w:pPr>
              <w:spacing w:after="0"/>
              <w:rPr>
                <w:sz w:val="20"/>
                <w:szCs w:val="20"/>
                <w:color w:val="auto"/>
              </w:rPr>
            </w:pPr>
            <w:r>
              <w:rPr>
                <w:rFonts w:ascii="Arial" w:cs="Arial" w:eastAsia="Arial" w:hAnsi="Arial"/>
                <w:sz w:val="18"/>
                <w:szCs w:val="18"/>
                <w:color w:val="0000FF"/>
                <w:w w:val="94"/>
              </w:rPr>
              <w:t>Certification by Principal Executive Officer of Periodic Financial Reports pursuant to Section 906 of the Sarbanes-Oxley Act of</w:t>
            </w:r>
          </w:p>
        </w:tc>
        <w:tc>
          <w:tcPr>
            <w:tcW w:w="0" w:type="dxa"/>
            <w:vAlign w:val="bottom"/>
          </w:tcPr>
          <w:p>
            <w:pPr>
              <w:spacing w:after="0"/>
              <w:rPr>
                <w:sz w:val="1"/>
                <w:szCs w:val="1"/>
                <w:color w:val="auto"/>
              </w:rPr>
            </w:pPr>
          </w:p>
        </w:tc>
      </w:tr>
      <w:tr>
        <w:trPr>
          <w:trHeight w:val="166"/>
        </w:trPr>
        <w:tc>
          <w:tcPr>
            <w:tcW w:w="1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160" w:type="dxa"/>
            <w:vAlign w:val="bottom"/>
            <w:tcBorders>
              <w:top w:val="single" w:sz="8" w:color="0000FF"/>
              <w:bottom w:val="single" w:sz="8" w:color="0000FF"/>
            </w:tcBorders>
            <w:gridSpan w:val="2"/>
          </w:tcPr>
          <w:p>
            <w:pPr>
              <w:spacing w:after="0" w:line="166" w:lineRule="exact"/>
              <w:rPr>
                <w:sz w:val="20"/>
                <w:szCs w:val="20"/>
                <w:color w:val="auto"/>
              </w:rPr>
            </w:pPr>
            <w:r>
              <w:rPr>
                <w:rFonts w:ascii="Arial" w:cs="Arial" w:eastAsia="Arial" w:hAnsi="Arial"/>
                <w:sz w:val="18"/>
                <w:szCs w:val="18"/>
                <w:color w:val="0000FF"/>
                <w:w w:val="87"/>
              </w:rPr>
              <w:t>2002, 18 U.S.C. Section 1350.</w:t>
            </w:r>
          </w:p>
        </w:tc>
        <w:tc>
          <w:tcPr>
            <w:tcW w:w="7320" w:type="dxa"/>
            <w:vAlign w:val="bottom"/>
            <w:tcBorders>
              <w:top w:val="single" w:sz="8" w:color="0000FF"/>
            </w:tcBorders>
            <w:gridSpan w:val="4"/>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1"/>
        </w:trPr>
        <w:tc>
          <w:tcPr>
            <w:tcW w:w="1340" w:type="dxa"/>
            <w:vAlign w:val="bottom"/>
          </w:tcPr>
          <w:p>
            <w:pPr>
              <w:jc w:val="center"/>
              <w:spacing w:after="0"/>
              <w:rPr>
                <w:sz w:val="20"/>
                <w:szCs w:val="20"/>
                <w:color w:val="auto"/>
              </w:rPr>
            </w:pPr>
            <w:r>
              <w:rPr>
                <w:rFonts w:ascii="Arial" w:cs="Arial" w:eastAsia="Arial" w:hAnsi="Arial"/>
                <w:sz w:val="18"/>
                <w:szCs w:val="18"/>
                <w:color w:val="auto"/>
                <w:w w:val="95"/>
              </w:rPr>
              <w:t>32.2*</w:t>
            </w:r>
          </w:p>
        </w:tc>
        <w:tc>
          <w:tcPr>
            <w:tcW w:w="380" w:type="dxa"/>
            <w:vAlign w:val="bottom"/>
          </w:tcPr>
          <w:p>
            <w:pPr>
              <w:spacing w:after="0"/>
              <w:rPr>
                <w:sz w:val="24"/>
                <w:szCs w:val="24"/>
                <w:color w:val="auto"/>
              </w:rPr>
            </w:pPr>
          </w:p>
        </w:tc>
        <w:tc>
          <w:tcPr>
            <w:tcW w:w="9500" w:type="dxa"/>
            <w:vAlign w:val="bottom"/>
            <w:gridSpan w:val="7"/>
          </w:tcPr>
          <w:p>
            <w:pPr>
              <w:spacing w:after="0"/>
              <w:rPr>
                <w:sz w:val="20"/>
                <w:szCs w:val="20"/>
                <w:color w:val="auto"/>
              </w:rPr>
            </w:pPr>
            <w:r>
              <w:rPr>
                <w:rFonts w:ascii="Arial" w:cs="Arial" w:eastAsia="Arial" w:hAnsi="Arial"/>
                <w:sz w:val="18"/>
                <w:szCs w:val="18"/>
                <w:color w:val="0000FF"/>
                <w:w w:val="91"/>
              </w:rPr>
              <w:t>Certification by Chief Financial Officer of Periodic Financial Reports pursuant to Section 906 of the Sarbanes-Oxley Act of 2002, 18</w:t>
            </w:r>
          </w:p>
        </w:tc>
        <w:tc>
          <w:tcPr>
            <w:tcW w:w="0" w:type="dxa"/>
            <w:vAlign w:val="bottom"/>
          </w:tcPr>
          <w:p>
            <w:pPr>
              <w:spacing w:after="0"/>
              <w:rPr>
                <w:sz w:val="1"/>
                <w:szCs w:val="1"/>
                <w:color w:val="auto"/>
              </w:rPr>
            </w:pPr>
          </w:p>
        </w:tc>
      </w:tr>
      <w:tr>
        <w:trPr>
          <w:trHeight w:val="166"/>
        </w:trPr>
        <w:tc>
          <w:tcPr>
            <w:tcW w:w="1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80" w:type="dxa"/>
            <w:vAlign w:val="bottom"/>
            <w:tcBorders>
              <w:top w:val="single" w:sz="8" w:color="0000FF"/>
            </w:tcBorders>
            <w:gridSpan w:val="6"/>
          </w:tcPr>
          <w:p>
            <w:pPr>
              <w:spacing w:after="0" w:line="166" w:lineRule="exact"/>
              <w:rPr>
                <w:sz w:val="20"/>
                <w:szCs w:val="20"/>
                <w:color w:val="auto"/>
              </w:rPr>
            </w:pPr>
            <w:r>
              <w:rPr>
                <w:rFonts w:ascii="Arial" w:cs="Arial" w:eastAsia="Arial" w:hAnsi="Arial"/>
                <w:sz w:val="18"/>
                <w:szCs w:val="18"/>
                <w:color w:val="0000FF"/>
              </w:rPr>
              <w:t>U.S.C. Section 1350.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80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7"/>
        </w:trPr>
        <w:tc>
          <w:tcPr>
            <w:tcW w:w="1340" w:type="dxa"/>
            <w:vAlign w:val="bottom"/>
          </w:tcPr>
          <w:p>
            <w:pPr>
              <w:jc w:val="center"/>
              <w:spacing w:after="0"/>
              <w:rPr>
                <w:sz w:val="20"/>
                <w:szCs w:val="20"/>
                <w:color w:val="auto"/>
              </w:rPr>
            </w:pPr>
            <w:r>
              <w:rPr>
                <w:rFonts w:ascii="Arial" w:cs="Arial" w:eastAsia="Arial" w:hAnsi="Arial"/>
                <w:sz w:val="18"/>
                <w:szCs w:val="18"/>
                <w:color w:val="auto"/>
                <w:w w:val="98"/>
              </w:rPr>
              <w:t>101.INS**</w:t>
            </w:r>
          </w:p>
        </w:tc>
        <w:tc>
          <w:tcPr>
            <w:tcW w:w="380" w:type="dxa"/>
            <w:vAlign w:val="bottom"/>
          </w:tcPr>
          <w:p>
            <w:pPr>
              <w:spacing w:after="0"/>
              <w:rPr>
                <w:sz w:val="24"/>
                <w:szCs w:val="24"/>
                <w:color w:val="auto"/>
              </w:rPr>
            </w:pPr>
          </w:p>
        </w:tc>
        <w:tc>
          <w:tcPr>
            <w:tcW w:w="9500" w:type="dxa"/>
            <w:vAlign w:val="bottom"/>
            <w:gridSpan w:val="7"/>
          </w:tcPr>
          <w:p>
            <w:pPr>
              <w:spacing w:after="0"/>
              <w:rPr>
                <w:sz w:val="20"/>
                <w:szCs w:val="20"/>
                <w:color w:val="auto"/>
              </w:rPr>
            </w:pPr>
            <w:r>
              <w:rPr>
                <w:rFonts w:ascii="Arial" w:cs="Arial" w:eastAsia="Arial" w:hAnsi="Arial"/>
                <w:sz w:val="18"/>
                <w:szCs w:val="18"/>
                <w:color w:val="auto"/>
              </w:rPr>
              <w:t>Inline XBRL Instance Document</w:t>
            </w:r>
          </w:p>
        </w:tc>
        <w:tc>
          <w:tcPr>
            <w:tcW w:w="0" w:type="dxa"/>
            <w:vAlign w:val="bottom"/>
          </w:tcPr>
          <w:p>
            <w:pPr>
              <w:spacing w:after="0"/>
              <w:rPr>
                <w:sz w:val="1"/>
                <w:szCs w:val="1"/>
                <w:color w:val="auto"/>
              </w:rPr>
            </w:pPr>
          </w:p>
        </w:tc>
      </w:tr>
      <w:tr>
        <w:trPr>
          <w:trHeight w:val="318"/>
        </w:trPr>
        <w:tc>
          <w:tcPr>
            <w:tcW w:w="1340" w:type="dxa"/>
            <w:vAlign w:val="bottom"/>
          </w:tcPr>
          <w:p>
            <w:pPr>
              <w:jc w:val="center"/>
              <w:spacing w:after="0"/>
              <w:rPr>
                <w:sz w:val="20"/>
                <w:szCs w:val="20"/>
                <w:color w:val="auto"/>
              </w:rPr>
            </w:pPr>
            <w:r>
              <w:rPr>
                <w:rFonts w:ascii="Arial" w:cs="Arial" w:eastAsia="Arial" w:hAnsi="Arial"/>
                <w:sz w:val="18"/>
                <w:szCs w:val="18"/>
                <w:color w:val="auto"/>
                <w:w w:val="90"/>
              </w:rPr>
              <w:t>101.SCH</w:t>
            </w:r>
          </w:p>
        </w:tc>
        <w:tc>
          <w:tcPr>
            <w:tcW w:w="380" w:type="dxa"/>
            <w:vAlign w:val="bottom"/>
          </w:tcPr>
          <w:p>
            <w:pPr>
              <w:spacing w:after="0"/>
              <w:rPr>
                <w:sz w:val="24"/>
                <w:szCs w:val="24"/>
                <w:color w:val="auto"/>
              </w:rPr>
            </w:pPr>
          </w:p>
        </w:tc>
        <w:tc>
          <w:tcPr>
            <w:tcW w:w="9500" w:type="dxa"/>
            <w:vAlign w:val="bottom"/>
            <w:gridSpan w:val="7"/>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279"/>
        </w:trPr>
        <w:tc>
          <w:tcPr>
            <w:tcW w:w="1340" w:type="dxa"/>
            <w:vAlign w:val="bottom"/>
          </w:tcPr>
          <w:p>
            <w:pPr>
              <w:jc w:val="center"/>
              <w:spacing w:after="0"/>
              <w:rPr>
                <w:sz w:val="20"/>
                <w:szCs w:val="20"/>
                <w:color w:val="auto"/>
              </w:rPr>
            </w:pPr>
            <w:r>
              <w:rPr>
                <w:rFonts w:ascii="Arial" w:cs="Arial" w:eastAsia="Arial" w:hAnsi="Arial"/>
                <w:sz w:val="18"/>
                <w:szCs w:val="18"/>
                <w:color w:val="auto"/>
                <w:w w:val="94"/>
              </w:rPr>
              <w:t>101.CAL</w:t>
            </w:r>
          </w:p>
        </w:tc>
        <w:tc>
          <w:tcPr>
            <w:tcW w:w="380" w:type="dxa"/>
            <w:vAlign w:val="bottom"/>
          </w:tcPr>
          <w:p>
            <w:pPr>
              <w:spacing w:after="0"/>
              <w:rPr>
                <w:sz w:val="24"/>
                <w:szCs w:val="24"/>
                <w:color w:val="auto"/>
              </w:rPr>
            </w:pPr>
          </w:p>
        </w:tc>
        <w:tc>
          <w:tcPr>
            <w:tcW w:w="9500" w:type="dxa"/>
            <w:vAlign w:val="bottom"/>
            <w:gridSpan w:val="7"/>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92"/>
        </w:trPr>
        <w:tc>
          <w:tcPr>
            <w:tcW w:w="1340" w:type="dxa"/>
            <w:vAlign w:val="bottom"/>
          </w:tcPr>
          <w:p>
            <w:pPr>
              <w:jc w:val="center"/>
              <w:spacing w:after="0"/>
              <w:rPr>
                <w:sz w:val="20"/>
                <w:szCs w:val="20"/>
                <w:color w:val="auto"/>
              </w:rPr>
            </w:pPr>
            <w:r>
              <w:rPr>
                <w:rFonts w:ascii="Arial" w:cs="Arial" w:eastAsia="Arial" w:hAnsi="Arial"/>
                <w:sz w:val="18"/>
                <w:szCs w:val="18"/>
                <w:color w:val="auto"/>
                <w:w w:val="90"/>
              </w:rPr>
              <w:t>101.DEF</w:t>
            </w:r>
          </w:p>
        </w:tc>
        <w:tc>
          <w:tcPr>
            <w:tcW w:w="380" w:type="dxa"/>
            <w:vAlign w:val="bottom"/>
          </w:tcPr>
          <w:p>
            <w:pPr>
              <w:spacing w:after="0"/>
              <w:rPr>
                <w:sz w:val="24"/>
                <w:szCs w:val="24"/>
                <w:color w:val="auto"/>
              </w:rPr>
            </w:pPr>
          </w:p>
        </w:tc>
        <w:tc>
          <w:tcPr>
            <w:tcW w:w="9500" w:type="dxa"/>
            <w:vAlign w:val="bottom"/>
            <w:gridSpan w:val="7"/>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79"/>
        </w:trPr>
        <w:tc>
          <w:tcPr>
            <w:tcW w:w="1340" w:type="dxa"/>
            <w:vAlign w:val="bottom"/>
          </w:tcPr>
          <w:p>
            <w:pPr>
              <w:jc w:val="center"/>
              <w:spacing w:after="0"/>
              <w:rPr>
                <w:sz w:val="20"/>
                <w:szCs w:val="20"/>
                <w:color w:val="auto"/>
              </w:rPr>
            </w:pPr>
            <w:r>
              <w:rPr>
                <w:rFonts w:ascii="Arial" w:cs="Arial" w:eastAsia="Arial" w:hAnsi="Arial"/>
                <w:sz w:val="18"/>
                <w:szCs w:val="18"/>
                <w:color w:val="auto"/>
                <w:w w:val="85"/>
              </w:rPr>
              <w:t>101.PRE</w:t>
            </w:r>
          </w:p>
        </w:tc>
        <w:tc>
          <w:tcPr>
            <w:tcW w:w="380" w:type="dxa"/>
            <w:vAlign w:val="bottom"/>
          </w:tcPr>
          <w:p>
            <w:pPr>
              <w:spacing w:after="0"/>
              <w:rPr>
                <w:sz w:val="24"/>
                <w:szCs w:val="24"/>
                <w:color w:val="auto"/>
              </w:rPr>
            </w:pPr>
          </w:p>
        </w:tc>
        <w:tc>
          <w:tcPr>
            <w:tcW w:w="9500" w:type="dxa"/>
            <w:vAlign w:val="bottom"/>
            <w:gridSpan w:val="7"/>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279"/>
        </w:trPr>
        <w:tc>
          <w:tcPr>
            <w:tcW w:w="1340" w:type="dxa"/>
            <w:vAlign w:val="bottom"/>
          </w:tcPr>
          <w:p>
            <w:pPr>
              <w:jc w:val="center"/>
              <w:spacing w:after="0"/>
              <w:rPr>
                <w:sz w:val="20"/>
                <w:szCs w:val="20"/>
                <w:color w:val="auto"/>
              </w:rPr>
            </w:pPr>
            <w:r>
              <w:rPr>
                <w:rFonts w:ascii="Arial" w:cs="Arial" w:eastAsia="Arial" w:hAnsi="Arial"/>
                <w:sz w:val="18"/>
                <w:szCs w:val="18"/>
                <w:color w:val="auto"/>
                <w:w w:val="95"/>
              </w:rPr>
              <w:t>101.LAB</w:t>
            </w:r>
          </w:p>
        </w:tc>
        <w:tc>
          <w:tcPr>
            <w:tcW w:w="380" w:type="dxa"/>
            <w:vAlign w:val="bottom"/>
          </w:tcPr>
          <w:p>
            <w:pPr>
              <w:spacing w:after="0"/>
              <w:rPr>
                <w:sz w:val="24"/>
                <w:szCs w:val="24"/>
                <w:color w:val="auto"/>
              </w:rPr>
            </w:pPr>
          </w:p>
        </w:tc>
        <w:tc>
          <w:tcPr>
            <w:tcW w:w="9500" w:type="dxa"/>
            <w:vAlign w:val="bottom"/>
            <w:gridSpan w:val="7"/>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bl>
    <w:p>
      <w:pPr>
        <w:spacing w:after="0" w:line="68" w:lineRule="exact"/>
        <w:rPr>
          <w:sz w:val="20"/>
          <w:szCs w:val="20"/>
          <w:color w:val="auto"/>
        </w:rPr>
      </w:pPr>
    </w:p>
    <w:p>
      <w:pPr>
        <w:ind w:right="3160" w:firstLine="515"/>
        <w:spacing w:after="0" w:line="314" w:lineRule="auto"/>
        <w:tabs>
          <w:tab w:leader="none" w:pos="1709" w:val="left"/>
        </w:tabs>
        <w:numPr>
          <w:ilvl w:val="1"/>
          <w:numId w:val="10"/>
        </w:numPr>
        <w:rPr>
          <w:rFonts w:ascii="Arial" w:cs="Arial" w:eastAsia="Arial" w:hAnsi="Arial"/>
          <w:sz w:val="18"/>
          <w:szCs w:val="18"/>
          <w:color w:val="auto"/>
        </w:rPr>
      </w:pPr>
      <w:r>
        <w:rPr>
          <w:rFonts w:ascii="Arial" w:cs="Arial" w:eastAsia="Arial" w:hAnsi="Arial"/>
          <w:sz w:val="18"/>
          <w:szCs w:val="18"/>
          <w:color w:val="auto"/>
        </w:rPr>
        <w:t>Cover Page Interactive Data File formatted in Inline XBRL and contained in Exhibit 101. * Furnished herewith in accordance with Item 601(b)(32) of Regulation S-K.</w:t>
      </w:r>
    </w:p>
    <w:p>
      <w:pPr>
        <w:ind w:left="220" w:hanging="214"/>
        <w:spacing w:after="0"/>
        <w:tabs>
          <w:tab w:leader="none" w:pos="2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instance document does not appear in the interactive data file because its XBRL tags are embedded within the inline XBRL document.</w:t>
      </w:r>
    </w:p>
    <w:p>
      <w:pPr>
        <w:spacing w:after="0" w:line="200" w:lineRule="exact"/>
        <w:rPr>
          <w:sz w:val="20"/>
          <w:szCs w:val="20"/>
          <w:color w:val="auto"/>
        </w:rPr>
      </w:pPr>
    </w:p>
    <w:p>
      <w:pPr>
        <w:spacing w:after="0" w:line="3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20" w:top="105" w:right="37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SIGNATURES</w:t>
      </w:r>
    </w:p>
    <w:p>
      <w:pPr>
        <w:spacing w:after="0" w:line="111" w:lineRule="exact"/>
        <w:rPr>
          <w:sz w:val="20"/>
          <w:szCs w:val="20"/>
          <w:color w:val="auto"/>
        </w:rPr>
      </w:pPr>
    </w:p>
    <w:p>
      <w:pPr>
        <w:ind w:firstLine="159"/>
        <w:spacing w:after="0" w:line="265"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79" w:lineRule="exact"/>
        <w:rPr>
          <w:sz w:val="20"/>
          <w:szCs w:val="20"/>
          <w:color w:val="auto"/>
        </w:rPr>
      </w:pPr>
    </w:p>
    <w:tbl>
      <w:tblPr>
        <w:tblLayout w:type="fixed"/>
        <w:tblInd w:w="480" w:type="dxa"/>
        <w:tblCellMar>
          <w:top w:w="0" w:type="dxa"/>
          <w:left w:w="0" w:type="dxa"/>
          <w:bottom w:w="0" w:type="dxa"/>
          <w:right w:w="0" w:type="dxa"/>
        </w:tblCellMar>
      </w:tblPr>
      <w:tr>
        <w:trPr>
          <w:trHeight w:val="207"/>
        </w:trPr>
        <w:tc>
          <w:tcPr>
            <w:tcW w:w="3020" w:type="dxa"/>
            <w:vAlign w:val="bottom"/>
          </w:tcPr>
          <w:p>
            <w:pPr>
              <w:spacing w:after="0"/>
              <w:rPr>
                <w:sz w:val="20"/>
                <w:szCs w:val="20"/>
                <w:color w:val="auto"/>
              </w:rPr>
            </w:pPr>
            <w:r>
              <w:rPr>
                <w:rFonts w:ascii="Arial" w:cs="Arial" w:eastAsia="Arial" w:hAnsi="Arial"/>
                <w:sz w:val="18"/>
                <w:szCs w:val="18"/>
                <w:color w:val="auto"/>
              </w:rPr>
              <w:t>Date: August 9, 2023</w:t>
            </w:r>
          </w:p>
        </w:tc>
        <w:tc>
          <w:tcPr>
            <w:tcW w:w="6880" w:type="dxa"/>
            <w:vAlign w:val="bottom"/>
            <w:gridSpan w:val="2"/>
          </w:tcPr>
          <w:p>
            <w:pPr>
              <w:ind w:left="1520"/>
              <w:spacing w:after="0"/>
              <w:rPr>
                <w:sz w:val="20"/>
                <w:szCs w:val="20"/>
                <w:color w:val="auto"/>
              </w:rPr>
            </w:pPr>
            <w:r>
              <w:rPr>
                <w:rFonts w:ascii="Arial" w:cs="Arial" w:eastAsia="Arial" w:hAnsi="Arial"/>
                <w:sz w:val="18"/>
                <w:szCs w:val="18"/>
                <w:color w:val="auto"/>
              </w:rPr>
              <w:t>CANNAE HOLDINGS, INC.</w:t>
            </w:r>
          </w:p>
        </w:tc>
      </w:tr>
      <w:tr>
        <w:trPr>
          <w:trHeight w:val="224"/>
        </w:trPr>
        <w:tc>
          <w:tcPr>
            <w:tcW w:w="3020" w:type="dxa"/>
            <w:vAlign w:val="bottom"/>
          </w:tcPr>
          <w:p>
            <w:pPr>
              <w:spacing w:after="0"/>
              <w:rPr>
                <w:sz w:val="19"/>
                <w:szCs w:val="19"/>
                <w:color w:val="auto"/>
              </w:rPr>
            </w:pPr>
          </w:p>
        </w:tc>
        <w:tc>
          <w:tcPr>
            <w:tcW w:w="6880" w:type="dxa"/>
            <w:vAlign w:val="bottom"/>
            <w:gridSpan w:val="2"/>
          </w:tcPr>
          <w:p>
            <w:pPr>
              <w:ind w:left="1520"/>
              <w:spacing w:after="0"/>
              <w:rPr>
                <w:sz w:val="20"/>
                <w:szCs w:val="20"/>
                <w:color w:val="auto"/>
              </w:rPr>
            </w:pPr>
            <w:r>
              <w:rPr>
                <w:rFonts w:ascii="Arial" w:cs="Arial" w:eastAsia="Arial" w:hAnsi="Arial"/>
                <w:sz w:val="18"/>
                <w:szCs w:val="18"/>
                <w:color w:val="auto"/>
              </w:rPr>
              <w:t>(registrant)</w:t>
            </w:r>
          </w:p>
        </w:tc>
      </w:tr>
      <w:tr>
        <w:trPr>
          <w:trHeight w:val="412"/>
        </w:trPr>
        <w:tc>
          <w:tcPr>
            <w:tcW w:w="3020" w:type="dxa"/>
            <w:vAlign w:val="bottom"/>
          </w:tcPr>
          <w:p>
            <w:pPr>
              <w:spacing w:after="0"/>
              <w:rPr>
                <w:sz w:val="24"/>
                <w:szCs w:val="24"/>
                <w:color w:val="auto"/>
              </w:rPr>
            </w:pPr>
          </w:p>
        </w:tc>
        <w:tc>
          <w:tcPr>
            <w:tcW w:w="6880" w:type="dxa"/>
            <w:vAlign w:val="bottom"/>
            <w:gridSpan w:val="2"/>
          </w:tcPr>
          <w:p>
            <w:pPr>
              <w:ind w:left="15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Bryan D. Coy</w:t>
            </w:r>
          </w:p>
        </w:tc>
      </w:tr>
      <w:tr>
        <w:trPr>
          <w:trHeight w:val="218"/>
        </w:trPr>
        <w:tc>
          <w:tcPr>
            <w:tcW w:w="30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48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Bryan D. Coy</w:t>
            </w:r>
          </w:p>
        </w:tc>
      </w:tr>
      <w:tr>
        <w:trPr>
          <w:trHeight w:val="188"/>
        </w:trPr>
        <w:tc>
          <w:tcPr>
            <w:tcW w:w="302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4880" w:type="dxa"/>
            <w:vAlign w:val="bottom"/>
          </w:tcPr>
          <w:p>
            <w:pPr>
              <w:spacing w:after="0" w:line="188" w:lineRule="exact"/>
              <w:rPr>
                <w:sz w:val="20"/>
                <w:szCs w:val="20"/>
                <w:color w:val="auto"/>
              </w:rPr>
            </w:pPr>
            <w:r>
              <w:rPr>
                <w:rFonts w:ascii="Arial" w:cs="Arial" w:eastAsia="Arial" w:hAnsi="Arial"/>
                <w:sz w:val="18"/>
                <w:szCs w:val="18"/>
                <w:color w:val="auto"/>
              </w:rPr>
              <w:t>Executive Vice President and Chief Financial Officer</w:t>
            </w:r>
          </w:p>
        </w:tc>
      </w:tr>
      <w:tr>
        <w:trPr>
          <w:trHeight w:val="224"/>
        </w:trPr>
        <w:tc>
          <w:tcPr>
            <w:tcW w:w="302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r>
        <w:trPr>
          <w:trHeight w:val="862"/>
        </w:trPr>
        <w:tc>
          <w:tcPr>
            <w:tcW w:w="3020" w:type="dxa"/>
            <w:vAlign w:val="bottom"/>
          </w:tcPr>
          <w:p>
            <w:pPr>
              <w:spacing w:after="0"/>
              <w:rPr>
                <w:sz w:val="24"/>
                <w:szCs w:val="24"/>
                <w:color w:val="auto"/>
              </w:rPr>
            </w:pPr>
          </w:p>
        </w:tc>
        <w:tc>
          <w:tcPr>
            <w:tcW w:w="6880" w:type="dxa"/>
            <w:vAlign w:val="bottom"/>
            <w:gridSpan w:val="2"/>
          </w:tcPr>
          <w:p>
            <w:pPr>
              <w:jc w:val="right"/>
              <w:ind w:right="4572"/>
              <w:spacing w:after="0"/>
              <w:rPr>
                <w:sz w:val="20"/>
                <w:szCs w:val="20"/>
                <w:color w:val="auto"/>
              </w:rPr>
            </w:pPr>
            <w:r>
              <w:rPr>
                <w:rFonts w:ascii="Arial" w:cs="Arial" w:eastAsia="Arial" w:hAnsi="Arial"/>
                <w:sz w:val="18"/>
                <w:szCs w:val="18"/>
                <w:color w:val="auto"/>
              </w:rPr>
              <w:t>32</w:t>
            </w:r>
          </w:p>
        </w:tc>
      </w:tr>
    </w:tbl>
    <w:p>
      <w:pPr>
        <w:sectPr>
          <w:pgSz w:w="11900" w:h="16838" w:orient="portrait"/>
          <w:cols w:equalWidth="0" w:num="1">
            <w:col w:w="11160"/>
          </w:cols>
          <w:pgMar w:left="320" w:top="121" w:right="419" w:bottom="1440" w:gutter="0" w:footer="0" w:header="0"/>
        </w:sectPr>
      </w:pPr>
    </w:p>
    <w:bookmarkStart w:id="34" w:name="page35"/>
    <w:bookmarkEnd w:id="34"/>
    <w:p>
      <w:pPr>
        <w:ind w:left="10140"/>
        <w:spacing w:after="0"/>
        <w:rPr>
          <w:sz w:val="20"/>
          <w:szCs w:val="20"/>
          <w:color w:val="auto"/>
        </w:rPr>
      </w:pPr>
      <w:r>
        <w:rPr>
          <w:rFonts w:ascii="Arial" w:cs="Arial" w:eastAsia="Arial" w:hAnsi="Arial"/>
          <w:sz w:val="19"/>
          <w:szCs w:val="19"/>
          <w:b w:val="1"/>
          <w:bCs w:val="1"/>
          <w:color w:val="auto"/>
        </w:rPr>
        <w:t>Exhibit 10.1</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AMENDMENT AGREEMENT NO. 5</w:t>
      </w:r>
    </w:p>
    <w:p>
      <w:pPr>
        <w:spacing w:after="0" w:line="183" w:lineRule="exact"/>
        <w:rPr>
          <w:sz w:val="20"/>
          <w:szCs w:val="20"/>
          <w:color w:val="auto"/>
        </w:rPr>
      </w:pPr>
    </w:p>
    <w:p>
      <w:pPr>
        <w:jc w:val="both"/>
        <w:ind w:firstLine="637"/>
        <w:spacing w:after="0" w:line="236" w:lineRule="auto"/>
        <w:rPr>
          <w:sz w:val="20"/>
          <w:szCs w:val="20"/>
          <w:color w:val="auto"/>
        </w:rPr>
      </w:pPr>
      <w:r>
        <w:rPr>
          <w:rFonts w:ascii="Arial" w:cs="Arial" w:eastAsia="Arial" w:hAnsi="Arial"/>
          <w:sz w:val="19"/>
          <w:szCs w:val="19"/>
          <w:b w:val="1"/>
          <w:bCs w:val="1"/>
          <w:color w:val="auto"/>
        </w:rPr>
        <w:t xml:space="preserve">THIS FIFTH AMENDMENT AGREEMENT </w:t>
      </w:r>
      <w:r>
        <w:rPr>
          <w:rFonts w:ascii="Arial" w:cs="Arial" w:eastAsia="Arial" w:hAnsi="Arial"/>
          <w:sz w:val="19"/>
          <w:szCs w:val="19"/>
          <w:color w:val="auto"/>
        </w:rPr>
        <w:t>(this “</w:t>
      </w:r>
      <w:r>
        <w:rPr>
          <w:rFonts w:ascii="Arial" w:cs="Arial" w:eastAsia="Arial" w:hAnsi="Arial"/>
          <w:sz w:val="19"/>
          <w:szCs w:val="19"/>
          <w:b w:val="1"/>
          <w:bCs w:val="1"/>
          <w:color w:val="auto"/>
        </w:rPr>
        <w:t>Agreement</w:t>
      </w:r>
      <w:r>
        <w:rPr>
          <w:rFonts w:ascii="Arial" w:cs="Arial" w:eastAsia="Arial" w:hAnsi="Arial"/>
          <w:sz w:val="19"/>
          <w:szCs w:val="19"/>
          <w:color w:val="auto"/>
        </w:rPr>
        <w:t>”) is made and entered into as of June 16, 2023, by and</w:t>
      </w:r>
      <w:r>
        <w:rPr>
          <w:rFonts w:ascii="Arial" w:cs="Arial" w:eastAsia="Arial" w:hAnsi="Arial"/>
          <w:sz w:val="19"/>
          <w:szCs w:val="19"/>
          <w:b w:val="1"/>
          <w:bCs w:val="1"/>
          <w:color w:val="auto"/>
        </w:rPr>
        <w:t xml:space="preserve"> </w:t>
      </w:r>
      <w:r>
        <w:rPr>
          <w:rFonts w:ascii="Arial" w:cs="Arial" w:eastAsia="Arial" w:hAnsi="Arial"/>
          <w:sz w:val="19"/>
          <w:szCs w:val="19"/>
          <w:color w:val="auto"/>
        </w:rPr>
        <w:t>among Cannae Funding C, LLC, a limited liability company under the laws of Delaware, as a borrower (“</w:t>
      </w:r>
      <w:r>
        <w:rPr>
          <w:rFonts w:ascii="Arial" w:cs="Arial" w:eastAsia="Arial" w:hAnsi="Arial"/>
          <w:sz w:val="19"/>
          <w:szCs w:val="19"/>
          <w:b w:val="1"/>
          <w:bCs w:val="1"/>
          <w:color w:val="auto"/>
        </w:rPr>
        <w:t>Borrower 1</w:t>
      </w:r>
      <w:r>
        <w:rPr>
          <w:rFonts w:ascii="Arial" w:cs="Arial" w:eastAsia="Arial" w:hAnsi="Arial"/>
          <w:sz w:val="19"/>
          <w:szCs w:val="19"/>
          <w:color w:val="auto"/>
        </w:rPr>
        <w:t>”), Cannae Funding D, LLC, a limited liability company organized under the laws of Delaware, as a borrower (“</w:t>
      </w:r>
      <w:r>
        <w:rPr>
          <w:rFonts w:ascii="Arial" w:cs="Arial" w:eastAsia="Arial" w:hAnsi="Arial"/>
          <w:sz w:val="19"/>
          <w:szCs w:val="19"/>
          <w:b w:val="1"/>
          <w:bCs w:val="1"/>
          <w:color w:val="auto"/>
        </w:rPr>
        <w:t>Borrower 2</w:t>
      </w:r>
      <w:r>
        <w:rPr>
          <w:rFonts w:ascii="Arial" w:cs="Arial" w:eastAsia="Arial" w:hAnsi="Arial"/>
          <w:sz w:val="19"/>
          <w:szCs w:val="19"/>
          <w:color w:val="auto"/>
        </w:rPr>
        <w:t>” and, together with Borrower 1, the “</w:t>
      </w:r>
      <w:r>
        <w:rPr>
          <w:rFonts w:ascii="Arial" w:cs="Arial" w:eastAsia="Arial" w:hAnsi="Arial"/>
          <w:sz w:val="19"/>
          <w:szCs w:val="19"/>
          <w:b w:val="1"/>
          <w:bCs w:val="1"/>
          <w:color w:val="auto"/>
        </w:rPr>
        <w:t>Borrowers</w:t>
      </w:r>
      <w:r>
        <w:rPr>
          <w:rFonts w:ascii="Arial" w:cs="Arial" w:eastAsia="Arial" w:hAnsi="Arial"/>
          <w:sz w:val="19"/>
          <w:szCs w:val="19"/>
          <w:color w:val="auto"/>
        </w:rPr>
        <w:t>”), Royal Bank of Canada, as Administrative Agent (in such capacity, the “</w:t>
      </w:r>
      <w:r>
        <w:rPr>
          <w:rFonts w:ascii="Arial" w:cs="Arial" w:eastAsia="Arial" w:hAnsi="Arial"/>
          <w:sz w:val="19"/>
          <w:szCs w:val="19"/>
          <w:b w:val="1"/>
          <w:bCs w:val="1"/>
          <w:color w:val="auto"/>
        </w:rPr>
        <w:t>Administrative</w:t>
      </w:r>
      <w:r>
        <w:rPr>
          <w:rFonts w:ascii="Arial" w:cs="Arial" w:eastAsia="Arial" w:hAnsi="Arial"/>
          <w:sz w:val="19"/>
          <w:szCs w:val="19"/>
          <w:color w:val="auto"/>
        </w:rPr>
        <w:t xml:space="preserve"> </w:t>
      </w:r>
      <w:r>
        <w:rPr>
          <w:rFonts w:ascii="Arial" w:cs="Arial" w:eastAsia="Arial" w:hAnsi="Arial"/>
          <w:sz w:val="19"/>
          <w:szCs w:val="19"/>
          <w:b w:val="1"/>
          <w:bCs w:val="1"/>
          <w:color w:val="auto"/>
        </w:rPr>
        <w:t>Agent</w:t>
      </w:r>
      <w:r>
        <w:rPr>
          <w:rFonts w:ascii="Arial" w:cs="Arial" w:eastAsia="Arial" w:hAnsi="Arial"/>
          <w:sz w:val="19"/>
          <w:szCs w:val="19"/>
          <w:color w:val="auto"/>
        </w:rPr>
        <w:t>”) and Calculation Agent (in such capacity, the “</w:t>
      </w:r>
      <w:r>
        <w:rPr>
          <w:rFonts w:ascii="Arial" w:cs="Arial" w:eastAsia="Arial" w:hAnsi="Arial"/>
          <w:sz w:val="19"/>
          <w:szCs w:val="19"/>
          <w:b w:val="1"/>
          <w:bCs w:val="1"/>
          <w:color w:val="auto"/>
        </w:rPr>
        <w:t>Calculation Agent</w:t>
      </w:r>
      <w:r>
        <w:rPr>
          <w:rFonts w:ascii="Arial" w:cs="Arial" w:eastAsia="Arial" w:hAnsi="Arial"/>
          <w:sz w:val="19"/>
          <w:szCs w:val="19"/>
          <w:color w:val="auto"/>
        </w:rPr>
        <w:t>”) and the Lenders party hereto. Reference is made to (i)</w:t>
      </w:r>
      <w:r>
        <w:rPr>
          <w:rFonts w:ascii="Arial" w:cs="Arial" w:eastAsia="Arial" w:hAnsi="Arial"/>
          <w:sz w:val="19"/>
          <w:szCs w:val="19"/>
          <w:b w:val="1"/>
          <w:bCs w:val="1"/>
          <w:color w:val="auto"/>
        </w:rPr>
        <w:t xml:space="preserve"> </w:t>
      </w:r>
      <w:r>
        <w:rPr>
          <w:rFonts w:ascii="Arial" w:cs="Arial" w:eastAsia="Arial" w:hAnsi="Arial"/>
          <w:sz w:val="19"/>
          <w:szCs w:val="19"/>
          <w:color w:val="auto"/>
        </w:rPr>
        <w:t>that certain Margin Loan Agreement dated as of November 30, 2020 (as amended by that certain First Incremental Facility Amendment dated as of August 16, 2021 (the “</w:t>
      </w:r>
      <w:r>
        <w:rPr>
          <w:rFonts w:ascii="Arial" w:cs="Arial" w:eastAsia="Arial" w:hAnsi="Arial"/>
          <w:sz w:val="19"/>
          <w:szCs w:val="19"/>
          <w:b w:val="1"/>
          <w:bCs w:val="1"/>
          <w:color w:val="auto"/>
        </w:rPr>
        <w:t>First Incremental Facility Amendment”)</w:t>
      </w:r>
      <w:r>
        <w:rPr>
          <w:rFonts w:ascii="Arial" w:cs="Arial" w:eastAsia="Arial" w:hAnsi="Arial"/>
          <w:sz w:val="19"/>
          <w:szCs w:val="19"/>
          <w:color w:val="auto"/>
        </w:rPr>
        <w:t>, as further amended by that certain Second Incremental Facility Amendment dated as of December 10, 2021 (the “</w:t>
      </w:r>
      <w:r>
        <w:rPr>
          <w:rFonts w:ascii="Arial" w:cs="Arial" w:eastAsia="Arial" w:hAnsi="Arial"/>
          <w:sz w:val="19"/>
          <w:szCs w:val="19"/>
          <w:b w:val="1"/>
          <w:bCs w:val="1"/>
          <w:color w:val="auto"/>
        </w:rPr>
        <w:t>Second Incremental Facility Amendment</w:t>
      </w:r>
      <w:r>
        <w:rPr>
          <w:rFonts w:ascii="Arial" w:cs="Arial" w:eastAsia="Arial" w:hAnsi="Arial"/>
          <w:sz w:val="19"/>
          <w:szCs w:val="19"/>
          <w:color w:val="auto"/>
        </w:rPr>
        <w:t>”), as further amended by that certain Third Amendment and Waiver dated as of January 19, 2022 (the “</w:t>
      </w:r>
      <w:r>
        <w:rPr>
          <w:rFonts w:ascii="Arial" w:cs="Arial" w:eastAsia="Arial" w:hAnsi="Arial"/>
          <w:sz w:val="19"/>
          <w:szCs w:val="19"/>
          <w:b w:val="1"/>
          <w:bCs w:val="1"/>
          <w:color w:val="auto"/>
        </w:rPr>
        <w:t>Third Waiver and</w:t>
      </w:r>
      <w:r>
        <w:rPr>
          <w:rFonts w:ascii="Arial" w:cs="Arial" w:eastAsia="Arial" w:hAnsi="Arial"/>
          <w:sz w:val="19"/>
          <w:szCs w:val="19"/>
          <w:color w:val="auto"/>
        </w:rPr>
        <w:t xml:space="preserve"> </w:t>
      </w:r>
      <w:r>
        <w:rPr>
          <w:rFonts w:ascii="Arial" w:cs="Arial" w:eastAsia="Arial" w:hAnsi="Arial"/>
          <w:sz w:val="19"/>
          <w:szCs w:val="19"/>
          <w:b w:val="1"/>
          <w:bCs w:val="1"/>
          <w:color w:val="auto"/>
        </w:rPr>
        <w:t>Amendment</w:t>
      </w:r>
      <w:r>
        <w:rPr>
          <w:rFonts w:ascii="Arial" w:cs="Arial" w:eastAsia="Arial" w:hAnsi="Arial"/>
          <w:sz w:val="19"/>
          <w:szCs w:val="19"/>
          <w:color w:val="auto"/>
        </w:rPr>
        <w:t>”),as further amended by that certain Fourth Amendment dated as of May 12, 2022 (the “</w:t>
      </w:r>
      <w:r>
        <w:rPr>
          <w:rFonts w:ascii="Arial" w:cs="Arial" w:eastAsia="Arial" w:hAnsi="Arial"/>
          <w:sz w:val="19"/>
          <w:szCs w:val="19"/>
          <w:b w:val="1"/>
          <w:bCs w:val="1"/>
          <w:color w:val="auto"/>
        </w:rPr>
        <w:t>Fourth Amendment Agreement</w:t>
      </w:r>
      <w:r>
        <w:rPr>
          <w:rFonts w:ascii="Arial" w:cs="Arial" w:eastAsia="Arial" w:hAnsi="Arial"/>
          <w:sz w:val="19"/>
          <w:szCs w:val="19"/>
          <w:color w:val="auto"/>
        </w:rPr>
        <w:t>”) and as may be further amended, supplemented, restated or otherwise modified from time to time, the “</w:t>
      </w:r>
      <w:r>
        <w:rPr>
          <w:rFonts w:ascii="Arial" w:cs="Arial" w:eastAsia="Arial" w:hAnsi="Arial"/>
          <w:sz w:val="19"/>
          <w:szCs w:val="19"/>
          <w:b w:val="1"/>
          <w:bCs w:val="1"/>
          <w:color w:val="auto"/>
        </w:rPr>
        <w:t>Margin Loan Agreement</w:t>
      </w:r>
      <w:r>
        <w:rPr>
          <w:rFonts w:ascii="Arial" w:cs="Arial" w:eastAsia="Arial" w:hAnsi="Arial"/>
          <w:sz w:val="19"/>
          <w:szCs w:val="19"/>
          <w:color w:val="auto"/>
        </w:rPr>
        <w:t>”), entered into by and among the Borrowers, Administrative Agent, Calculation Agent and the Lenders from time to</w:t>
      </w:r>
      <w:r>
        <w:rPr>
          <w:rFonts w:ascii="Arial" w:cs="Arial" w:eastAsia="Arial" w:hAnsi="Arial"/>
          <w:sz w:val="19"/>
          <w:szCs w:val="19"/>
          <w:b w:val="1"/>
          <w:bCs w:val="1"/>
          <w:color w:val="auto"/>
        </w:rPr>
        <w:t xml:space="preserve"> </w:t>
      </w:r>
      <w:r>
        <w:rPr>
          <w:rFonts w:ascii="Arial" w:cs="Arial" w:eastAsia="Arial" w:hAnsi="Arial"/>
          <w:sz w:val="19"/>
          <w:szCs w:val="19"/>
          <w:color w:val="auto"/>
        </w:rPr>
        <w:t>time party thereto (the “</w:t>
      </w:r>
      <w:r>
        <w:rPr>
          <w:rFonts w:ascii="Arial" w:cs="Arial" w:eastAsia="Arial" w:hAnsi="Arial"/>
          <w:sz w:val="19"/>
          <w:szCs w:val="19"/>
          <w:b w:val="1"/>
          <w:bCs w:val="1"/>
          <w:color w:val="auto"/>
        </w:rPr>
        <w:t>Lenders</w:t>
      </w:r>
      <w:r>
        <w:rPr>
          <w:rFonts w:ascii="Arial" w:cs="Arial" w:eastAsia="Arial" w:hAnsi="Arial"/>
          <w:sz w:val="19"/>
          <w:szCs w:val="19"/>
          <w:color w:val="auto"/>
        </w:rPr>
        <w:t>”), (ii) that certain Fee and Ratio Letter dated as of November 30, 2020 (as amended by the First Incremental Facility Amendment, as further amended by the Second Incremental Facility Amendment, as further amended by the Third Amendment and Waiver, as further amended by the Fourth Amendment Agreement and as may be further amended, supplemented, restated or otherwise modified from time to time ( the “</w:t>
      </w:r>
      <w:r>
        <w:rPr>
          <w:rFonts w:ascii="Arial" w:cs="Arial" w:eastAsia="Arial" w:hAnsi="Arial"/>
          <w:sz w:val="19"/>
          <w:szCs w:val="19"/>
          <w:b w:val="1"/>
          <w:bCs w:val="1"/>
          <w:color w:val="auto"/>
        </w:rPr>
        <w:t>Fee and Ratio Letter</w:t>
      </w:r>
      <w:r>
        <w:rPr>
          <w:rFonts w:ascii="Arial" w:cs="Arial" w:eastAsia="Arial" w:hAnsi="Arial"/>
          <w:sz w:val="19"/>
          <w:szCs w:val="19"/>
          <w:color w:val="auto"/>
        </w:rPr>
        <w:t>”), entered into by and among the Borrowers, Administrative Agent, Calculation Agent and the Lenders, (iii) that certain Guarantee Agreement, dated as of June 16, 2023 and as may be further amended, restated, extended, supplemented or otherwise modified from time to time, the “</w:t>
      </w:r>
      <w:r>
        <w:rPr>
          <w:rFonts w:ascii="Arial" w:cs="Arial" w:eastAsia="Arial" w:hAnsi="Arial"/>
          <w:sz w:val="19"/>
          <w:szCs w:val="19"/>
          <w:b w:val="1"/>
          <w:bCs w:val="1"/>
          <w:color w:val="auto"/>
        </w:rPr>
        <w:t>Guarantee</w:t>
      </w:r>
      <w:r>
        <w:rPr>
          <w:rFonts w:ascii="Arial" w:cs="Arial" w:eastAsia="Arial" w:hAnsi="Arial"/>
          <w:sz w:val="19"/>
          <w:szCs w:val="19"/>
          <w:color w:val="auto"/>
        </w:rPr>
        <w:t xml:space="preserve"> </w:t>
      </w:r>
      <w:r>
        <w:rPr>
          <w:rFonts w:ascii="Arial" w:cs="Arial" w:eastAsia="Arial" w:hAnsi="Arial"/>
          <w:sz w:val="19"/>
          <w:szCs w:val="19"/>
          <w:b w:val="1"/>
          <w:bCs w:val="1"/>
          <w:color w:val="auto"/>
        </w:rPr>
        <w:t xml:space="preserve">Agreement </w:t>
      </w:r>
      <w:r>
        <w:rPr>
          <w:rFonts w:ascii="Arial" w:cs="Arial" w:eastAsia="Arial" w:hAnsi="Arial"/>
          <w:sz w:val="19"/>
          <w:szCs w:val="19"/>
          <w:color w:val="auto"/>
        </w:rPr>
        <w:t>”), and (iv) that certain Partial Termination Agreement, dated as of June 16, 2023, entered into by and among</w:t>
      </w:r>
      <w:r>
        <w:rPr>
          <w:rFonts w:ascii="Arial" w:cs="Arial" w:eastAsia="Arial" w:hAnsi="Arial"/>
          <w:sz w:val="19"/>
          <w:szCs w:val="19"/>
          <w:b w:val="1"/>
          <w:bCs w:val="1"/>
          <w:color w:val="auto"/>
        </w:rPr>
        <w:t xml:space="preserve"> </w:t>
      </w:r>
      <w:r>
        <w:rPr>
          <w:rFonts w:ascii="Arial" w:cs="Arial" w:eastAsia="Arial" w:hAnsi="Arial"/>
          <w:sz w:val="19"/>
          <w:szCs w:val="19"/>
          <w:color w:val="auto"/>
        </w:rPr>
        <w:t>Borrowers, Administrative Agent, Calculation Agent and the Lenders (the “</w:t>
      </w:r>
      <w:r>
        <w:rPr>
          <w:rFonts w:ascii="Arial" w:cs="Arial" w:eastAsia="Arial" w:hAnsi="Arial"/>
          <w:sz w:val="19"/>
          <w:szCs w:val="19"/>
          <w:b w:val="1"/>
          <w:bCs w:val="1"/>
          <w:color w:val="auto"/>
        </w:rPr>
        <w:t>Partial Termination Agreement</w:t>
      </w:r>
      <w:r>
        <w:rPr>
          <w:rFonts w:ascii="Arial" w:cs="Arial" w:eastAsia="Arial" w:hAnsi="Arial"/>
          <w:sz w:val="19"/>
          <w:szCs w:val="19"/>
          <w:color w:val="auto"/>
        </w:rPr>
        <w: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1"/>
          <w:szCs w:val="21"/>
          <w:b w:val="1"/>
          <w:bCs w:val="1"/>
          <w:u w:val="single" w:color="auto"/>
          <w:color w:val="auto"/>
        </w:rPr>
        <w:t>WITNESSETH</w:t>
      </w:r>
      <w:r>
        <w:rPr>
          <w:rFonts w:ascii="Arial" w:cs="Arial" w:eastAsia="Arial" w:hAnsi="Arial"/>
          <w:sz w:val="21"/>
          <w:szCs w:val="21"/>
          <w:color w:val="auto"/>
        </w:rPr>
        <w:t>:</w:t>
      </w:r>
    </w:p>
    <w:p>
      <w:pPr>
        <w:spacing w:after="0" w:line="210" w:lineRule="exact"/>
        <w:rPr>
          <w:sz w:val="20"/>
          <w:szCs w:val="20"/>
          <w:color w:val="auto"/>
        </w:rPr>
      </w:pPr>
    </w:p>
    <w:p>
      <w:pPr>
        <w:jc w:val="both"/>
        <w:ind w:firstLine="637"/>
        <w:spacing w:after="0" w:line="246" w:lineRule="auto"/>
        <w:rPr>
          <w:sz w:val="20"/>
          <w:szCs w:val="20"/>
          <w:color w:val="auto"/>
        </w:rPr>
      </w:pPr>
      <w:r>
        <w:rPr>
          <w:rFonts w:ascii="Arial" w:cs="Arial" w:eastAsia="Arial" w:hAnsi="Arial"/>
          <w:sz w:val="21"/>
          <w:szCs w:val="21"/>
          <w:b w:val="1"/>
          <w:bCs w:val="1"/>
          <w:color w:val="auto"/>
        </w:rPr>
        <w:t>WHEREAS</w:t>
      </w:r>
      <w:r>
        <w:rPr>
          <w:rFonts w:ascii="Arial" w:cs="Arial" w:eastAsia="Arial" w:hAnsi="Arial"/>
          <w:sz w:val="21"/>
          <w:szCs w:val="21"/>
          <w:color w:val="auto"/>
        </w:rPr>
        <w:t>, the parties hereto have agreed to make certain amendments to the Margin Loan Agreement and the Fee and</w:t>
      </w:r>
      <w:r>
        <w:rPr>
          <w:rFonts w:ascii="Arial" w:cs="Arial" w:eastAsia="Arial" w:hAnsi="Arial"/>
          <w:sz w:val="21"/>
          <w:szCs w:val="21"/>
          <w:b w:val="1"/>
          <w:bCs w:val="1"/>
          <w:color w:val="auto"/>
        </w:rPr>
        <w:t xml:space="preserve"> </w:t>
      </w:r>
      <w:r>
        <w:rPr>
          <w:rFonts w:ascii="Arial" w:cs="Arial" w:eastAsia="Arial" w:hAnsi="Arial"/>
          <w:sz w:val="21"/>
          <w:szCs w:val="21"/>
          <w:color w:val="auto"/>
        </w:rPr>
        <w:t>Ratio Letter as set forth herein and subject to the conditions hereunder;</w:t>
      </w:r>
    </w:p>
    <w:p>
      <w:pPr>
        <w:spacing w:after="0" w:line="142" w:lineRule="exact"/>
        <w:rPr>
          <w:sz w:val="20"/>
          <w:szCs w:val="20"/>
          <w:color w:val="auto"/>
        </w:rPr>
      </w:pPr>
    </w:p>
    <w:p>
      <w:pPr>
        <w:jc w:val="both"/>
        <w:ind w:firstLine="637"/>
        <w:spacing w:after="0" w:line="246" w:lineRule="auto"/>
        <w:rPr>
          <w:sz w:val="20"/>
          <w:szCs w:val="20"/>
          <w:color w:val="auto"/>
        </w:rPr>
      </w:pPr>
      <w:r>
        <w:rPr>
          <w:rFonts w:ascii="Arial" w:cs="Arial" w:eastAsia="Arial" w:hAnsi="Arial"/>
          <w:sz w:val="21"/>
          <w:szCs w:val="21"/>
          <w:b w:val="1"/>
          <w:bCs w:val="1"/>
          <w:color w:val="auto"/>
        </w:rPr>
        <w:t>WHEREAS</w:t>
      </w:r>
      <w:r>
        <w:rPr>
          <w:rFonts w:ascii="Arial" w:cs="Arial" w:eastAsia="Arial" w:hAnsi="Arial"/>
          <w:sz w:val="21"/>
          <w:szCs w:val="21"/>
          <w:color w:val="auto"/>
        </w:rPr>
        <w:t>, all capitalized terms not otherwise defined herein shall have the meaning given thereto in the Margin Loan</w:t>
      </w:r>
      <w:r>
        <w:rPr>
          <w:rFonts w:ascii="Arial" w:cs="Arial" w:eastAsia="Arial" w:hAnsi="Arial"/>
          <w:sz w:val="21"/>
          <w:szCs w:val="21"/>
          <w:b w:val="1"/>
          <w:bCs w:val="1"/>
          <w:color w:val="auto"/>
        </w:rPr>
        <w:t xml:space="preserve"> </w:t>
      </w:r>
      <w:r>
        <w:rPr>
          <w:rFonts w:ascii="Arial" w:cs="Arial" w:eastAsia="Arial" w:hAnsi="Arial"/>
          <w:sz w:val="21"/>
          <w:szCs w:val="21"/>
          <w:color w:val="auto"/>
        </w:rPr>
        <w:t>Agreement or other applicable Margin Loan Documentation, as amended by this Agreement;</w:t>
      </w:r>
    </w:p>
    <w:p>
      <w:pPr>
        <w:spacing w:after="0" w:line="142" w:lineRule="exact"/>
        <w:rPr>
          <w:sz w:val="20"/>
          <w:szCs w:val="20"/>
          <w:color w:val="auto"/>
        </w:rPr>
      </w:pPr>
    </w:p>
    <w:p>
      <w:pPr>
        <w:jc w:val="both"/>
        <w:ind w:firstLine="637"/>
        <w:spacing w:after="0" w:line="246" w:lineRule="auto"/>
        <w:rPr>
          <w:sz w:val="20"/>
          <w:szCs w:val="20"/>
          <w:color w:val="auto"/>
        </w:rPr>
      </w:pPr>
      <w:r>
        <w:rPr>
          <w:rFonts w:ascii="Arial" w:cs="Arial" w:eastAsia="Arial" w:hAnsi="Arial"/>
          <w:sz w:val="21"/>
          <w:szCs w:val="21"/>
          <w:b w:val="1"/>
          <w:bCs w:val="1"/>
          <w:color w:val="auto"/>
        </w:rPr>
        <w:t xml:space="preserve">NOW, THEREFORE, </w:t>
      </w:r>
      <w:r>
        <w:rPr>
          <w:rFonts w:ascii="Arial" w:cs="Arial" w:eastAsia="Arial" w:hAnsi="Arial"/>
          <w:sz w:val="21"/>
          <w:szCs w:val="21"/>
          <w:color w:val="auto"/>
        </w:rPr>
        <w:t>in consideration of the premises and further valuable consideration, the receipt and sufficiency of</w:t>
      </w:r>
      <w:r>
        <w:rPr>
          <w:rFonts w:ascii="Arial" w:cs="Arial" w:eastAsia="Arial" w:hAnsi="Arial"/>
          <w:sz w:val="21"/>
          <w:szCs w:val="21"/>
          <w:b w:val="1"/>
          <w:bCs w:val="1"/>
          <w:color w:val="auto"/>
        </w:rPr>
        <w:t xml:space="preserve"> </w:t>
      </w:r>
      <w:r>
        <w:rPr>
          <w:rFonts w:ascii="Arial" w:cs="Arial" w:eastAsia="Arial" w:hAnsi="Arial"/>
          <w:sz w:val="21"/>
          <w:szCs w:val="21"/>
          <w:color w:val="auto"/>
        </w:rPr>
        <w:t>which is hereby acknowledged, the parties hereto agree as follows:</w:t>
      </w:r>
    </w:p>
    <w:p>
      <w:pPr>
        <w:spacing w:after="0" w:line="168" w:lineRule="exact"/>
        <w:rPr>
          <w:sz w:val="20"/>
          <w:szCs w:val="20"/>
          <w:color w:val="auto"/>
        </w:rPr>
      </w:pPr>
    </w:p>
    <w:p>
      <w:pPr>
        <w:spacing w:after="0"/>
        <w:tabs>
          <w:tab w:leader="none" w:pos="1420" w:val="left"/>
        </w:tabs>
        <w:rPr>
          <w:sz w:val="20"/>
          <w:szCs w:val="20"/>
          <w:color w:val="auto"/>
        </w:rPr>
      </w:pPr>
      <w:r>
        <w:rPr>
          <w:rFonts w:ascii="Arial" w:cs="Arial" w:eastAsia="Arial" w:hAnsi="Arial"/>
          <w:sz w:val="21"/>
          <w:szCs w:val="21"/>
          <w:b w:val="1"/>
          <w:bCs w:val="1"/>
          <w:color w:val="auto"/>
        </w:rPr>
        <w:t>SECTION 1</w:t>
      </w:r>
      <w:r>
        <w:rPr>
          <w:rFonts w:ascii="Arial" w:cs="Arial" w:eastAsia="Arial" w:hAnsi="Arial"/>
          <w:sz w:val="21"/>
          <w:szCs w:val="21"/>
          <w:color w:val="auto"/>
        </w:rPr>
        <w:t>:</w:t>
      </w:r>
      <w:r>
        <w:rPr>
          <w:sz w:val="20"/>
          <w:szCs w:val="20"/>
          <w:color w:val="auto"/>
        </w:rPr>
        <w:tab/>
      </w:r>
      <w:r>
        <w:rPr>
          <w:rFonts w:ascii="Arial" w:cs="Arial" w:eastAsia="Arial" w:hAnsi="Arial"/>
          <w:sz w:val="19"/>
          <w:szCs w:val="19"/>
          <w:u w:val="single" w:color="auto"/>
          <w:color w:val="auto"/>
        </w:rPr>
        <w:t>Amendments to the Margin Loan Agreement</w:t>
      </w:r>
      <w:r>
        <w:rPr>
          <w:rFonts w:ascii="Arial" w:cs="Arial" w:eastAsia="Arial" w:hAnsi="Arial"/>
          <w:sz w:val="19"/>
          <w:szCs w:val="19"/>
          <w:color w:val="auto"/>
        </w:rPr>
        <w:t>.</w:t>
      </w:r>
    </w:p>
    <w:p>
      <w:pPr>
        <w:spacing w:after="0" w:line="189" w:lineRule="exact"/>
        <w:rPr>
          <w:sz w:val="20"/>
          <w:szCs w:val="20"/>
          <w:color w:val="auto"/>
        </w:rPr>
      </w:pPr>
    </w:p>
    <w:p>
      <w:pPr>
        <w:ind w:left="1280" w:hanging="637"/>
        <w:spacing w:after="0"/>
        <w:tabs>
          <w:tab w:leader="none" w:pos="1280" w:val="left"/>
        </w:tabs>
        <w:numPr>
          <w:ilvl w:val="0"/>
          <w:numId w:val="12"/>
        </w:numPr>
        <w:rPr>
          <w:rFonts w:ascii="Arial" w:cs="Arial" w:eastAsia="Arial" w:hAnsi="Arial"/>
          <w:sz w:val="19"/>
          <w:szCs w:val="19"/>
          <w:color w:val="auto"/>
        </w:rPr>
      </w:pPr>
      <w:r>
        <w:rPr>
          <w:rFonts w:ascii="Arial" w:cs="Arial" w:eastAsia="Arial" w:hAnsi="Arial"/>
          <w:sz w:val="19"/>
          <w:szCs w:val="19"/>
          <w:color w:val="auto"/>
        </w:rPr>
        <w:t>The Borrowers and the Lender have agreed to reduce Commitments to the aggregate amount of $150,000,000.00.</w:t>
      </w:r>
    </w:p>
    <w:p>
      <w:pPr>
        <w:spacing w:after="0" w:line="11" w:lineRule="exact"/>
        <w:rPr>
          <w:rFonts w:ascii="Arial" w:cs="Arial" w:eastAsia="Arial" w:hAnsi="Arial"/>
          <w:sz w:val="19"/>
          <w:szCs w:val="19"/>
          <w:color w:val="auto"/>
        </w:rPr>
      </w:pPr>
    </w:p>
    <w:p>
      <w:pPr>
        <w:ind w:left="1280" w:hanging="637"/>
        <w:spacing w:after="0" w:line="231" w:lineRule="auto"/>
        <w:tabs>
          <w:tab w:leader="none" w:pos="1280" w:val="left"/>
        </w:tabs>
        <w:numPr>
          <w:ilvl w:val="0"/>
          <w:numId w:val="12"/>
        </w:numPr>
        <w:rPr>
          <w:rFonts w:ascii="Arial" w:cs="Arial" w:eastAsia="Arial" w:hAnsi="Arial"/>
          <w:sz w:val="21"/>
          <w:szCs w:val="21"/>
          <w:color w:val="auto"/>
        </w:rPr>
      </w:pPr>
      <w:r>
        <w:rPr>
          <w:rFonts w:ascii="Arial" w:cs="Arial" w:eastAsia="Arial" w:hAnsi="Arial"/>
          <w:sz w:val="21"/>
          <w:szCs w:val="21"/>
          <w:color w:val="auto"/>
        </w:rPr>
        <w:t xml:space="preserve">The Loan Agreement is amended such that, after giving effect to all such amendments, it shall read in its entirety as set forth on </w:t>
      </w:r>
      <w:r>
        <w:rPr>
          <w:rFonts w:ascii="Arial" w:cs="Arial" w:eastAsia="Arial" w:hAnsi="Arial"/>
          <w:sz w:val="21"/>
          <w:szCs w:val="21"/>
          <w:u w:val="single" w:color="auto"/>
          <w:color w:val="auto"/>
        </w:rPr>
        <w:t>Annex I</w:t>
      </w:r>
      <w:r>
        <w:rPr>
          <w:rFonts w:ascii="Arial" w:cs="Arial" w:eastAsia="Arial" w:hAnsi="Arial"/>
          <w:sz w:val="21"/>
          <w:szCs w:val="21"/>
          <w:color w:val="auto"/>
        </w:rPr>
        <w:t xml:space="preserve"> attached hereto.</w:t>
      </w:r>
    </w:p>
    <w:p>
      <w:pPr>
        <w:spacing w:after="0" w:line="227" w:lineRule="exact"/>
        <w:rPr>
          <w:sz w:val="20"/>
          <w:szCs w:val="20"/>
          <w:color w:val="auto"/>
        </w:rPr>
      </w:pPr>
    </w:p>
    <w:p>
      <w:pPr>
        <w:spacing w:after="0"/>
        <w:tabs>
          <w:tab w:leader="none" w:pos="1420" w:val="left"/>
        </w:tabs>
        <w:rPr>
          <w:sz w:val="20"/>
          <w:szCs w:val="20"/>
          <w:color w:val="auto"/>
        </w:rPr>
      </w:pPr>
      <w:r>
        <w:rPr>
          <w:rFonts w:ascii="Arial" w:cs="Arial" w:eastAsia="Arial" w:hAnsi="Arial"/>
          <w:sz w:val="21"/>
          <w:szCs w:val="21"/>
          <w:b w:val="1"/>
          <w:bCs w:val="1"/>
          <w:color w:val="auto"/>
        </w:rPr>
        <w:t>SECTION 2</w:t>
      </w:r>
      <w:r>
        <w:rPr>
          <w:rFonts w:ascii="Arial" w:cs="Arial" w:eastAsia="Arial" w:hAnsi="Arial"/>
          <w:sz w:val="21"/>
          <w:szCs w:val="21"/>
          <w:color w:val="auto"/>
        </w:rPr>
        <w:t>:</w:t>
      </w:r>
      <w:r>
        <w:rPr>
          <w:sz w:val="20"/>
          <w:szCs w:val="20"/>
          <w:color w:val="auto"/>
        </w:rPr>
        <w:tab/>
      </w:r>
      <w:r>
        <w:rPr>
          <w:rFonts w:ascii="Arial" w:cs="Arial" w:eastAsia="Arial" w:hAnsi="Arial"/>
          <w:sz w:val="19"/>
          <w:szCs w:val="19"/>
          <w:u w:val="single" w:color="auto"/>
          <w:color w:val="auto"/>
        </w:rPr>
        <w:t>Amendments to the Fee and Ratio Letter</w:t>
      </w:r>
      <w:r>
        <w:rPr>
          <w:rFonts w:ascii="Arial" w:cs="Arial" w:eastAsia="Arial" w:hAnsi="Arial"/>
          <w:sz w:val="19"/>
          <w:szCs w:val="19"/>
          <w:color w:val="auto"/>
        </w:rPr>
        <w:t>.</w:t>
      </w:r>
    </w:p>
    <w:p>
      <w:pPr>
        <w:spacing w:after="0" w:line="189" w:lineRule="exact"/>
        <w:rPr>
          <w:sz w:val="20"/>
          <w:szCs w:val="20"/>
          <w:color w:val="auto"/>
        </w:rPr>
      </w:pPr>
    </w:p>
    <w:p>
      <w:pPr>
        <w:ind w:left="1280" w:hanging="637"/>
        <w:spacing w:after="0"/>
        <w:tabs>
          <w:tab w:leader="none" w:pos="1280" w:val="left"/>
        </w:tabs>
        <w:numPr>
          <w:ilvl w:val="0"/>
          <w:numId w:val="13"/>
        </w:numPr>
        <w:rPr>
          <w:rFonts w:ascii="Arial" w:cs="Arial" w:eastAsia="Arial" w:hAnsi="Arial"/>
          <w:sz w:val="21"/>
          <w:szCs w:val="21"/>
          <w:color w:val="auto"/>
        </w:rPr>
      </w:pPr>
      <w:r>
        <w:rPr>
          <w:rFonts w:ascii="Arial" w:cs="Arial" w:eastAsia="Arial" w:hAnsi="Arial"/>
          <w:sz w:val="21"/>
          <w:szCs w:val="21"/>
          <w:color w:val="auto"/>
        </w:rPr>
        <w:t xml:space="preserve">The Fee and Ratio Letter is amended such that, after giving effect to all such amendments, it shall read in its entirety as set forth on </w:t>
      </w:r>
      <w:r>
        <w:rPr>
          <w:rFonts w:ascii="Arial" w:cs="Arial" w:eastAsia="Arial" w:hAnsi="Arial"/>
          <w:sz w:val="21"/>
          <w:szCs w:val="21"/>
          <w:u w:val="single" w:color="auto"/>
          <w:color w:val="auto"/>
        </w:rPr>
        <w:t>Annex II</w:t>
      </w:r>
      <w:r>
        <w:rPr>
          <w:rFonts w:ascii="Arial" w:cs="Arial" w:eastAsia="Arial" w:hAnsi="Arial"/>
          <w:sz w:val="21"/>
          <w:szCs w:val="21"/>
          <w:color w:val="auto"/>
        </w:rPr>
        <w:t xml:space="preserve"> attached hereto.</w:t>
      </w:r>
    </w:p>
    <w:p>
      <w:pPr>
        <w:sectPr>
          <w:pgSz w:w="11900" w:h="16838" w:orient="portrait"/>
          <w:cols w:equalWidth="0" w:num="1">
            <w:col w:w="11240"/>
          </w:cols>
          <w:pgMar w:left="320" w:top="1372" w:right="339" w:bottom="1440" w:gutter="0" w:footer="0" w:header="0"/>
        </w:sectPr>
      </w:pPr>
    </w:p>
    <w:bookmarkStart w:id="35" w:name="page36"/>
    <w:bookmarkEnd w:id="35"/>
    <w:p>
      <w:pPr>
        <w:spacing w:after="0" w:line="270" w:lineRule="auto"/>
        <w:rPr>
          <w:sz w:val="20"/>
          <w:szCs w:val="20"/>
          <w:color w:val="auto"/>
        </w:rPr>
      </w:pPr>
      <w:r>
        <w:rPr>
          <w:rFonts w:ascii="Arial" w:cs="Arial" w:eastAsia="Arial" w:hAnsi="Arial"/>
          <w:sz w:val="20"/>
          <w:szCs w:val="20"/>
          <w:b w:val="1"/>
          <w:bCs w:val="1"/>
          <w:color w:val="auto"/>
        </w:rPr>
        <w:t xml:space="preserve">SECTION 3: </w:t>
      </w:r>
      <w:r>
        <w:rPr>
          <w:rFonts w:ascii="Arial" w:cs="Arial" w:eastAsia="Arial" w:hAnsi="Arial"/>
          <w:sz w:val="20"/>
          <w:szCs w:val="20"/>
          <w:u w:val="single" w:color="auto"/>
          <w:color w:val="auto"/>
        </w:rPr>
        <w:t>Conditions Precedent.</w:t>
      </w:r>
      <w:r>
        <w:rPr>
          <w:rFonts w:ascii="Arial" w:cs="Arial" w:eastAsia="Arial" w:hAnsi="Arial"/>
          <w:sz w:val="20"/>
          <w:szCs w:val="20"/>
          <w:b w:val="1"/>
          <w:bCs w:val="1"/>
          <w:color w:val="auto"/>
        </w:rPr>
        <w:t xml:space="preserve"> </w:t>
      </w:r>
      <w:r>
        <w:rPr>
          <w:rFonts w:ascii="Arial" w:cs="Arial" w:eastAsia="Arial" w:hAnsi="Arial"/>
          <w:sz w:val="20"/>
          <w:szCs w:val="20"/>
          <w:color w:val="auto"/>
        </w:rPr>
        <w:t>This Fifth Amendment shall become effective on the date on which the following conditions</w:t>
      </w:r>
      <w:r>
        <w:rPr>
          <w:rFonts w:ascii="Arial" w:cs="Arial" w:eastAsia="Arial" w:hAnsi="Arial"/>
          <w:sz w:val="20"/>
          <w:szCs w:val="20"/>
          <w:b w:val="1"/>
          <w:bCs w:val="1"/>
          <w:color w:val="auto"/>
        </w:rPr>
        <w:t xml:space="preserve"> </w:t>
      </w:r>
      <w:r>
        <w:rPr>
          <w:rFonts w:ascii="Arial" w:cs="Arial" w:eastAsia="Arial" w:hAnsi="Arial"/>
          <w:sz w:val="20"/>
          <w:szCs w:val="20"/>
          <w:color w:val="auto"/>
        </w:rPr>
        <w:t>have been satisfied or waived but, in any event, solely after the effectiveness of the Partial Termination Agreement:</w:t>
      </w:r>
    </w:p>
    <w:p>
      <w:pPr>
        <w:spacing w:after="0" w:line="125" w:lineRule="exact"/>
        <w:rPr>
          <w:sz w:val="20"/>
          <w:szCs w:val="20"/>
          <w:color w:val="auto"/>
        </w:rPr>
      </w:pPr>
    </w:p>
    <w:p>
      <w:pPr>
        <w:jc w:val="both"/>
        <w:ind w:left="1280" w:hanging="637"/>
        <w:spacing w:after="0" w:line="216" w:lineRule="auto"/>
        <w:tabs>
          <w:tab w:leader="none" w:pos="1280" w:val="left"/>
        </w:tabs>
        <w:numPr>
          <w:ilvl w:val="0"/>
          <w:numId w:val="14"/>
        </w:numPr>
        <w:rPr>
          <w:rFonts w:ascii="Arial" w:cs="Arial" w:eastAsia="Arial" w:hAnsi="Arial"/>
          <w:sz w:val="21"/>
          <w:szCs w:val="21"/>
          <w:color w:val="auto"/>
        </w:rPr>
      </w:pPr>
      <w:r>
        <w:rPr>
          <w:rFonts w:ascii="Arial" w:cs="Arial" w:eastAsia="Arial" w:hAnsi="Arial"/>
          <w:sz w:val="21"/>
          <w:szCs w:val="21"/>
          <w:color w:val="auto"/>
        </w:rPr>
        <w:t>Borrowers shall have paid the Partial Termination Amount by wire transfer (together with notification to it of the applicable federal funds wire reference number) of freely and immediately available funds and fully performed their obligations under the Partial Termination Agreement;</w:t>
      </w:r>
    </w:p>
    <w:p>
      <w:pPr>
        <w:spacing w:after="0" w:line="2" w:lineRule="exact"/>
        <w:rPr>
          <w:rFonts w:ascii="Arial" w:cs="Arial" w:eastAsia="Arial" w:hAnsi="Arial"/>
          <w:sz w:val="21"/>
          <w:szCs w:val="21"/>
          <w:color w:val="auto"/>
        </w:rPr>
      </w:pPr>
    </w:p>
    <w:p>
      <w:pPr>
        <w:ind w:left="1280" w:hanging="637"/>
        <w:spacing w:after="0" w:line="210" w:lineRule="auto"/>
        <w:tabs>
          <w:tab w:leader="none" w:pos="1280" w:val="left"/>
        </w:tabs>
        <w:numPr>
          <w:ilvl w:val="0"/>
          <w:numId w:val="14"/>
        </w:numPr>
        <w:rPr>
          <w:rFonts w:ascii="Arial" w:cs="Arial" w:eastAsia="Arial" w:hAnsi="Arial"/>
          <w:sz w:val="21"/>
          <w:szCs w:val="21"/>
          <w:color w:val="auto"/>
        </w:rPr>
      </w:pPr>
      <w:r>
        <w:rPr>
          <w:rFonts w:ascii="Arial" w:cs="Arial" w:eastAsia="Arial" w:hAnsi="Arial"/>
          <w:sz w:val="21"/>
          <w:szCs w:val="21"/>
          <w:color w:val="auto"/>
        </w:rPr>
        <w:t>Borrower shall have caused the Guarantor to duly execute the Guarantee Agreement concurrently with the execution of this Agreement;</w:t>
      </w:r>
    </w:p>
    <w:p>
      <w:pPr>
        <w:spacing w:after="0" w:line="1" w:lineRule="exact"/>
        <w:rPr>
          <w:rFonts w:ascii="Arial" w:cs="Arial" w:eastAsia="Arial" w:hAnsi="Arial"/>
          <w:sz w:val="21"/>
          <w:szCs w:val="21"/>
          <w:color w:val="auto"/>
        </w:rPr>
      </w:pPr>
    </w:p>
    <w:p>
      <w:pPr>
        <w:ind w:left="1280" w:hanging="637"/>
        <w:spacing w:after="0" w:line="231" w:lineRule="auto"/>
        <w:tabs>
          <w:tab w:leader="none" w:pos="1280" w:val="left"/>
        </w:tabs>
        <w:numPr>
          <w:ilvl w:val="0"/>
          <w:numId w:val="14"/>
        </w:numPr>
        <w:rPr>
          <w:rFonts w:ascii="Arial" w:cs="Arial" w:eastAsia="Arial" w:hAnsi="Arial"/>
          <w:sz w:val="21"/>
          <w:szCs w:val="21"/>
          <w:b w:val="1"/>
          <w:bCs w:val="1"/>
          <w:color w:val="auto"/>
        </w:rPr>
      </w:pPr>
      <w:r>
        <w:rPr>
          <w:rFonts w:ascii="Arial" w:cs="Arial" w:eastAsia="Arial" w:hAnsi="Arial"/>
          <w:sz w:val="21"/>
          <w:szCs w:val="21"/>
          <w:color w:val="auto"/>
        </w:rPr>
        <w:t>The Lender shall have received a favorable opinion of counsel to each Borrower addressed to each Lender and Administrative Agent;</w:t>
      </w:r>
    </w:p>
    <w:p>
      <w:pPr>
        <w:spacing w:after="0" w:line="148" w:lineRule="exact"/>
        <w:rPr>
          <w:sz w:val="20"/>
          <w:szCs w:val="20"/>
          <w:color w:val="auto"/>
        </w:rPr>
      </w:pPr>
    </w:p>
    <w:p>
      <w:pPr>
        <w:spacing w:after="0"/>
        <w:tabs>
          <w:tab w:leader="none" w:pos="1380" w:val="left"/>
        </w:tabs>
        <w:rPr>
          <w:sz w:val="20"/>
          <w:szCs w:val="20"/>
          <w:color w:val="auto"/>
        </w:rPr>
      </w:pPr>
      <w:r>
        <w:rPr>
          <w:rFonts w:ascii="Arial" w:cs="Arial" w:eastAsia="Arial" w:hAnsi="Arial"/>
          <w:sz w:val="21"/>
          <w:szCs w:val="21"/>
          <w:b w:val="1"/>
          <w:bCs w:val="1"/>
          <w:color w:val="auto"/>
        </w:rPr>
        <w:t>SECTION 4</w:t>
      </w:r>
      <w:r>
        <w:rPr>
          <w:rFonts w:ascii="Arial" w:cs="Arial" w:eastAsia="Arial" w:hAnsi="Arial"/>
          <w:sz w:val="21"/>
          <w:szCs w:val="21"/>
          <w:color w:val="auto"/>
        </w:rPr>
        <w:t>:</w:t>
      </w:r>
      <w:r>
        <w:rPr>
          <w:sz w:val="20"/>
          <w:szCs w:val="20"/>
          <w:color w:val="auto"/>
        </w:rPr>
        <w:tab/>
      </w:r>
      <w:r>
        <w:rPr>
          <w:rFonts w:ascii="Arial" w:cs="Arial" w:eastAsia="Arial" w:hAnsi="Arial"/>
          <w:sz w:val="18"/>
          <w:szCs w:val="18"/>
          <w:u w:val="single" w:color="auto"/>
          <w:color w:val="auto"/>
        </w:rPr>
        <w:t>Borrowers Representations, Warranties and Covenants</w:t>
      </w:r>
      <w:r>
        <w:rPr>
          <w:rFonts w:ascii="Arial" w:cs="Arial" w:eastAsia="Arial" w:hAnsi="Arial"/>
          <w:sz w:val="18"/>
          <w:szCs w:val="18"/>
          <w:color w:val="auto"/>
        </w:rPr>
        <w:t>.</w:t>
      </w:r>
    </w:p>
    <w:p>
      <w:pPr>
        <w:spacing w:after="0" w:line="189" w:lineRule="exact"/>
        <w:rPr>
          <w:sz w:val="20"/>
          <w:szCs w:val="20"/>
          <w:color w:val="auto"/>
        </w:rPr>
      </w:pPr>
    </w:p>
    <w:p>
      <w:pPr>
        <w:ind w:firstLine="637"/>
        <w:spacing w:after="0"/>
        <w:rPr>
          <w:sz w:val="20"/>
          <w:szCs w:val="20"/>
          <w:color w:val="auto"/>
        </w:rPr>
      </w:pPr>
      <w:r>
        <w:rPr>
          <w:rFonts w:ascii="Arial" w:cs="Arial" w:eastAsia="Arial" w:hAnsi="Arial"/>
          <w:sz w:val="21"/>
          <w:szCs w:val="21"/>
          <w:color w:val="auto"/>
        </w:rPr>
        <w:t>In order to induce (i) Lenders to agree to this Agreement, Borrowers makes the following representations and warranties to each of Lender and Administrative Agent:</w:t>
      </w:r>
    </w:p>
    <w:p>
      <w:pPr>
        <w:spacing w:after="0" w:line="180" w:lineRule="exact"/>
        <w:rPr>
          <w:sz w:val="20"/>
          <w:szCs w:val="20"/>
          <w:color w:val="auto"/>
        </w:rPr>
      </w:pPr>
    </w:p>
    <w:p>
      <w:pPr>
        <w:jc w:val="both"/>
        <w:ind w:left="1280" w:hanging="637"/>
        <w:spacing w:after="0" w:line="226" w:lineRule="auto"/>
        <w:tabs>
          <w:tab w:leader="none" w:pos="1280" w:val="left"/>
        </w:tabs>
        <w:numPr>
          <w:ilvl w:val="0"/>
          <w:numId w:val="15"/>
        </w:numPr>
        <w:rPr>
          <w:rFonts w:ascii="Arial" w:cs="Arial" w:eastAsia="Arial" w:hAnsi="Arial"/>
          <w:sz w:val="20"/>
          <w:szCs w:val="20"/>
          <w:color w:val="auto"/>
        </w:rPr>
      </w:pPr>
      <w:r>
        <w:rPr>
          <w:rFonts w:ascii="Arial" w:cs="Arial" w:eastAsia="Arial" w:hAnsi="Arial"/>
          <w:sz w:val="20"/>
          <w:szCs w:val="20"/>
          <w:color w:val="auto"/>
        </w:rPr>
        <w:t>Each Borrower hereby certifies, represents and warrants that, after giving effect to the terms hereof: (i) each of the representations and warranties set forth in the Margin Loan Agreement are true and correct in all material respects as of the date hereof (unless any such representation or warranty is qualified as to materiality, in which case such representation or warranty is true and correct in all respects as of the date hereof), except to the extent that such representations and warranties expressly relate to an earlier date, in which case they shall be true and correct in all material respects as of such date (unless any such representation or warranty is qualified as to materiality, in which case it shall be true and correct in all respects as of such date), (ii) each Borrower has no material assets other than the Collateral nor any Indebtedness or monetary obligations other than the Obligations under the Margin Loan Documentation or any obligations under routine administrative agreements as expressly permitted under Section 6.14 of the Margin Loan Agreement; and (iii) no Collateral Call Trigger Event, no Mandatory Prepayment Event, no Default and no Event of Default and no Facility Adjustment Event has occurred or is continuing as of the date hereof.</w:t>
      </w:r>
    </w:p>
    <w:p>
      <w:pPr>
        <w:spacing w:after="0" w:line="186" w:lineRule="exact"/>
        <w:rPr>
          <w:rFonts w:ascii="Arial" w:cs="Arial" w:eastAsia="Arial" w:hAnsi="Arial"/>
          <w:sz w:val="20"/>
          <w:szCs w:val="20"/>
          <w:color w:val="auto"/>
        </w:rPr>
      </w:pPr>
    </w:p>
    <w:p>
      <w:pPr>
        <w:jc w:val="both"/>
        <w:ind w:left="1280" w:hanging="637"/>
        <w:spacing w:after="0" w:line="222" w:lineRule="auto"/>
        <w:tabs>
          <w:tab w:leader="none" w:pos="1280" w:val="left"/>
        </w:tabs>
        <w:numPr>
          <w:ilvl w:val="0"/>
          <w:numId w:val="15"/>
        </w:numPr>
        <w:rPr>
          <w:rFonts w:ascii="Arial" w:cs="Arial" w:eastAsia="Arial" w:hAnsi="Arial"/>
          <w:sz w:val="21"/>
          <w:szCs w:val="21"/>
          <w:color w:val="auto"/>
        </w:rPr>
      </w:pPr>
      <w:r>
        <w:rPr>
          <w:rFonts w:ascii="Arial" w:cs="Arial" w:eastAsia="Arial" w:hAnsi="Arial"/>
          <w:sz w:val="21"/>
          <w:szCs w:val="21"/>
          <w:color w:val="auto"/>
        </w:rPr>
        <w:t>Each Borrower (i) is duly organized, validly existing and in good standing under the laws of the jurisdiction of its organization, (ii) has all requisite power and authority to enter into, and perform its obligations under this Agreement, and consummate the transactions contemplated hereunder, which have been duly authorized by all necessary action by such Borrower, and (iii) is qualified to do business in, and is in good standing in, every jurisdiction where such qualification is required.</w:t>
      </w:r>
    </w:p>
    <w:p>
      <w:pPr>
        <w:spacing w:after="0" w:line="183" w:lineRule="exact"/>
        <w:rPr>
          <w:rFonts w:ascii="Arial" w:cs="Arial" w:eastAsia="Arial" w:hAnsi="Arial"/>
          <w:sz w:val="21"/>
          <w:szCs w:val="21"/>
          <w:color w:val="auto"/>
        </w:rPr>
      </w:pPr>
    </w:p>
    <w:p>
      <w:pPr>
        <w:jc w:val="both"/>
        <w:ind w:left="1280" w:hanging="637"/>
        <w:spacing w:after="0" w:line="225" w:lineRule="auto"/>
        <w:tabs>
          <w:tab w:leader="none" w:pos="1280" w:val="left"/>
        </w:tabs>
        <w:numPr>
          <w:ilvl w:val="0"/>
          <w:numId w:val="15"/>
        </w:numPr>
        <w:rPr>
          <w:rFonts w:ascii="Arial" w:cs="Arial" w:eastAsia="Arial" w:hAnsi="Arial"/>
          <w:sz w:val="21"/>
          <w:szCs w:val="21"/>
          <w:color w:val="auto"/>
        </w:rPr>
      </w:pPr>
      <w:r>
        <w:rPr>
          <w:rFonts w:ascii="Arial" w:cs="Arial" w:eastAsia="Arial" w:hAnsi="Arial"/>
          <w:sz w:val="21"/>
          <w:szCs w:val="21"/>
          <w:color w:val="auto"/>
        </w:rPr>
        <w:t>This Agreement has been duly executed and delivered by each Borrower and constitutes a legal, valid and binding obligation of such Borrower, enforceable in accordance with its terms, subject to applicable bankruptcy, insolvency, reorganization, moratorium or other laws affecting creditors’ rights generally and subject to general principles of equity, regardless of whether considered in a proceeding in equity or at law.</w:t>
      </w:r>
    </w:p>
    <w:p>
      <w:pPr>
        <w:spacing w:after="0" w:line="182" w:lineRule="exact"/>
        <w:rPr>
          <w:rFonts w:ascii="Arial" w:cs="Arial" w:eastAsia="Arial" w:hAnsi="Arial"/>
          <w:sz w:val="21"/>
          <w:szCs w:val="21"/>
          <w:color w:val="auto"/>
        </w:rPr>
      </w:pPr>
    </w:p>
    <w:p>
      <w:pPr>
        <w:jc w:val="both"/>
        <w:ind w:left="1280" w:hanging="637"/>
        <w:spacing w:after="0" w:line="222" w:lineRule="auto"/>
        <w:tabs>
          <w:tab w:leader="none" w:pos="1280" w:val="left"/>
        </w:tabs>
        <w:numPr>
          <w:ilvl w:val="0"/>
          <w:numId w:val="15"/>
        </w:numPr>
        <w:rPr>
          <w:rFonts w:ascii="Arial" w:cs="Arial" w:eastAsia="Arial" w:hAnsi="Arial"/>
          <w:sz w:val="21"/>
          <w:szCs w:val="21"/>
          <w:color w:val="auto"/>
        </w:rPr>
      </w:pPr>
      <w:r>
        <w:rPr>
          <w:rFonts w:ascii="Arial" w:cs="Arial" w:eastAsia="Arial" w:hAnsi="Arial"/>
          <w:sz w:val="21"/>
          <w:szCs w:val="21"/>
          <w:color w:val="auto"/>
        </w:rPr>
        <w:t>There are no pending or, to each Borrower’s knowledge, threatened actions, claims, complaints, suits, charges, grievances, or proceedings (“</w:t>
      </w:r>
      <w:r>
        <w:rPr>
          <w:rFonts w:ascii="Arial" w:cs="Arial" w:eastAsia="Arial" w:hAnsi="Arial"/>
          <w:sz w:val="21"/>
          <w:szCs w:val="21"/>
          <w:b w:val="1"/>
          <w:bCs w:val="1"/>
          <w:color w:val="auto"/>
        </w:rPr>
        <w:t>Proceedings</w:t>
      </w:r>
      <w:r>
        <w:rPr>
          <w:rFonts w:ascii="Arial" w:cs="Arial" w:eastAsia="Arial" w:hAnsi="Arial"/>
          <w:sz w:val="21"/>
          <w:szCs w:val="21"/>
          <w:color w:val="auto"/>
        </w:rPr>
        <w:t>”) (i) that in the aggregate would materially and adversely affect such Borrower’s ability to perform and satisfy its obligations under, or in connection with, the Margin Loan Agreement, or (ii) that challenge, or that may have the effect of preventing, delaying, making illegal or otherwise interfering with, the transactions contemplated hereunder.</w:t>
      </w:r>
    </w:p>
    <w:p>
      <w:pPr>
        <w:sectPr>
          <w:pgSz w:w="11900" w:h="16838" w:orient="portrait"/>
          <w:cols w:equalWidth="0" w:num="1">
            <w:col w:w="11240"/>
          </w:cols>
          <w:pgMar w:left="320" w:top="1372" w:right="339" w:bottom="1440" w:gutter="0" w:footer="0" w:header="0"/>
        </w:sectPr>
      </w:pPr>
    </w:p>
    <w:bookmarkStart w:id="36" w:name="page37"/>
    <w:bookmarkEnd w:id="36"/>
    <w:p>
      <w:pPr>
        <w:spacing w:after="0" w:line="178" w:lineRule="exact"/>
        <w:rPr>
          <w:sz w:val="20"/>
          <w:szCs w:val="20"/>
          <w:color w:val="auto"/>
        </w:rPr>
      </w:pPr>
    </w:p>
    <w:p>
      <w:pPr>
        <w:ind w:left="1280" w:hanging="637"/>
        <w:spacing w:after="0"/>
        <w:tabs>
          <w:tab w:leader="none" w:pos="1280" w:val="left"/>
        </w:tabs>
        <w:numPr>
          <w:ilvl w:val="0"/>
          <w:numId w:val="16"/>
        </w:numPr>
        <w:rPr>
          <w:rFonts w:ascii="Arial" w:cs="Arial" w:eastAsia="Arial" w:hAnsi="Arial"/>
          <w:sz w:val="21"/>
          <w:szCs w:val="21"/>
          <w:color w:val="auto"/>
        </w:rPr>
      </w:pPr>
      <w:r>
        <w:rPr>
          <w:rFonts w:ascii="Arial" w:cs="Arial" w:eastAsia="Arial" w:hAnsi="Arial"/>
          <w:sz w:val="21"/>
          <w:szCs w:val="21"/>
          <w:color w:val="auto"/>
        </w:rPr>
        <w:t>Borrowers will cause all the Conditions Precedent as set forth in Section 3 of this Agreement to be satisfied on June 16, 2023.</w:t>
      </w:r>
    </w:p>
    <w:p>
      <w:pPr>
        <w:spacing w:after="0" w:line="180" w:lineRule="exact"/>
        <w:rPr>
          <w:rFonts w:ascii="Arial" w:cs="Arial" w:eastAsia="Arial" w:hAnsi="Arial"/>
          <w:sz w:val="21"/>
          <w:szCs w:val="21"/>
          <w:color w:val="auto"/>
        </w:rPr>
      </w:pPr>
    </w:p>
    <w:p>
      <w:pPr>
        <w:ind w:left="1280" w:hanging="637"/>
        <w:spacing w:after="0"/>
        <w:tabs>
          <w:tab w:leader="none" w:pos="1280" w:val="left"/>
        </w:tabs>
        <w:numPr>
          <w:ilvl w:val="0"/>
          <w:numId w:val="16"/>
        </w:numPr>
        <w:rPr>
          <w:rFonts w:ascii="Arial" w:cs="Arial" w:eastAsia="Arial" w:hAnsi="Arial"/>
          <w:sz w:val="21"/>
          <w:szCs w:val="21"/>
          <w:color w:val="auto"/>
        </w:rPr>
      </w:pPr>
      <w:r>
        <w:rPr>
          <w:rFonts w:ascii="Arial" w:cs="Arial" w:eastAsia="Arial" w:hAnsi="Arial"/>
          <w:sz w:val="21"/>
          <w:szCs w:val="21"/>
          <w:color w:val="auto"/>
        </w:rPr>
        <w:t>The Recitals to this Agreement are true and correct in all material respects.</w:t>
      </w:r>
    </w:p>
    <w:p>
      <w:pPr>
        <w:spacing w:after="0" w:line="20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SECTION 5: </w:t>
      </w:r>
      <w:r>
        <w:rPr>
          <w:rFonts w:ascii="Arial" w:cs="Arial" w:eastAsia="Arial" w:hAnsi="Arial"/>
          <w:sz w:val="21"/>
          <w:szCs w:val="21"/>
          <w:u w:val="single" w:color="auto"/>
          <w:color w:val="auto"/>
        </w:rPr>
        <w:t>Miscellaneous</w:t>
      </w:r>
      <w:r>
        <w:rPr>
          <w:rFonts w:ascii="Arial" w:cs="Arial" w:eastAsia="Arial" w:hAnsi="Arial"/>
          <w:sz w:val="21"/>
          <w:szCs w:val="21"/>
          <w:color w:val="auto"/>
        </w:rPr>
        <w:t>.</w:t>
      </w:r>
    </w:p>
    <w:p>
      <w:pPr>
        <w:spacing w:after="0" w:line="189" w:lineRule="exact"/>
        <w:rPr>
          <w:sz w:val="20"/>
          <w:szCs w:val="20"/>
          <w:color w:val="auto"/>
        </w:rPr>
      </w:pPr>
    </w:p>
    <w:p>
      <w:pPr>
        <w:jc w:val="both"/>
        <w:ind w:firstLine="320"/>
        <w:spacing w:after="0" w:line="229" w:lineRule="auto"/>
        <w:tabs>
          <w:tab w:leader="none" w:pos="863" w:val="left"/>
        </w:tabs>
        <w:numPr>
          <w:ilvl w:val="2"/>
          <w:numId w:val="17"/>
        </w:numPr>
        <w:rPr>
          <w:rFonts w:ascii="Arial" w:cs="Arial" w:eastAsia="Arial" w:hAnsi="Arial"/>
          <w:sz w:val="20"/>
          <w:szCs w:val="20"/>
          <w:color w:val="auto"/>
        </w:rPr>
      </w:pPr>
      <w:r>
        <w:rPr>
          <w:rFonts w:ascii="Arial" w:cs="Arial" w:eastAsia="Arial" w:hAnsi="Arial"/>
          <w:sz w:val="20"/>
          <w:szCs w:val="20"/>
          <w:color w:val="auto"/>
        </w:rPr>
        <w:t>Except as provided hereby, all of the representations, warranties, terms, covenants and conditions of the Margin Loan Agreement and other Margin Loan Documentation shall remain unamended and shall continue to be, and shall remain, in full force and effect in accordance with their respective terms. The provisions set forth herein shall be limited as provided for herein, and shall not be deemed to be a waiver of, amendment to, consent to or modification of any other term or provision of the any Margin Loan Documentation or of any event, condition, or transaction on the part of the Borrowers or any other person that would require the consent of the Administrative Agent or any of the Lenders. The execution, delivery and effectiveness of this Agreement shall not, by implication or otherwise, limit, impair, waive or otherwise affect any right, power or remedy of any Lender under the Margin Loan Agreement or any other Margin Loan Documentation.</w:t>
      </w:r>
    </w:p>
    <w:p>
      <w:pPr>
        <w:spacing w:after="0" w:line="154" w:lineRule="exact"/>
        <w:rPr>
          <w:rFonts w:ascii="Arial" w:cs="Arial" w:eastAsia="Arial" w:hAnsi="Arial"/>
          <w:sz w:val="20"/>
          <w:szCs w:val="20"/>
          <w:color w:val="auto"/>
        </w:rPr>
      </w:pPr>
    </w:p>
    <w:p>
      <w:pPr>
        <w:jc w:val="both"/>
        <w:ind w:firstLine="268"/>
        <w:spacing w:after="0" w:line="225" w:lineRule="auto"/>
        <w:tabs>
          <w:tab w:leader="none" w:pos="770" w:val="left"/>
        </w:tabs>
        <w:numPr>
          <w:ilvl w:val="1"/>
          <w:numId w:val="18"/>
        </w:numPr>
        <w:rPr>
          <w:rFonts w:ascii="Arial" w:cs="Arial" w:eastAsia="Arial" w:hAnsi="Arial"/>
          <w:sz w:val="21"/>
          <w:szCs w:val="21"/>
          <w:color w:val="auto"/>
        </w:rPr>
      </w:pPr>
      <w:r>
        <w:rPr>
          <w:rFonts w:ascii="Arial" w:cs="Arial" w:eastAsia="Arial" w:hAnsi="Arial"/>
          <w:sz w:val="21"/>
          <w:szCs w:val="21"/>
          <w:color w:val="auto"/>
        </w:rPr>
        <w:t>Each party acknowledges and agrees that the execution and delivery by the Lenders and the Administrative Agent of this Agreement shall not be deemed (i) to create a course of dealing or otherwise obligate any Lender to forbear, waive, consent or execute similar amendments or waivers in the future, or (ii) to amend, relinquish or impair any right of the matter arising from or relating to this Agreement.</w:t>
      </w:r>
    </w:p>
    <w:p>
      <w:pPr>
        <w:spacing w:after="0" w:line="155" w:lineRule="exact"/>
        <w:rPr>
          <w:rFonts w:ascii="Arial" w:cs="Arial" w:eastAsia="Arial" w:hAnsi="Arial"/>
          <w:sz w:val="21"/>
          <w:szCs w:val="21"/>
          <w:color w:val="auto"/>
        </w:rPr>
      </w:pPr>
    </w:p>
    <w:p>
      <w:pPr>
        <w:jc w:val="both"/>
        <w:ind w:firstLine="349"/>
        <w:spacing w:after="0" w:line="236" w:lineRule="auto"/>
        <w:tabs>
          <w:tab w:leader="none" w:pos="921" w:val="left"/>
        </w:tabs>
        <w:numPr>
          <w:ilvl w:val="3"/>
          <w:numId w:val="18"/>
        </w:numPr>
        <w:rPr>
          <w:rFonts w:ascii="Arial" w:cs="Arial" w:eastAsia="Arial" w:hAnsi="Arial"/>
          <w:sz w:val="20"/>
          <w:szCs w:val="20"/>
          <w:color w:val="auto"/>
        </w:rPr>
      </w:pPr>
      <w:r>
        <w:rPr>
          <w:rFonts w:ascii="Arial" w:cs="Arial" w:eastAsia="Arial" w:hAnsi="Arial"/>
          <w:sz w:val="20"/>
          <w:szCs w:val="20"/>
          <w:color w:val="auto"/>
        </w:rPr>
        <w:t>Notwithstanding the foregoing, the parties hereto agree that the Margin Loan Agreement and all other Margin Loan Documentation shall be deemed to be amended to reflect and give effect to this Agreement and achieve the intended economic and commercial effect thereof. Accordingly, should there be any conflict or inconsistency between the terms of this Agreement and any of the other terms of the Margin Loan Documentation, the terms of this Agreement shall prevail.</w:t>
      </w:r>
    </w:p>
    <w:p>
      <w:pPr>
        <w:spacing w:after="0" w:line="156" w:lineRule="exact"/>
        <w:rPr>
          <w:rFonts w:ascii="Arial" w:cs="Arial" w:eastAsia="Arial" w:hAnsi="Arial"/>
          <w:sz w:val="20"/>
          <w:szCs w:val="20"/>
          <w:color w:val="auto"/>
        </w:rPr>
      </w:pPr>
    </w:p>
    <w:p>
      <w:pPr>
        <w:jc w:val="both"/>
        <w:ind w:firstLine="643"/>
        <w:spacing w:after="0" w:line="230" w:lineRule="auto"/>
        <w:tabs>
          <w:tab w:leader="none" w:pos="1118" w:val="left"/>
        </w:tabs>
        <w:numPr>
          <w:ilvl w:val="4"/>
          <w:numId w:val="18"/>
        </w:numPr>
        <w:rPr>
          <w:rFonts w:ascii="Arial" w:cs="Arial" w:eastAsia="Arial" w:hAnsi="Arial"/>
          <w:sz w:val="21"/>
          <w:szCs w:val="21"/>
          <w:color w:val="auto"/>
        </w:rPr>
      </w:pPr>
      <w:r>
        <w:rPr>
          <w:rFonts w:ascii="Arial" w:cs="Arial" w:eastAsia="Arial" w:hAnsi="Arial"/>
          <w:sz w:val="21"/>
          <w:szCs w:val="21"/>
          <w:u w:val="single" w:color="auto"/>
          <w:color w:val="auto"/>
        </w:rPr>
        <w:t>Governing Law; Submission to Jurisdiction</w:t>
      </w:r>
      <w:r>
        <w:rPr>
          <w:rFonts w:ascii="Arial" w:cs="Arial" w:eastAsia="Arial" w:hAnsi="Arial"/>
          <w:sz w:val="21"/>
          <w:szCs w:val="21"/>
          <w:color w:val="auto"/>
        </w:rPr>
        <w:t xml:space="preserve">. This Agreement constitutes a “Margin Loan Documentation” entered into in connection with the Margin Loan Agreement. The provisions of Section 9.06 of the Margin Loan Agreement shall apply </w:t>
      </w:r>
      <w:r>
        <w:rPr>
          <w:rFonts w:ascii="Arial" w:cs="Arial" w:eastAsia="Arial" w:hAnsi="Arial"/>
          <w:sz w:val="21"/>
          <w:szCs w:val="21"/>
          <w:i w:val="1"/>
          <w:iCs w:val="1"/>
          <w:color w:val="auto"/>
        </w:rPr>
        <w:t>mutatis</w:t>
      </w:r>
      <w:r>
        <w:rPr>
          <w:rFonts w:ascii="Arial" w:cs="Arial" w:eastAsia="Arial" w:hAnsi="Arial"/>
          <w:sz w:val="21"/>
          <w:szCs w:val="21"/>
          <w:color w:val="auto"/>
        </w:rPr>
        <w:t xml:space="preserve"> </w:t>
      </w:r>
      <w:r>
        <w:rPr>
          <w:rFonts w:ascii="Arial" w:cs="Arial" w:eastAsia="Arial" w:hAnsi="Arial"/>
          <w:sz w:val="21"/>
          <w:szCs w:val="21"/>
          <w:i w:val="1"/>
          <w:iCs w:val="1"/>
          <w:color w:val="auto"/>
        </w:rPr>
        <w:t xml:space="preserve">mutandis </w:t>
      </w:r>
      <w:r>
        <w:rPr>
          <w:rFonts w:ascii="Arial" w:cs="Arial" w:eastAsia="Arial" w:hAnsi="Arial"/>
          <w:sz w:val="21"/>
          <w:szCs w:val="21"/>
          <w:color w:val="auto"/>
        </w:rPr>
        <w:t>to this Agreement as if such provisions were fully set forth herein.</w:t>
      </w:r>
    </w:p>
    <w:p>
      <w:pPr>
        <w:spacing w:after="0" w:line="154" w:lineRule="exact"/>
        <w:rPr>
          <w:rFonts w:ascii="Arial" w:cs="Arial" w:eastAsia="Arial" w:hAnsi="Arial"/>
          <w:sz w:val="21"/>
          <w:szCs w:val="21"/>
          <w:color w:val="auto"/>
        </w:rPr>
      </w:pPr>
    </w:p>
    <w:p>
      <w:pPr>
        <w:jc w:val="both"/>
        <w:ind w:firstLine="223"/>
        <w:spacing w:after="0" w:line="239" w:lineRule="auto"/>
        <w:tabs>
          <w:tab w:leader="none" w:pos="646" w:val="left"/>
        </w:tabs>
        <w:numPr>
          <w:ilvl w:val="0"/>
          <w:numId w:val="19"/>
        </w:numPr>
        <w:rPr>
          <w:rFonts w:ascii="Arial" w:cs="Arial" w:eastAsia="Arial" w:hAnsi="Arial"/>
          <w:sz w:val="19"/>
          <w:szCs w:val="19"/>
          <w:color w:val="auto"/>
        </w:rPr>
      </w:pPr>
      <w:r>
        <w:rPr>
          <w:rFonts w:ascii="Arial" w:cs="Arial" w:eastAsia="Arial" w:hAnsi="Arial"/>
          <w:sz w:val="19"/>
          <w:szCs w:val="19"/>
          <w:u w:val="single" w:color="auto"/>
          <w:color w:val="auto"/>
        </w:rPr>
        <w:t>Counterparts; Electronic Execution</w:t>
      </w:r>
      <w:r>
        <w:rPr>
          <w:rFonts w:ascii="Arial" w:cs="Arial" w:eastAsia="Arial" w:hAnsi="Arial"/>
          <w:sz w:val="19"/>
          <w:szCs w:val="19"/>
          <w:color w:val="auto"/>
        </w:rPr>
        <w:t>. This Agreement may be executed in any number of counterparts and by different parties hereto in separate counterparts, each of which when so executed shall be deemed to be an original and all of which taken together shall constitute one and the same agreement. Delivery of an executed counterpart of a signature page to this Agreement by telecopier shall be effective as delivery of a manually executed counterpart of this Agreement. The words “execution,” “execute”, “signed,” “signature,” and words of like import in or related to any document to be signed in connection with this Amendment and the transactions contemplated hereby shall be deemed to include electronic signatures, the electronic matching of assignment terms and contract formations on electronic platforms approved by the Term Loan A Administrative Agent, or the keeping of records in electronic form, each of which shall be of the same legal effect, validity or enforceability as a manually executed signature or the use of a paper 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Signature page follows</w:t>
      </w:r>
      <w:r>
        <w:rPr>
          <w:rFonts w:ascii="Arial" w:cs="Arial" w:eastAsia="Arial" w:hAnsi="Arial"/>
          <w:sz w:val="21"/>
          <w:szCs w:val="21"/>
          <w:color w:val="auto"/>
        </w:rPr>
        <w:t>]</w:t>
      </w:r>
    </w:p>
    <w:p>
      <w:pPr>
        <w:sectPr>
          <w:pgSz w:w="11900" w:h="16838" w:orient="portrait"/>
          <w:cols w:equalWidth="0" w:num="1">
            <w:col w:w="11240"/>
          </w:cols>
          <w:pgMar w:left="320" w:top="1440" w:right="339" w:bottom="1440" w:gutter="0" w:footer="0" w:header="0"/>
        </w:sectPr>
      </w:pPr>
    </w:p>
    <w:bookmarkStart w:id="37" w:name="page38"/>
    <w:bookmarkEnd w:id="37"/>
    <w:p>
      <w:pPr>
        <w:spacing w:after="0"/>
        <w:rPr>
          <w:sz w:val="20"/>
          <w:szCs w:val="20"/>
          <w:color w:val="auto"/>
        </w:rPr>
      </w:pPr>
      <w:r>
        <w:rPr>
          <w:rFonts w:ascii="Arial" w:cs="Arial" w:eastAsia="Arial" w:hAnsi="Arial"/>
          <w:sz w:val="19"/>
          <w:szCs w:val="19"/>
          <w:color w:val="auto"/>
        </w:rPr>
        <w:t>By signing this Agreement, the parties hereto each irrevocably agree to and consent to the matters set out herein.</w:t>
      </w:r>
    </w:p>
    <w:p>
      <w:pPr>
        <w:sectPr>
          <w:pgSz w:w="11900" w:h="16838" w:orient="portrait"/>
          <w:cols w:equalWidth="0" w:num="1">
            <w:col w:w="10139"/>
          </w:cols>
          <w:pgMar w:left="320" w:top="137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2720"/>
        <w:spacing w:after="0"/>
        <w:rPr>
          <w:sz w:val="20"/>
          <w:szCs w:val="20"/>
          <w:color w:val="auto"/>
        </w:rPr>
      </w:pPr>
      <w:r>
        <w:rPr>
          <w:rFonts w:ascii="Arial" w:cs="Arial" w:eastAsia="Arial" w:hAnsi="Arial"/>
          <w:sz w:val="21"/>
          <w:szCs w:val="21"/>
          <w:b w:val="1"/>
          <w:bCs w:val="1"/>
          <w:color w:val="auto"/>
        </w:rPr>
        <w:t>CANNAE FUNDING C, LLC,</w:t>
      </w:r>
    </w:p>
    <w:p>
      <w:pPr>
        <w:spacing w:after="0" w:line="43" w:lineRule="exact"/>
        <w:rPr>
          <w:sz w:val="20"/>
          <w:szCs w:val="20"/>
          <w:color w:val="auto"/>
        </w:rPr>
      </w:pPr>
    </w:p>
    <w:p>
      <w:pPr>
        <w:ind w:left="2720"/>
        <w:spacing w:after="0"/>
        <w:rPr>
          <w:sz w:val="20"/>
          <w:szCs w:val="20"/>
          <w:color w:val="auto"/>
        </w:rPr>
      </w:pPr>
      <w:r>
        <w:rPr>
          <w:rFonts w:ascii="Arial" w:cs="Arial" w:eastAsia="Arial" w:hAnsi="Arial"/>
          <w:sz w:val="21"/>
          <w:szCs w:val="21"/>
          <w:color w:val="auto"/>
        </w:rPr>
        <w:t>as Borrower 1</w:t>
      </w:r>
    </w:p>
    <w:p>
      <w:pPr>
        <w:spacing w:after="0" w:line="276" w:lineRule="exact"/>
        <w:rPr>
          <w:sz w:val="20"/>
          <w:szCs w:val="20"/>
          <w:color w:val="auto"/>
        </w:rPr>
      </w:pPr>
    </w:p>
    <w:tbl>
      <w:tblPr>
        <w:tblLayout w:type="fixed"/>
        <w:tblInd w:w="2720" w:type="dxa"/>
        <w:tblCellMar>
          <w:top w:w="0" w:type="dxa"/>
          <w:left w:w="0" w:type="dxa"/>
          <w:bottom w:w="0" w:type="dxa"/>
          <w:right w:w="0" w:type="dxa"/>
        </w:tblCellMar>
      </w:tblPr>
      <w:tr>
        <w:trPr>
          <w:trHeight w:val="272"/>
        </w:trPr>
        <w:tc>
          <w:tcPr>
            <w:tcW w:w="1040" w:type="dxa"/>
            <w:vAlign w:val="bottom"/>
          </w:tcPr>
          <w:p>
            <w:pPr>
              <w:spacing w:after="0"/>
              <w:rPr>
                <w:sz w:val="20"/>
                <w:szCs w:val="20"/>
                <w:color w:val="auto"/>
              </w:rPr>
            </w:pPr>
            <w:r>
              <w:rPr>
                <w:rFonts w:ascii="Arial" w:cs="Arial" w:eastAsia="Arial" w:hAnsi="Arial"/>
                <w:sz w:val="21"/>
                <w:szCs w:val="21"/>
                <w:color w:val="auto"/>
              </w:rPr>
              <w:t>By:</w:t>
            </w:r>
          </w:p>
        </w:tc>
        <w:tc>
          <w:tcPr>
            <w:tcW w:w="3300" w:type="dxa"/>
            <w:vAlign w:val="bottom"/>
            <w:tcBorders>
              <w:bottom w:val="single" w:sz="8" w:color="auto"/>
            </w:tcBorders>
          </w:tcPr>
          <w:p>
            <w:pPr>
              <w:ind w:left="80"/>
              <w:spacing w:after="0"/>
              <w:rPr>
                <w:sz w:val="20"/>
                <w:szCs w:val="20"/>
                <w:color w:val="auto"/>
              </w:rPr>
            </w:pPr>
            <w:r>
              <w:rPr>
                <w:rFonts w:ascii="Arial" w:cs="Arial" w:eastAsia="Arial" w:hAnsi="Arial"/>
                <w:sz w:val="21"/>
                <w:szCs w:val="21"/>
                <w:color w:val="auto"/>
              </w:rPr>
              <w:t>/s/ Bryan. D Coy</w:t>
            </w:r>
          </w:p>
        </w:tc>
      </w:tr>
      <w:tr>
        <w:trPr>
          <w:trHeight w:val="252"/>
        </w:trPr>
        <w:tc>
          <w:tcPr>
            <w:tcW w:w="1040" w:type="dxa"/>
            <w:vAlign w:val="bottom"/>
          </w:tcPr>
          <w:p>
            <w:pPr>
              <w:spacing w:after="0"/>
              <w:rPr>
                <w:sz w:val="21"/>
                <w:szCs w:val="21"/>
                <w:color w:val="auto"/>
              </w:rPr>
            </w:pPr>
          </w:p>
        </w:tc>
        <w:tc>
          <w:tcPr>
            <w:tcW w:w="3300" w:type="dxa"/>
            <w:vAlign w:val="bottom"/>
          </w:tcPr>
          <w:p>
            <w:pPr>
              <w:ind w:left="80"/>
              <w:spacing w:after="0"/>
              <w:rPr>
                <w:sz w:val="20"/>
                <w:szCs w:val="20"/>
                <w:color w:val="auto"/>
              </w:rPr>
            </w:pPr>
            <w:r>
              <w:rPr>
                <w:rFonts w:ascii="Arial" w:cs="Arial" w:eastAsia="Arial" w:hAnsi="Arial"/>
                <w:sz w:val="21"/>
                <w:szCs w:val="21"/>
                <w:color w:val="auto"/>
              </w:rPr>
              <w:t>Name: Bryan. D Coy</w:t>
            </w:r>
          </w:p>
        </w:tc>
      </w:tr>
      <w:tr>
        <w:trPr>
          <w:trHeight w:val="271"/>
        </w:trPr>
        <w:tc>
          <w:tcPr>
            <w:tcW w:w="1040" w:type="dxa"/>
            <w:vAlign w:val="bottom"/>
          </w:tcPr>
          <w:p>
            <w:pPr>
              <w:spacing w:after="0"/>
              <w:rPr>
                <w:sz w:val="23"/>
                <w:szCs w:val="23"/>
                <w:color w:val="auto"/>
              </w:rPr>
            </w:pPr>
          </w:p>
        </w:tc>
        <w:tc>
          <w:tcPr>
            <w:tcW w:w="3300" w:type="dxa"/>
            <w:vAlign w:val="bottom"/>
          </w:tcPr>
          <w:p>
            <w:pPr>
              <w:ind w:left="80"/>
              <w:spacing w:after="0"/>
              <w:rPr>
                <w:sz w:val="20"/>
                <w:szCs w:val="20"/>
                <w:color w:val="auto"/>
              </w:rPr>
            </w:pPr>
            <w:r>
              <w:rPr>
                <w:rFonts w:ascii="Arial" w:cs="Arial" w:eastAsia="Arial" w:hAnsi="Arial"/>
                <w:sz w:val="21"/>
                <w:szCs w:val="21"/>
                <w:color w:val="auto"/>
              </w:rPr>
              <w:t>Title: Chief Financial Officer</w:t>
            </w:r>
          </w:p>
        </w:tc>
      </w:tr>
    </w:tbl>
    <w:p>
      <w:pPr>
        <w:spacing w:after="0" w:line="200" w:lineRule="exact"/>
        <w:rPr>
          <w:sz w:val="20"/>
          <w:szCs w:val="20"/>
          <w:color w:val="auto"/>
        </w:rPr>
      </w:pPr>
    </w:p>
    <w:p>
      <w:pPr>
        <w:spacing w:after="0" w:line="279" w:lineRule="exact"/>
        <w:rPr>
          <w:sz w:val="20"/>
          <w:szCs w:val="20"/>
          <w:color w:val="auto"/>
        </w:rPr>
      </w:pPr>
    </w:p>
    <w:p>
      <w:pPr>
        <w:ind w:left="2720"/>
        <w:spacing w:after="0"/>
        <w:rPr>
          <w:sz w:val="20"/>
          <w:szCs w:val="20"/>
          <w:color w:val="auto"/>
        </w:rPr>
      </w:pPr>
      <w:r>
        <w:rPr>
          <w:rFonts w:ascii="Arial" w:cs="Arial" w:eastAsia="Arial" w:hAnsi="Arial"/>
          <w:sz w:val="21"/>
          <w:szCs w:val="21"/>
          <w:b w:val="1"/>
          <w:bCs w:val="1"/>
          <w:color w:val="auto"/>
        </w:rPr>
        <w:t>CANNAE FUNDING D, LLC,</w:t>
      </w:r>
    </w:p>
    <w:p>
      <w:pPr>
        <w:spacing w:after="0" w:line="43" w:lineRule="exact"/>
        <w:rPr>
          <w:sz w:val="20"/>
          <w:szCs w:val="20"/>
          <w:color w:val="auto"/>
        </w:rPr>
      </w:pPr>
    </w:p>
    <w:p>
      <w:pPr>
        <w:ind w:left="2720"/>
        <w:spacing w:after="0"/>
        <w:rPr>
          <w:sz w:val="20"/>
          <w:szCs w:val="20"/>
          <w:color w:val="auto"/>
        </w:rPr>
      </w:pPr>
      <w:r>
        <w:rPr>
          <w:rFonts w:ascii="Arial" w:cs="Arial" w:eastAsia="Arial" w:hAnsi="Arial"/>
          <w:sz w:val="21"/>
          <w:szCs w:val="21"/>
          <w:color w:val="auto"/>
        </w:rPr>
        <w:t>as Borrower 2</w:t>
      </w:r>
    </w:p>
    <w:p>
      <w:pPr>
        <w:spacing w:after="0" w:line="263" w:lineRule="exact"/>
        <w:rPr>
          <w:sz w:val="20"/>
          <w:szCs w:val="20"/>
          <w:color w:val="auto"/>
        </w:rPr>
      </w:pPr>
    </w:p>
    <w:tbl>
      <w:tblPr>
        <w:tblLayout w:type="fixed"/>
        <w:tblInd w:w="2720" w:type="dxa"/>
        <w:tblCellMar>
          <w:top w:w="0" w:type="dxa"/>
          <w:left w:w="0" w:type="dxa"/>
          <w:bottom w:w="0" w:type="dxa"/>
          <w:right w:w="0" w:type="dxa"/>
        </w:tblCellMar>
      </w:tblPr>
      <w:tr>
        <w:trPr>
          <w:trHeight w:val="272"/>
        </w:trPr>
        <w:tc>
          <w:tcPr>
            <w:tcW w:w="1040" w:type="dxa"/>
            <w:vAlign w:val="bottom"/>
          </w:tcPr>
          <w:p>
            <w:pPr>
              <w:spacing w:after="0"/>
              <w:rPr>
                <w:sz w:val="20"/>
                <w:szCs w:val="20"/>
                <w:color w:val="auto"/>
              </w:rPr>
            </w:pPr>
            <w:r>
              <w:rPr>
                <w:rFonts w:ascii="Arial" w:cs="Arial" w:eastAsia="Arial" w:hAnsi="Arial"/>
                <w:sz w:val="21"/>
                <w:szCs w:val="21"/>
                <w:color w:val="auto"/>
              </w:rPr>
              <w:t>By:</w:t>
            </w:r>
          </w:p>
        </w:tc>
        <w:tc>
          <w:tcPr>
            <w:tcW w:w="3300" w:type="dxa"/>
            <w:vAlign w:val="bottom"/>
            <w:tcBorders>
              <w:bottom w:val="single" w:sz="8" w:color="auto"/>
            </w:tcBorders>
          </w:tcPr>
          <w:p>
            <w:pPr>
              <w:ind w:left="80"/>
              <w:spacing w:after="0"/>
              <w:rPr>
                <w:sz w:val="20"/>
                <w:szCs w:val="20"/>
                <w:color w:val="auto"/>
              </w:rPr>
            </w:pPr>
            <w:r>
              <w:rPr>
                <w:rFonts w:ascii="Arial" w:cs="Arial" w:eastAsia="Arial" w:hAnsi="Arial"/>
                <w:sz w:val="21"/>
                <w:szCs w:val="21"/>
                <w:color w:val="auto"/>
              </w:rPr>
              <w:t>/s/ Bryan. D Coy</w:t>
            </w:r>
          </w:p>
        </w:tc>
      </w:tr>
      <w:tr>
        <w:trPr>
          <w:trHeight w:val="252"/>
        </w:trPr>
        <w:tc>
          <w:tcPr>
            <w:tcW w:w="1040" w:type="dxa"/>
            <w:vAlign w:val="bottom"/>
          </w:tcPr>
          <w:p>
            <w:pPr>
              <w:spacing w:after="0"/>
              <w:rPr>
                <w:sz w:val="21"/>
                <w:szCs w:val="21"/>
                <w:color w:val="auto"/>
              </w:rPr>
            </w:pPr>
          </w:p>
        </w:tc>
        <w:tc>
          <w:tcPr>
            <w:tcW w:w="3300" w:type="dxa"/>
            <w:vAlign w:val="bottom"/>
          </w:tcPr>
          <w:p>
            <w:pPr>
              <w:ind w:left="80"/>
              <w:spacing w:after="0"/>
              <w:rPr>
                <w:sz w:val="20"/>
                <w:szCs w:val="20"/>
                <w:color w:val="auto"/>
              </w:rPr>
            </w:pPr>
            <w:r>
              <w:rPr>
                <w:rFonts w:ascii="Arial" w:cs="Arial" w:eastAsia="Arial" w:hAnsi="Arial"/>
                <w:sz w:val="21"/>
                <w:szCs w:val="21"/>
                <w:color w:val="auto"/>
              </w:rPr>
              <w:t>Name: Bryan. D Coy</w:t>
            </w:r>
          </w:p>
        </w:tc>
      </w:tr>
      <w:tr>
        <w:trPr>
          <w:trHeight w:val="271"/>
        </w:trPr>
        <w:tc>
          <w:tcPr>
            <w:tcW w:w="1040" w:type="dxa"/>
            <w:vAlign w:val="bottom"/>
          </w:tcPr>
          <w:p>
            <w:pPr>
              <w:spacing w:after="0"/>
              <w:rPr>
                <w:sz w:val="23"/>
                <w:szCs w:val="23"/>
                <w:color w:val="auto"/>
              </w:rPr>
            </w:pPr>
          </w:p>
        </w:tc>
        <w:tc>
          <w:tcPr>
            <w:tcW w:w="3300" w:type="dxa"/>
            <w:vAlign w:val="bottom"/>
          </w:tcPr>
          <w:p>
            <w:pPr>
              <w:ind w:left="80"/>
              <w:spacing w:after="0"/>
              <w:rPr>
                <w:sz w:val="20"/>
                <w:szCs w:val="20"/>
                <w:color w:val="auto"/>
              </w:rPr>
            </w:pPr>
            <w:r>
              <w:rPr>
                <w:rFonts w:ascii="Arial" w:cs="Arial" w:eastAsia="Arial" w:hAnsi="Arial"/>
                <w:sz w:val="21"/>
                <w:szCs w:val="21"/>
                <w:color w:val="auto"/>
              </w:rPr>
              <w:t>Title: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right"/>
        <w:ind w:right="3039"/>
        <w:spacing w:after="0"/>
        <w:rPr>
          <w:sz w:val="20"/>
          <w:szCs w:val="20"/>
          <w:color w:val="auto"/>
        </w:rPr>
      </w:pPr>
      <w:r>
        <w:rPr>
          <w:rFonts w:ascii="Arial" w:cs="Arial" w:eastAsia="Arial" w:hAnsi="Arial"/>
          <w:sz w:val="19"/>
          <w:szCs w:val="19"/>
          <w:color w:val="auto"/>
        </w:rPr>
        <w:t>[Signature Page to Amendment No.5]</w:t>
      </w:r>
    </w:p>
    <w:p>
      <w:pPr>
        <w:sectPr>
          <w:pgSz w:w="11900" w:h="16838" w:orient="portrait"/>
          <w:cols w:equalWidth="0" w:num="1">
            <w:col w:w="10139"/>
          </w:cols>
          <w:pgMar w:left="320" w:top="1378" w:right="1440" w:bottom="1440" w:gutter="0" w:footer="0" w:header="0"/>
          <w:type w:val="continuous"/>
        </w:sectPr>
      </w:pPr>
    </w:p>
    <w:bookmarkStart w:id="38" w:name="page39"/>
    <w:bookmarkEnd w:id="38"/>
    <w:p>
      <w:pPr>
        <w:spacing w:after="0" w:line="200" w:lineRule="exact"/>
        <w:rPr>
          <w:sz w:val="20"/>
          <w:szCs w:val="20"/>
          <w:color w:val="auto"/>
        </w:rPr>
      </w:pPr>
    </w:p>
    <w:p>
      <w:pPr>
        <w:spacing w:after="0" w:line="277" w:lineRule="exact"/>
        <w:rPr>
          <w:sz w:val="20"/>
          <w:szCs w:val="20"/>
          <w:color w:val="auto"/>
        </w:rPr>
      </w:pPr>
    </w:p>
    <w:p>
      <w:pPr>
        <w:ind w:left="1600"/>
        <w:spacing w:after="0"/>
        <w:rPr>
          <w:sz w:val="20"/>
          <w:szCs w:val="20"/>
          <w:color w:val="auto"/>
        </w:rPr>
      </w:pPr>
      <w:r>
        <w:rPr>
          <w:rFonts w:ascii="Arial" w:cs="Arial" w:eastAsia="Arial" w:hAnsi="Arial"/>
          <w:sz w:val="21"/>
          <w:szCs w:val="21"/>
          <w:b w:val="1"/>
          <w:bCs w:val="1"/>
          <w:color w:val="auto"/>
        </w:rPr>
        <w:t>ROYAL BANK OF CANADA,</w:t>
      </w:r>
    </w:p>
    <w:p>
      <w:pPr>
        <w:spacing w:after="0" w:line="43" w:lineRule="exact"/>
        <w:rPr>
          <w:sz w:val="20"/>
          <w:szCs w:val="20"/>
          <w:color w:val="auto"/>
        </w:rPr>
      </w:pPr>
    </w:p>
    <w:p>
      <w:pPr>
        <w:ind w:left="1600"/>
        <w:spacing w:after="0"/>
        <w:rPr>
          <w:sz w:val="20"/>
          <w:szCs w:val="20"/>
          <w:color w:val="auto"/>
        </w:rPr>
      </w:pPr>
      <w:r>
        <w:rPr>
          <w:rFonts w:ascii="Arial" w:cs="Arial" w:eastAsia="Arial" w:hAnsi="Arial"/>
          <w:sz w:val="21"/>
          <w:szCs w:val="21"/>
          <w:color w:val="auto"/>
        </w:rPr>
        <w:t>as Administrative Agent</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tbl>
      <w:tblPr>
        <w:tblLayout w:type="fixed"/>
        <w:tblInd w:w="1600" w:type="dxa"/>
        <w:tblCellMar>
          <w:top w:w="0" w:type="dxa"/>
          <w:left w:w="0" w:type="dxa"/>
          <w:bottom w:w="0" w:type="dxa"/>
          <w:right w:w="0" w:type="dxa"/>
        </w:tblCellMar>
      </w:tblPr>
      <w:tr>
        <w:trPr>
          <w:trHeight w:val="272"/>
        </w:trPr>
        <w:tc>
          <w:tcPr>
            <w:tcW w:w="1040" w:type="dxa"/>
            <w:vAlign w:val="bottom"/>
          </w:tcPr>
          <w:p>
            <w:pPr>
              <w:spacing w:after="0"/>
              <w:rPr>
                <w:sz w:val="20"/>
                <w:szCs w:val="20"/>
                <w:color w:val="auto"/>
              </w:rPr>
            </w:pPr>
            <w:r>
              <w:rPr>
                <w:rFonts w:ascii="Arial" w:cs="Arial" w:eastAsia="Arial" w:hAnsi="Arial"/>
                <w:sz w:val="21"/>
                <w:szCs w:val="21"/>
                <w:color w:val="auto"/>
              </w:rPr>
              <w:t>By:</w:t>
            </w:r>
          </w:p>
        </w:tc>
        <w:tc>
          <w:tcPr>
            <w:tcW w:w="3300" w:type="dxa"/>
            <w:vAlign w:val="bottom"/>
            <w:tcBorders>
              <w:bottom w:val="single" w:sz="8" w:color="auto"/>
            </w:tcBorders>
          </w:tcPr>
          <w:p>
            <w:pPr>
              <w:ind w:left="80"/>
              <w:spacing w:after="0"/>
              <w:rPr>
                <w:sz w:val="20"/>
                <w:szCs w:val="20"/>
                <w:color w:val="auto"/>
              </w:rPr>
            </w:pPr>
            <w:r>
              <w:rPr>
                <w:rFonts w:ascii="Arial" w:cs="Arial" w:eastAsia="Arial" w:hAnsi="Arial"/>
                <w:sz w:val="21"/>
                <w:szCs w:val="21"/>
                <w:color w:val="auto"/>
              </w:rPr>
              <w:t>/s/ Annie Lee</w:t>
            </w:r>
          </w:p>
        </w:tc>
      </w:tr>
      <w:tr>
        <w:trPr>
          <w:trHeight w:val="252"/>
        </w:trPr>
        <w:tc>
          <w:tcPr>
            <w:tcW w:w="1040" w:type="dxa"/>
            <w:vAlign w:val="bottom"/>
          </w:tcPr>
          <w:p>
            <w:pPr>
              <w:spacing w:after="0"/>
              <w:rPr>
                <w:sz w:val="21"/>
                <w:szCs w:val="21"/>
                <w:color w:val="auto"/>
              </w:rPr>
            </w:pPr>
          </w:p>
        </w:tc>
        <w:tc>
          <w:tcPr>
            <w:tcW w:w="3300" w:type="dxa"/>
            <w:vAlign w:val="bottom"/>
          </w:tcPr>
          <w:p>
            <w:pPr>
              <w:ind w:left="80"/>
              <w:spacing w:after="0"/>
              <w:rPr>
                <w:sz w:val="20"/>
                <w:szCs w:val="20"/>
                <w:color w:val="auto"/>
              </w:rPr>
            </w:pPr>
            <w:r>
              <w:rPr>
                <w:rFonts w:ascii="Arial" w:cs="Arial" w:eastAsia="Arial" w:hAnsi="Arial"/>
                <w:sz w:val="21"/>
                <w:szCs w:val="21"/>
                <w:color w:val="auto"/>
              </w:rPr>
              <w:t>Name: Annie Lee</w:t>
            </w:r>
          </w:p>
        </w:tc>
      </w:tr>
      <w:tr>
        <w:trPr>
          <w:trHeight w:val="271"/>
        </w:trPr>
        <w:tc>
          <w:tcPr>
            <w:tcW w:w="1040" w:type="dxa"/>
            <w:vAlign w:val="bottom"/>
          </w:tcPr>
          <w:p>
            <w:pPr>
              <w:spacing w:after="0"/>
              <w:rPr>
                <w:sz w:val="23"/>
                <w:szCs w:val="23"/>
                <w:color w:val="auto"/>
              </w:rPr>
            </w:pPr>
          </w:p>
        </w:tc>
        <w:tc>
          <w:tcPr>
            <w:tcW w:w="3300" w:type="dxa"/>
            <w:vAlign w:val="bottom"/>
          </w:tcPr>
          <w:p>
            <w:pPr>
              <w:ind w:left="80"/>
              <w:spacing w:after="0"/>
              <w:rPr>
                <w:sz w:val="20"/>
                <w:szCs w:val="20"/>
                <w:color w:val="auto"/>
              </w:rPr>
            </w:pPr>
            <w:r>
              <w:rPr>
                <w:rFonts w:ascii="Arial" w:cs="Arial" w:eastAsia="Arial" w:hAnsi="Arial"/>
                <w:sz w:val="21"/>
                <w:szCs w:val="21"/>
                <w:color w:val="auto"/>
              </w:rPr>
              <w:t>Title: Manager, Agency Services</w:t>
            </w:r>
          </w:p>
        </w:tc>
      </w:tr>
    </w:tbl>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600"/>
        <w:spacing w:after="0"/>
        <w:rPr>
          <w:sz w:val="20"/>
          <w:szCs w:val="20"/>
          <w:color w:val="auto"/>
        </w:rPr>
      </w:pPr>
      <w:r>
        <w:rPr>
          <w:rFonts w:ascii="Arial" w:cs="Arial" w:eastAsia="Arial" w:hAnsi="Arial"/>
          <w:sz w:val="21"/>
          <w:szCs w:val="21"/>
          <w:b w:val="1"/>
          <w:bCs w:val="1"/>
          <w:color w:val="auto"/>
        </w:rPr>
        <w:t>ROYAL BANK OF CANADA,</w:t>
      </w:r>
    </w:p>
    <w:p>
      <w:pPr>
        <w:spacing w:after="0" w:line="43" w:lineRule="exact"/>
        <w:rPr>
          <w:sz w:val="20"/>
          <w:szCs w:val="20"/>
          <w:color w:val="auto"/>
        </w:rPr>
      </w:pPr>
    </w:p>
    <w:p>
      <w:pPr>
        <w:ind w:left="1600"/>
        <w:spacing w:after="0"/>
        <w:rPr>
          <w:sz w:val="20"/>
          <w:szCs w:val="20"/>
          <w:color w:val="auto"/>
        </w:rPr>
      </w:pPr>
      <w:r>
        <w:rPr>
          <w:rFonts w:ascii="Arial" w:cs="Arial" w:eastAsia="Arial" w:hAnsi="Arial"/>
          <w:sz w:val="21"/>
          <w:szCs w:val="21"/>
          <w:color w:val="auto"/>
        </w:rPr>
        <w:t>as Calculation Agent</w:t>
      </w:r>
    </w:p>
    <w:p>
      <w:pPr>
        <w:spacing w:after="0" w:line="263" w:lineRule="exact"/>
        <w:rPr>
          <w:sz w:val="20"/>
          <w:szCs w:val="20"/>
          <w:color w:val="auto"/>
        </w:rPr>
      </w:pPr>
    </w:p>
    <w:tbl>
      <w:tblPr>
        <w:tblLayout w:type="fixed"/>
        <w:tblInd w:w="1600" w:type="dxa"/>
        <w:tblCellMar>
          <w:top w:w="0" w:type="dxa"/>
          <w:left w:w="0" w:type="dxa"/>
          <w:bottom w:w="0" w:type="dxa"/>
          <w:right w:w="0" w:type="dxa"/>
        </w:tblCellMar>
      </w:tblPr>
      <w:tr>
        <w:trPr>
          <w:trHeight w:val="272"/>
        </w:trPr>
        <w:tc>
          <w:tcPr>
            <w:tcW w:w="1040" w:type="dxa"/>
            <w:vAlign w:val="bottom"/>
          </w:tcPr>
          <w:p>
            <w:pPr>
              <w:spacing w:after="0"/>
              <w:rPr>
                <w:sz w:val="20"/>
                <w:szCs w:val="20"/>
                <w:color w:val="auto"/>
              </w:rPr>
            </w:pPr>
            <w:r>
              <w:rPr>
                <w:rFonts w:ascii="Arial" w:cs="Arial" w:eastAsia="Arial" w:hAnsi="Arial"/>
                <w:sz w:val="21"/>
                <w:szCs w:val="21"/>
                <w:color w:val="auto"/>
              </w:rPr>
              <w:t>By:</w:t>
            </w:r>
          </w:p>
        </w:tc>
        <w:tc>
          <w:tcPr>
            <w:tcW w:w="3300" w:type="dxa"/>
            <w:vAlign w:val="bottom"/>
            <w:tcBorders>
              <w:bottom w:val="single" w:sz="8" w:color="auto"/>
            </w:tcBorders>
          </w:tcPr>
          <w:p>
            <w:pPr>
              <w:ind w:left="80"/>
              <w:spacing w:after="0"/>
              <w:rPr>
                <w:sz w:val="20"/>
                <w:szCs w:val="20"/>
                <w:color w:val="auto"/>
              </w:rPr>
            </w:pPr>
            <w:r>
              <w:rPr>
                <w:rFonts w:ascii="Arial" w:cs="Arial" w:eastAsia="Arial" w:hAnsi="Arial"/>
                <w:sz w:val="21"/>
                <w:szCs w:val="21"/>
                <w:color w:val="auto"/>
              </w:rPr>
              <w:t>/s/ Brian Ward</w:t>
            </w:r>
          </w:p>
        </w:tc>
      </w:tr>
      <w:tr>
        <w:trPr>
          <w:trHeight w:val="252"/>
        </w:trPr>
        <w:tc>
          <w:tcPr>
            <w:tcW w:w="1040" w:type="dxa"/>
            <w:vAlign w:val="bottom"/>
          </w:tcPr>
          <w:p>
            <w:pPr>
              <w:spacing w:after="0"/>
              <w:rPr>
                <w:sz w:val="21"/>
                <w:szCs w:val="21"/>
                <w:color w:val="auto"/>
              </w:rPr>
            </w:pPr>
          </w:p>
        </w:tc>
        <w:tc>
          <w:tcPr>
            <w:tcW w:w="3300" w:type="dxa"/>
            <w:vAlign w:val="bottom"/>
          </w:tcPr>
          <w:p>
            <w:pPr>
              <w:ind w:left="80"/>
              <w:spacing w:after="0"/>
              <w:rPr>
                <w:sz w:val="20"/>
                <w:szCs w:val="20"/>
                <w:color w:val="auto"/>
              </w:rPr>
            </w:pPr>
            <w:r>
              <w:rPr>
                <w:rFonts w:ascii="Arial" w:cs="Arial" w:eastAsia="Arial" w:hAnsi="Arial"/>
                <w:sz w:val="21"/>
                <w:szCs w:val="21"/>
                <w:color w:val="auto"/>
              </w:rPr>
              <w:t>Name: Brian Ward</w:t>
            </w:r>
          </w:p>
        </w:tc>
      </w:tr>
      <w:tr>
        <w:trPr>
          <w:trHeight w:val="271"/>
        </w:trPr>
        <w:tc>
          <w:tcPr>
            <w:tcW w:w="1040" w:type="dxa"/>
            <w:vAlign w:val="bottom"/>
          </w:tcPr>
          <w:p>
            <w:pPr>
              <w:spacing w:after="0"/>
              <w:rPr>
                <w:sz w:val="23"/>
                <w:szCs w:val="23"/>
                <w:color w:val="auto"/>
              </w:rPr>
            </w:pPr>
          </w:p>
        </w:tc>
        <w:tc>
          <w:tcPr>
            <w:tcW w:w="3300" w:type="dxa"/>
            <w:vAlign w:val="bottom"/>
          </w:tcPr>
          <w:p>
            <w:pPr>
              <w:ind w:left="80"/>
              <w:spacing w:after="0"/>
              <w:rPr>
                <w:sz w:val="20"/>
                <w:szCs w:val="20"/>
                <w:color w:val="auto"/>
              </w:rPr>
            </w:pPr>
            <w:r>
              <w:rPr>
                <w:rFonts w:ascii="Arial" w:cs="Arial" w:eastAsia="Arial" w:hAnsi="Arial"/>
                <w:sz w:val="21"/>
                <w:szCs w:val="21"/>
                <w:color w:val="auto"/>
              </w:rPr>
              <w:t>Title: Authorized Signatory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1600"/>
        <w:spacing w:after="0"/>
        <w:rPr>
          <w:sz w:val="20"/>
          <w:szCs w:val="20"/>
          <w:color w:val="auto"/>
        </w:rPr>
      </w:pPr>
      <w:r>
        <w:rPr>
          <w:rFonts w:ascii="Arial" w:cs="Arial" w:eastAsia="Arial" w:hAnsi="Arial"/>
          <w:sz w:val="21"/>
          <w:szCs w:val="21"/>
          <w:b w:val="1"/>
          <w:bCs w:val="1"/>
          <w:color w:val="auto"/>
        </w:rPr>
        <w:t>ROYAL BANK OF CANADA,</w:t>
      </w:r>
    </w:p>
    <w:p>
      <w:pPr>
        <w:spacing w:after="0" w:line="56" w:lineRule="exact"/>
        <w:rPr>
          <w:sz w:val="20"/>
          <w:szCs w:val="20"/>
          <w:color w:val="auto"/>
        </w:rPr>
      </w:pPr>
    </w:p>
    <w:p>
      <w:pPr>
        <w:ind w:left="1600"/>
        <w:spacing w:after="0"/>
        <w:rPr>
          <w:sz w:val="20"/>
          <w:szCs w:val="20"/>
          <w:color w:val="auto"/>
        </w:rPr>
      </w:pPr>
      <w:r>
        <w:rPr>
          <w:rFonts w:ascii="Arial" w:cs="Arial" w:eastAsia="Arial" w:hAnsi="Arial"/>
          <w:sz w:val="21"/>
          <w:szCs w:val="21"/>
          <w:color w:val="auto"/>
        </w:rPr>
        <w:t>as Lender</w:t>
      </w:r>
    </w:p>
    <w:p>
      <w:pPr>
        <w:spacing w:after="0" w:line="263" w:lineRule="exact"/>
        <w:rPr>
          <w:sz w:val="20"/>
          <w:szCs w:val="20"/>
          <w:color w:val="auto"/>
        </w:rPr>
      </w:pPr>
    </w:p>
    <w:tbl>
      <w:tblPr>
        <w:tblLayout w:type="fixed"/>
        <w:tblInd w:w="1600" w:type="dxa"/>
        <w:tblCellMar>
          <w:top w:w="0" w:type="dxa"/>
          <w:left w:w="0" w:type="dxa"/>
          <w:bottom w:w="0" w:type="dxa"/>
          <w:right w:w="0" w:type="dxa"/>
        </w:tblCellMar>
      </w:tblPr>
      <w:tr>
        <w:trPr>
          <w:trHeight w:val="272"/>
        </w:trPr>
        <w:tc>
          <w:tcPr>
            <w:tcW w:w="1040" w:type="dxa"/>
            <w:vAlign w:val="bottom"/>
          </w:tcPr>
          <w:p>
            <w:pPr>
              <w:spacing w:after="0"/>
              <w:rPr>
                <w:sz w:val="20"/>
                <w:szCs w:val="20"/>
                <w:color w:val="auto"/>
              </w:rPr>
            </w:pPr>
            <w:r>
              <w:rPr>
                <w:rFonts w:ascii="Arial" w:cs="Arial" w:eastAsia="Arial" w:hAnsi="Arial"/>
                <w:sz w:val="21"/>
                <w:szCs w:val="21"/>
                <w:color w:val="auto"/>
              </w:rPr>
              <w:t>By:</w:t>
            </w:r>
          </w:p>
        </w:tc>
        <w:tc>
          <w:tcPr>
            <w:tcW w:w="3300" w:type="dxa"/>
            <w:vAlign w:val="bottom"/>
            <w:tcBorders>
              <w:bottom w:val="single" w:sz="8" w:color="auto"/>
            </w:tcBorders>
          </w:tcPr>
          <w:p>
            <w:pPr>
              <w:ind w:left="80"/>
              <w:spacing w:after="0"/>
              <w:rPr>
                <w:sz w:val="20"/>
                <w:szCs w:val="20"/>
                <w:color w:val="auto"/>
              </w:rPr>
            </w:pPr>
            <w:r>
              <w:rPr>
                <w:rFonts w:ascii="Arial" w:cs="Arial" w:eastAsia="Arial" w:hAnsi="Arial"/>
                <w:sz w:val="21"/>
                <w:szCs w:val="21"/>
                <w:color w:val="auto"/>
              </w:rPr>
              <w:t>/s/ Glenn Van Allen</w:t>
            </w:r>
          </w:p>
        </w:tc>
      </w:tr>
      <w:tr>
        <w:trPr>
          <w:trHeight w:val="252"/>
        </w:trPr>
        <w:tc>
          <w:tcPr>
            <w:tcW w:w="1040" w:type="dxa"/>
            <w:vAlign w:val="bottom"/>
          </w:tcPr>
          <w:p>
            <w:pPr>
              <w:spacing w:after="0"/>
              <w:rPr>
                <w:sz w:val="21"/>
                <w:szCs w:val="21"/>
                <w:color w:val="auto"/>
              </w:rPr>
            </w:pPr>
          </w:p>
        </w:tc>
        <w:tc>
          <w:tcPr>
            <w:tcW w:w="3300" w:type="dxa"/>
            <w:vAlign w:val="bottom"/>
          </w:tcPr>
          <w:p>
            <w:pPr>
              <w:ind w:left="80"/>
              <w:spacing w:after="0"/>
              <w:rPr>
                <w:sz w:val="20"/>
                <w:szCs w:val="20"/>
                <w:color w:val="auto"/>
              </w:rPr>
            </w:pPr>
            <w:r>
              <w:rPr>
                <w:rFonts w:ascii="Arial" w:cs="Arial" w:eastAsia="Arial" w:hAnsi="Arial"/>
                <w:sz w:val="21"/>
                <w:szCs w:val="21"/>
                <w:color w:val="auto"/>
              </w:rPr>
              <w:t>Name: Glenn Van Allen</w:t>
            </w:r>
          </w:p>
        </w:tc>
      </w:tr>
      <w:tr>
        <w:trPr>
          <w:trHeight w:val="271"/>
        </w:trPr>
        <w:tc>
          <w:tcPr>
            <w:tcW w:w="1040" w:type="dxa"/>
            <w:vAlign w:val="bottom"/>
          </w:tcPr>
          <w:p>
            <w:pPr>
              <w:spacing w:after="0"/>
              <w:rPr>
                <w:sz w:val="23"/>
                <w:szCs w:val="23"/>
                <w:color w:val="auto"/>
              </w:rPr>
            </w:pPr>
          </w:p>
        </w:tc>
        <w:tc>
          <w:tcPr>
            <w:tcW w:w="3300" w:type="dxa"/>
            <w:vAlign w:val="bottom"/>
          </w:tcPr>
          <w:p>
            <w:pPr>
              <w:ind w:left="80"/>
              <w:spacing w:after="0"/>
              <w:rPr>
                <w:sz w:val="20"/>
                <w:szCs w:val="20"/>
                <w:color w:val="auto"/>
              </w:rPr>
            </w:pPr>
            <w:r>
              <w:rPr>
                <w:rFonts w:ascii="Arial" w:cs="Arial" w:eastAsia="Arial" w:hAnsi="Arial"/>
                <w:sz w:val="21"/>
                <w:szCs w:val="21"/>
                <w:color w:val="auto"/>
              </w:rPr>
              <w:t>Title: Authorized Signatory</w:t>
            </w:r>
          </w:p>
        </w:tc>
      </w:tr>
    </w:tbl>
    <w:p>
      <w:pPr>
        <w:spacing w:after="0" w:line="200" w:lineRule="exact"/>
        <w:rPr>
          <w:sz w:val="20"/>
          <w:szCs w:val="20"/>
          <w:color w:val="auto"/>
        </w:rPr>
      </w:pP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[Signature Page to Amendment No.5]</w:t>
      </w:r>
    </w:p>
    <w:p>
      <w:pPr>
        <w:sectPr>
          <w:pgSz w:w="11900" w:h="16838" w:orient="portrait"/>
          <w:cols w:equalWidth="0" w:num="1">
            <w:col w:w="9019"/>
          </w:cols>
          <w:pgMar w:left="1440" w:top="1440" w:right="1440" w:bottom="1440" w:gutter="0" w:footer="0" w:header="0"/>
          <w:type w:val="continuous"/>
        </w:sectPr>
      </w:pPr>
    </w:p>
    <w:bookmarkStart w:id="39" w:name="page40"/>
    <w:bookmarkEnd w:id="39"/>
    <w:p>
      <w:pPr>
        <w:ind w:left="10320"/>
        <w:spacing w:after="0"/>
        <w:rPr>
          <w:sz w:val="20"/>
          <w:szCs w:val="20"/>
          <w:color w:val="auto"/>
        </w:rPr>
      </w:pPr>
      <w:r>
        <w:rPr>
          <w:rFonts w:ascii="Arial" w:cs="Arial" w:eastAsia="Arial" w:hAnsi="Arial"/>
          <w:sz w:val="15"/>
          <w:szCs w:val="15"/>
          <w:b w:val="1"/>
          <w:bCs w:val="1"/>
          <w:color w:val="auto"/>
        </w:rPr>
        <w:t>Exhibit 31.1</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I, Richard N. Massey, certify that:</w:t>
      </w:r>
    </w:p>
    <w:p>
      <w:pPr>
        <w:spacing w:after="0" w:line="164" w:lineRule="exact"/>
        <w:rPr>
          <w:sz w:val="20"/>
          <w:szCs w:val="20"/>
          <w:color w:val="auto"/>
        </w:rPr>
      </w:pPr>
    </w:p>
    <w:p>
      <w:pPr>
        <w:ind w:left="180" w:hanging="174"/>
        <w:spacing w:after="0"/>
        <w:tabs>
          <w:tab w:leader="none" w:pos="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Cannae Holdings, Inc.;</w:t>
      </w:r>
    </w:p>
    <w:p>
      <w:pPr>
        <w:spacing w:after="0" w:line="164" w:lineRule="exact"/>
        <w:rPr>
          <w:rFonts w:ascii="Arial" w:cs="Arial" w:eastAsia="Arial" w:hAnsi="Arial"/>
          <w:sz w:val="18"/>
          <w:szCs w:val="18"/>
          <w:color w:val="auto"/>
        </w:rPr>
      </w:pPr>
    </w:p>
    <w:p>
      <w:pPr>
        <w:ind w:firstLine="6"/>
        <w:spacing w:after="0" w:line="366" w:lineRule="auto"/>
        <w:tabs>
          <w:tab w:leader="none" w:pos="205" w:val="left"/>
        </w:tabs>
        <w:numPr>
          <w:ilvl w:val="0"/>
          <w:numId w:val="2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7" w:lineRule="exact"/>
        <w:rPr>
          <w:rFonts w:ascii="Arial" w:cs="Arial" w:eastAsia="Arial" w:hAnsi="Arial"/>
          <w:sz w:val="15"/>
          <w:szCs w:val="15"/>
          <w:color w:val="auto"/>
        </w:rPr>
      </w:pPr>
    </w:p>
    <w:p>
      <w:pPr>
        <w:ind w:firstLine="6"/>
        <w:spacing w:after="0" w:line="265" w:lineRule="auto"/>
        <w:tabs>
          <w:tab w:leader="none" w:pos="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6" w:lineRule="exact"/>
        <w:rPr>
          <w:rFonts w:ascii="Arial" w:cs="Arial" w:eastAsia="Arial" w:hAnsi="Arial"/>
          <w:sz w:val="18"/>
          <w:szCs w:val="18"/>
          <w:color w:val="auto"/>
        </w:rPr>
      </w:pPr>
    </w:p>
    <w:p>
      <w:pPr>
        <w:jc w:val="both"/>
        <w:ind w:firstLine="6"/>
        <w:spacing w:after="0" w:line="255" w:lineRule="auto"/>
        <w:tabs>
          <w:tab w:leader="none" w:pos="18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6" w:lineRule="exact"/>
        <w:rPr>
          <w:rFonts w:ascii="Arial" w:cs="Arial" w:eastAsia="Arial" w:hAnsi="Arial"/>
          <w:sz w:val="18"/>
          <w:szCs w:val="18"/>
          <w:color w:val="auto"/>
        </w:rPr>
      </w:pPr>
    </w:p>
    <w:p>
      <w:pPr>
        <w:jc w:val="both"/>
        <w:ind w:left="1440" w:hanging="956"/>
        <w:spacing w:after="0" w:line="255" w:lineRule="auto"/>
        <w:tabs>
          <w:tab w:leader="none" w:pos="144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5" w:lineRule="exact"/>
        <w:rPr>
          <w:rFonts w:ascii="Arial" w:cs="Arial" w:eastAsia="Arial" w:hAnsi="Arial"/>
          <w:sz w:val="18"/>
          <w:szCs w:val="18"/>
          <w:color w:val="auto"/>
        </w:rPr>
      </w:pPr>
    </w:p>
    <w:p>
      <w:pPr>
        <w:jc w:val="both"/>
        <w:ind w:left="1440" w:hanging="956"/>
        <w:spacing w:after="0" w:line="255" w:lineRule="auto"/>
        <w:tabs>
          <w:tab w:leader="none" w:pos="144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5" w:lineRule="exact"/>
        <w:rPr>
          <w:rFonts w:ascii="Arial" w:cs="Arial" w:eastAsia="Arial" w:hAnsi="Arial"/>
          <w:sz w:val="18"/>
          <w:szCs w:val="18"/>
          <w:color w:val="auto"/>
        </w:rPr>
      </w:pPr>
    </w:p>
    <w:p>
      <w:pPr>
        <w:ind w:left="1440" w:hanging="956"/>
        <w:spacing w:after="0" w:line="366" w:lineRule="auto"/>
        <w:tabs>
          <w:tab w:leader="none" w:pos="1440" w:val="left"/>
        </w:tabs>
        <w:numPr>
          <w:ilvl w:val="1"/>
          <w:numId w:val="20"/>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7" w:lineRule="exact"/>
        <w:rPr>
          <w:rFonts w:ascii="Arial" w:cs="Arial" w:eastAsia="Arial" w:hAnsi="Arial"/>
          <w:sz w:val="15"/>
          <w:szCs w:val="15"/>
          <w:color w:val="auto"/>
        </w:rPr>
      </w:pPr>
    </w:p>
    <w:p>
      <w:pPr>
        <w:jc w:val="both"/>
        <w:ind w:left="1440" w:hanging="956"/>
        <w:spacing w:after="0" w:line="255" w:lineRule="auto"/>
        <w:tabs>
          <w:tab w:leader="none" w:pos="144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5" w:lineRule="exact"/>
        <w:rPr>
          <w:rFonts w:ascii="Arial" w:cs="Arial" w:eastAsia="Arial" w:hAnsi="Arial"/>
          <w:sz w:val="18"/>
          <w:szCs w:val="18"/>
          <w:color w:val="auto"/>
        </w:rPr>
      </w:pPr>
    </w:p>
    <w:p>
      <w:pPr>
        <w:ind w:firstLine="6"/>
        <w:spacing w:after="0" w:line="295" w:lineRule="auto"/>
        <w:tabs>
          <w:tab w:leader="none" w:pos="203"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03" w:lineRule="exact"/>
        <w:rPr>
          <w:rFonts w:ascii="Arial" w:cs="Arial" w:eastAsia="Arial" w:hAnsi="Arial"/>
          <w:sz w:val="17"/>
          <w:szCs w:val="17"/>
          <w:color w:val="auto"/>
        </w:rPr>
      </w:pPr>
    </w:p>
    <w:p>
      <w:pPr>
        <w:ind w:left="1440" w:hanging="956"/>
        <w:spacing w:after="0" w:line="295" w:lineRule="auto"/>
        <w:tabs>
          <w:tab w:leader="none" w:pos="1440" w:val="left"/>
        </w:tabs>
        <w:numPr>
          <w:ilvl w:val="1"/>
          <w:numId w:val="2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2" w:lineRule="exact"/>
        <w:rPr>
          <w:rFonts w:ascii="Arial" w:cs="Arial" w:eastAsia="Arial" w:hAnsi="Arial"/>
          <w:sz w:val="17"/>
          <w:szCs w:val="17"/>
          <w:color w:val="auto"/>
        </w:rPr>
      </w:pPr>
    </w:p>
    <w:p>
      <w:pPr>
        <w:ind w:left="1440" w:hanging="956"/>
        <w:spacing w:after="0" w:line="265" w:lineRule="auto"/>
        <w:tabs>
          <w:tab w:leader="none" w:pos="144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Date: August 9, 2023</w:t>
      </w:r>
    </w:p>
    <w:p>
      <w:pPr>
        <w:spacing w:after="0" w:line="45" w:lineRule="exact"/>
        <w:rPr>
          <w:sz w:val="20"/>
          <w:szCs w:val="20"/>
          <w:color w:val="auto"/>
        </w:rPr>
      </w:pPr>
    </w:p>
    <w:p>
      <w:pPr>
        <w:ind w:left="20"/>
        <w:spacing w:after="0"/>
        <w:tabs>
          <w:tab w:leader="none" w:pos="1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Richard N. Massey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736600</wp:posOffset>
            </wp:positionH>
            <wp:positionV relativeFrom="paragraph">
              <wp:posOffset>11430</wp:posOffset>
            </wp:positionV>
            <wp:extent cx="347027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70275" cy="8255"/>
                    </a:xfrm>
                    <a:prstGeom prst="rect">
                      <a:avLst/>
                    </a:prstGeom>
                    <a:noFill/>
                  </pic:spPr>
                </pic:pic>
              </a:graphicData>
            </a:graphic>
          </wp:anchor>
        </w:drawing>
      </w:r>
    </w:p>
    <w:p>
      <w:pPr>
        <w:spacing w:after="0" w:line="5"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Richard N. Massey</w:t>
      </w:r>
    </w:p>
    <w:p>
      <w:pPr>
        <w:ind w:left="1180"/>
        <w:spacing w:after="0"/>
        <w:rPr>
          <w:sz w:val="20"/>
          <w:szCs w:val="20"/>
          <w:color w:val="auto"/>
        </w:rPr>
      </w:pPr>
      <w:r>
        <w:rPr>
          <w:rFonts w:ascii="Arial" w:cs="Arial" w:eastAsia="Arial" w:hAnsi="Arial"/>
          <w:sz w:val="18"/>
          <w:szCs w:val="18"/>
          <w:color w:val="auto"/>
        </w:rPr>
        <w:t>Chief Executive Officer and Principal Executive Officer</w:t>
      </w:r>
    </w:p>
    <w:p>
      <w:pPr>
        <w:sectPr>
          <w:pgSz w:w="11900" w:h="16838" w:orient="portrait"/>
          <w:cols w:equalWidth="0" w:num="1">
            <w:col w:w="11240"/>
          </w:cols>
          <w:pgMar w:left="320" w:top="877" w:right="339" w:bottom="1440" w:gutter="0" w:footer="0" w:header="0"/>
        </w:sectPr>
      </w:pPr>
    </w:p>
    <w:bookmarkStart w:id="40" w:name="page41"/>
    <w:bookmarkEnd w:id="40"/>
    <w:p>
      <w:pPr>
        <w:ind w:left="10320"/>
        <w:spacing w:after="0"/>
        <w:rPr>
          <w:sz w:val="20"/>
          <w:szCs w:val="20"/>
          <w:color w:val="auto"/>
        </w:rPr>
      </w:pPr>
      <w:r>
        <w:rPr>
          <w:rFonts w:ascii="Arial" w:cs="Arial" w:eastAsia="Arial" w:hAnsi="Arial"/>
          <w:sz w:val="15"/>
          <w:szCs w:val="15"/>
          <w:b w:val="1"/>
          <w:bCs w:val="1"/>
          <w:color w:val="auto"/>
        </w:rPr>
        <w:t>Exhibit 31.2</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I, Bryan D. Coy, certify that:</w:t>
      </w:r>
    </w:p>
    <w:p>
      <w:pPr>
        <w:spacing w:after="0" w:line="164" w:lineRule="exact"/>
        <w:rPr>
          <w:sz w:val="20"/>
          <w:szCs w:val="20"/>
          <w:color w:val="auto"/>
        </w:rPr>
      </w:pPr>
    </w:p>
    <w:p>
      <w:pPr>
        <w:ind w:left="180" w:hanging="174"/>
        <w:spacing w:after="0"/>
        <w:tabs>
          <w:tab w:leader="none" w:pos="1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Cannae Holdings, Inc.;</w:t>
      </w:r>
    </w:p>
    <w:p>
      <w:pPr>
        <w:spacing w:after="0" w:line="164" w:lineRule="exact"/>
        <w:rPr>
          <w:rFonts w:ascii="Arial" w:cs="Arial" w:eastAsia="Arial" w:hAnsi="Arial"/>
          <w:sz w:val="18"/>
          <w:szCs w:val="18"/>
          <w:color w:val="auto"/>
        </w:rPr>
      </w:pPr>
    </w:p>
    <w:p>
      <w:pPr>
        <w:ind w:firstLine="6"/>
        <w:spacing w:after="0" w:line="366" w:lineRule="auto"/>
        <w:tabs>
          <w:tab w:leader="none" w:pos="205" w:val="left"/>
        </w:tabs>
        <w:numPr>
          <w:ilvl w:val="0"/>
          <w:numId w:val="2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7" w:lineRule="exact"/>
        <w:rPr>
          <w:rFonts w:ascii="Arial" w:cs="Arial" w:eastAsia="Arial" w:hAnsi="Arial"/>
          <w:sz w:val="15"/>
          <w:szCs w:val="15"/>
          <w:color w:val="auto"/>
        </w:rPr>
      </w:pPr>
    </w:p>
    <w:p>
      <w:pPr>
        <w:ind w:firstLine="6"/>
        <w:spacing w:after="0" w:line="265" w:lineRule="auto"/>
        <w:tabs>
          <w:tab w:leader="none" w:pos="1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6" w:lineRule="exact"/>
        <w:rPr>
          <w:rFonts w:ascii="Arial" w:cs="Arial" w:eastAsia="Arial" w:hAnsi="Arial"/>
          <w:sz w:val="18"/>
          <w:szCs w:val="18"/>
          <w:color w:val="auto"/>
        </w:rPr>
      </w:pPr>
    </w:p>
    <w:p>
      <w:pPr>
        <w:jc w:val="both"/>
        <w:ind w:firstLine="6"/>
        <w:spacing w:after="0" w:line="255" w:lineRule="auto"/>
        <w:tabs>
          <w:tab w:leader="none" w:pos="18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6" w:lineRule="exact"/>
        <w:rPr>
          <w:rFonts w:ascii="Arial" w:cs="Arial" w:eastAsia="Arial" w:hAnsi="Arial"/>
          <w:sz w:val="18"/>
          <w:szCs w:val="18"/>
          <w:color w:val="auto"/>
        </w:rPr>
      </w:pPr>
    </w:p>
    <w:p>
      <w:pPr>
        <w:jc w:val="both"/>
        <w:ind w:left="1440" w:hanging="956"/>
        <w:spacing w:after="0" w:line="255" w:lineRule="auto"/>
        <w:tabs>
          <w:tab w:leader="none" w:pos="144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5" w:lineRule="exact"/>
        <w:rPr>
          <w:rFonts w:ascii="Arial" w:cs="Arial" w:eastAsia="Arial" w:hAnsi="Arial"/>
          <w:sz w:val="18"/>
          <w:szCs w:val="18"/>
          <w:color w:val="auto"/>
        </w:rPr>
      </w:pPr>
    </w:p>
    <w:p>
      <w:pPr>
        <w:jc w:val="both"/>
        <w:ind w:left="1440" w:hanging="956"/>
        <w:spacing w:after="0" w:line="255" w:lineRule="auto"/>
        <w:tabs>
          <w:tab w:leader="none" w:pos="144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5" w:lineRule="exact"/>
        <w:rPr>
          <w:rFonts w:ascii="Arial" w:cs="Arial" w:eastAsia="Arial" w:hAnsi="Arial"/>
          <w:sz w:val="18"/>
          <w:szCs w:val="18"/>
          <w:color w:val="auto"/>
        </w:rPr>
      </w:pPr>
    </w:p>
    <w:p>
      <w:pPr>
        <w:ind w:left="1440" w:hanging="956"/>
        <w:spacing w:after="0" w:line="366" w:lineRule="auto"/>
        <w:tabs>
          <w:tab w:leader="none" w:pos="1440" w:val="left"/>
        </w:tabs>
        <w:numPr>
          <w:ilvl w:val="1"/>
          <w:numId w:val="21"/>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7" w:lineRule="exact"/>
        <w:rPr>
          <w:rFonts w:ascii="Arial" w:cs="Arial" w:eastAsia="Arial" w:hAnsi="Arial"/>
          <w:sz w:val="15"/>
          <w:szCs w:val="15"/>
          <w:color w:val="auto"/>
        </w:rPr>
      </w:pPr>
    </w:p>
    <w:p>
      <w:pPr>
        <w:jc w:val="both"/>
        <w:ind w:left="1440" w:hanging="956"/>
        <w:spacing w:after="0" w:line="255" w:lineRule="auto"/>
        <w:tabs>
          <w:tab w:leader="none" w:pos="144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5" w:lineRule="exact"/>
        <w:rPr>
          <w:rFonts w:ascii="Arial" w:cs="Arial" w:eastAsia="Arial" w:hAnsi="Arial"/>
          <w:sz w:val="18"/>
          <w:szCs w:val="18"/>
          <w:color w:val="auto"/>
        </w:rPr>
      </w:pPr>
    </w:p>
    <w:p>
      <w:pPr>
        <w:ind w:firstLine="6"/>
        <w:spacing w:after="0" w:line="295" w:lineRule="auto"/>
        <w:tabs>
          <w:tab w:leader="none" w:pos="203"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03" w:lineRule="exact"/>
        <w:rPr>
          <w:rFonts w:ascii="Arial" w:cs="Arial" w:eastAsia="Arial" w:hAnsi="Arial"/>
          <w:sz w:val="17"/>
          <w:szCs w:val="17"/>
          <w:color w:val="auto"/>
        </w:rPr>
      </w:pPr>
    </w:p>
    <w:p>
      <w:pPr>
        <w:ind w:left="1440" w:hanging="956"/>
        <w:spacing w:after="0" w:line="295" w:lineRule="auto"/>
        <w:tabs>
          <w:tab w:leader="none" w:pos="1440" w:val="left"/>
        </w:tabs>
        <w:numPr>
          <w:ilvl w:val="1"/>
          <w:numId w:val="2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2" w:lineRule="exact"/>
        <w:rPr>
          <w:rFonts w:ascii="Arial" w:cs="Arial" w:eastAsia="Arial" w:hAnsi="Arial"/>
          <w:sz w:val="17"/>
          <w:szCs w:val="17"/>
          <w:color w:val="auto"/>
        </w:rPr>
      </w:pPr>
    </w:p>
    <w:p>
      <w:pPr>
        <w:ind w:left="1440" w:hanging="956"/>
        <w:spacing w:after="0" w:line="265" w:lineRule="auto"/>
        <w:tabs>
          <w:tab w:leader="none" w:pos="144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Date: August 9, 2023</w:t>
      </w:r>
    </w:p>
    <w:p>
      <w:pPr>
        <w:spacing w:after="0" w:line="204" w:lineRule="exact"/>
        <w:rPr>
          <w:sz w:val="20"/>
          <w:szCs w:val="20"/>
          <w:color w:val="auto"/>
        </w:rPr>
      </w:pPr>
    </w:p>
    <w:p>
      <w:pPr>
        <w:ind w:left="20"/>
        <w:spacing w:after="0"/>
        <w:tabs>
          <w:tab w:leader="none" w:pos="1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Bryan D. Coy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736600</wp:posOffset>
            </wp:positionH>
            <wp:positionV relativeFrom="paragraph">
              <wp:posOffset>11430</wp:posOffset>
            </wp:positionV>
            <wp:extent cx="328485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284855" cy="8255"/>
                    </a:xfrm>
                    <a:prstGeom prst="rect">
                      <a:avLst/>
                    </a:prstGeom>
                    <a:noFill/>
                  </pic:spPr>
                </pic:pic>
              </a:graphicData>
            </a:graphic>
          </wp:anchor>
        </w:drawing>
      </w:r>
    </w:p>
    <w:p>
      <w:pPr>
        <w:spacing w:after="0" w:line="5"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Bryan D. Coy</w:t>
      </w:r>
    </w:p>
    <w:p>
      <w:pPr>
        <w:ind w:left="1180"/>
        <w:spacing w:after="0"/>
        <w:rPr>
          <w:sz w:val="20"/>
          <w:szCs w:val="20"/>
          <w:color w:val="auto"/>
        </w:rPr>
      </w:pPr>
      <w:r>
        <w:rPr>
          <w:rFonts w:ascii="Arial" w:cs="Arial" w:eastAsia="Arial" w:hAnsi="Arial"/>
          <w:sz w:val="18"/>
          <w:szCs w:val="18"/>
          <w:color w:val="auto"/>
        </w:rPr>
        <w:t>Chief Financial Officer and Principal Financial Officer</w:t>
      </w:r>
    </w:p>
    <w:p>
      <w:pPr>
        <w:sectPr>
          <w:pgSz w:w="11900" w:h="16838" w:orient="portrait"/>
          <w:cols w:equalWidth="0" w:num="1">
            <w:col w:w="11240"/>
          </w:cols>
          <w:pgMar w:left="320" w:top="877" w:right="339" w:bottom="1440" w:gutter="0" w:footer="0" w:header="0"/>
        </w:sectPr>
      </w:pPr>
    </w:p>
    <w:bookmarkStart w:id="41" w:name="page42"/>
    <w:bookmarkEnd w:id="41"/>
    <w:p>
      <w:pPr>
        <w:ind w:left="10320"/>
        <w:spacing w:after="0"/>
        <w:rPr>
          <w:sz w:val="20"/>
          <w:szCs w:val="20"/>
          <w:color w:val="auto"/>
        </w:rPr>
      </w:pPr>
      <w:r>
        <w:rPr>
          <w:rFonts w:ascii="Arial" w:cs="Arial" w:eastAsia="Arial" w:hAnsi="Arial"/>
          <w:sz w:val="15"/>
          <w:szCs w:val="15"/>
          <w:b w:val="1"/>
          <w:bCs w:val="1"/>
          <w:color w:val="auto"/>
        </w:rPr>
        <w:t>Exhibit 32.1</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FINANCIAL REPORTS PURSUANT TO 18 U.S.C. §1350</w:t>
      </w:r>
    </w:p>
    <w:p>
      <w:pPr>
        <w:spacing w:after="0" w:line="250" w:lineRule="exact"/>
        <w:rPr>
          <w:sz w:val="20"/>
          <w:szCs w:val="20"/>
          <w:color w:val="auto"/>
        </w:rPr>
      </w:pPr>
    </w:p>
    <w:p>
      <w:pPr>
        <w:ind w:firstLine="222"/>
        <w:spacing w:after="0" w:line="265" w:lineRule="auto"/>
        <w:rPr>
          <w:sz w:val="20"/>
          <w:szCs w:val="20"/>
          <w:color w:val="auto"/>
        </w:rPr>
      </w:pPr>
      <w:r>
        <w:rPr>
          <w:rFonts w:ascii="Arial" w:cs="Arial" w:eastAsia="Arial" w:hAnsi="Arial"/>
          <w:sz w:val="18"/>
          <w:szCs w:val="18"/>
          <w:color w:val="auto"/>
        </w:rPr>
        <w:t>The undersigned hereby certifies that he is the duly appointed and acting Principal Executive Officer of Cannae Holdings, Inc., a Delaware corporation (the “Company”), and hereby further certifies as follows.</w:t>
      </w:r>
    </w:p>
    <w:p>
      <w:pPr>
        <w:spacing w:after="0" w:line="180" w:lineRule="exact"/>
        <w:rPr>
          <w:sz w:val="20"/>
          <w:szCs w:val="20"/>
          <w:color w:val="auto"/>
        </w:rPr>
      </w:pPr>
    </w:p>
    <w:p>
      <w:pPr>
        <w:ind w:left="880" w:hanging="874"/>
        <w:spacing w:after="0" w:line="265" w:lineRule="auto"/>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periodic report containing financial statements to which this certificate is an exhibit fully complies with the requirements of Section 13(a) or 15(d) of the Securities Exchange Act of 1934.</w:t>
      </w:r>
    </w:p>
    <w:p>
      <w:pPr>
        <w:spacing w:after="0" w:line="206" w:lineRule="exact"/>
        <w:rPr>
          <w:rFonts w:ascii="Arial" w:cs="Arial" w:eastAsia="Arial" w:hAnsi="Arial"/>
          <w:sz w:val="18"/>
          <w:szCs w:val="18"/>
          <w:color w:val="auto"/>
        </w:rPr>
      </w:pPr>
    </w:p>
    <w:p>
      <w:pPr>
        <w:ind w:left="880" w:hanging="874"/>
        <w:spacing w:after="0" w:line="265" w:lineRule="auto"/>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information contained in the periodic report to which this certificate is an exhibit fairly presents, in all material respects, the financial condition and results of operations of the Company.</w:t>
      </w:r>
    </w:p>
    <w:p>
      <w:pPr>
        <w:spacing w:after="0" w:line="20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In witness whereof, the undersigned has executed and delivered this certificate as of the date set forth opposite his signature below.</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Date: August 9, 2023</w:t>
      </w:r>
    </w:p>
    <w:p>
      <w:pPr>
        <w:spacing w:after="0" w:line="257" w:lineRule="exact"/>
        <w:rPr>
          <w:sz w:val="20"/>
          <w:szCs w:val="20"/>
          <w:color w:val="auto"/>
        </w:rPr>
      </w:pPr>
    </w:p>
    <w:p>
      <w:pPr>
        <w:ind w:left="20"/>
        <w:spacing w:after="0"/>
        <w:tabs>
          <w:tab w:leader="none" w:pos="8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Richard N. Massey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560070</wp:posOffset>
            </wp:positionH>
            <wp:positionV relativeFrom="paragraph">
              <wp:posOffset>11430</wp:posOffset>
            </wp:positionV>
            <wp:extent cx="331914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319145" cy="8255"/>
                    </a:xfrm>
                    <a:prstGeom prst="rect">
                      <a:avLst/>
                    </a:prstGeom>
                    <a:noFill/>
                  </pic:spPr>
                </pic:pic>
              </a:graphicData>
            </a:graphic>
          </wp:anchor>
        </w:drawing>
      </w:r>
    </w:p>
    <w:p>
      <w:pPr>
        <w:spacing w:after="0" w:line="12" w:lineRule="exact"/>
        <w:rPr>
          <w:sz w:val="20"/>
          <w:szCs w:val="20"/>
          <w:color w:val="auto"/>
        </w:rPr>
      </w:pPr>
    </w:p>
    <w:p>
      <w:pPr>
        <w:ind w:left="900"/>
        <w:spacing w:after="0"/>
        <w:rPr>
          <w:sz w:val="20"/>
          <w:szCs w:val="20"/>
          <w:color w:val="auto"/>
        </w:rPr>
      </w:pPr>
      <w:r>
        <w:rPr>
          <w:rFonts w:ascii="Arial" w:cs="Arial" w:eastAsia="Arial" w:hAnsi="Arial"/>
          <w:sz w:val="18"/>
          <w:szCs w:val="18"/>
          <w:color w:val="auto"/>
        </w:rPr>
        <w:t>Richard N. Massey</w:t>
      </w:r>
    </w:p>
    <w:p>
      <w:pPr>
        <w:spacing w:after="0" w:line="32" w:lineRule="exact"/>
        <w:rPr>
          <w:sz w:val="20"/>
          <w:szCs w:val="20"/>
          <w:color w:val="auto"/>
        </w:rPr>
      </w:pPr>
    </w:p>
    <w:p>
      <w:pPr>
        <w:ind w:left="900"/>
        <w:spacing w:after="0"/>
        <w:rPr>
          <w:sz w:val="20"/>
          <w:szCs w:val="20"/>
          <w:color w:val="auto"/>
        </w:rPr>
      </w:pPr>
      <w:r>
        <w:rPr>
          <w:rFonts w:ascii="Arial" w:cs="Arial" w:eastAsia="Arial" w:hAnsi="Arial"/>
          <w:sz w:val="18"/>
          <w:szCs w:val="18"/>
          <w:color w:val="auto"/>
        </w:rPr>
        <w:t>Chief Executive Officer and Principal Executive Officer</w:t>
      </w:r>
    </w:p>
    <w:p>
      <w:pPr>
        <w:sectPr>
          <w:pgSz w:w="11900" w:h="16838" w:orient="portrait"/>
          <w:cols w:equalWidth="0" w:num="1">
            <w:col w:w="11240"/>
          </w:cols>
          <w:pgMar w:left="320" w:top="1116" w:right="3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32.2</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FINANCIAL REPORTS PURSUANT TO 18 U.S.C. §1350</w:t>
      </w:r>
    </w:p>
    <w:p>
      <w:pPr>
        <w:spacing w:after="0" w:line="170" w:lineRule="exact"/>
        <w:rPr>
          <w:sz w:val="20"/>
          <w:szCs w:val="20"/>
          <w:color w:val="auto"/>
        </w:rPr>
      </w:pPr>
    </w:p>
    <w:p>
      <w:pPr>
        <w:ind w:firstLine="277"/>
        <w:spacing w:after="0" w:line="265" w:lineRule="auto"/>
        <w:rPr>
          <w:sz w:val="20"/>
          <w:szCs w:val="20"/>
          <w:color w:val="auto"/>
        </w:rPr>
      </w:pPr>
      <w:r>
        <w:rPr>
          <w:rFonts w:ascii="Arial" w:cs="Arial" w:eastAsia="Arial" w:hAnsi="Arial"/>
          <w:sz w:val="18"/>
          <w:szCs w:val="18"/>
          <w:color w:val="auto"/>
        </w:rPr>
        <w:t>The undersigned hereby certifies that he is the duly appointed and acting Chief Financial Officer of Cannae Holdings, Inc., a Delaware corporation (the “Company”), and hereby further certifies as follows.</w:t>
      </w:r>
    </w:p>
    <w:p>
      <w:pPr>
        <w:spacing w:after="0" w:line="180" w:lineRule="exact"/>
        <w:rPr>
          <w:sz w:val="20"/>
          <w:szCs w:val="20"/>
          <w:color w:val="auto"/>
        </w:rPr>
      </w:pPr>
    </w:p>
    <w:p>
      <w:pPr>
        <w:ind w:left="880" w:hanging="874"/>
        <w:spacing w:after="0" w:line="265" w:lineRule="auto"/>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periodic report containing financial statements to which this certificate is an exhibit fully complies with the requirements of Section 13(a) or 15(d) of the Securities Exchange Act of 1934.</w:t>
      </w:r>
    </w:p>
    <w:p>
      <w:pPr>
        <w:spacing w:after="0" w:line="206" w:lineRule="exact"/>
        <w:rPr>
          <w:rFonts w:ascii="Arial" w:cs="Arial" w:eastAsia="Arial" w:hAnsi="Arial"/>
          <w:sz w:val="18"/>
          <w:szCs w:val="18"/>
          <w:color w:val="auto"/>
        </w:rPr>
      </w:pPr>
    </w:p>
    <w:p>
      <w:pPr>
        <w:ind w:left="880" w:hanging="874"/>
        <w:spacing w:after="0" w:line="265" w:lineRule="auto"/>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information contained in the periodic report to which this certificate is an exhibit fairly presents, in all material respects, the financial condition and results of operations of the Company.</w:t>
      </w:r>
    </w:p>
    <w:p>
      <w:pPr>
        <w:spacing w:after="0" w:line="20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In witness whereof, the undersigned has executed and delivered this certificate as of the date set forth opposite his signature below.</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Date: August 9, 2023</w:t>
      </w:r>
    </w:p>
    <w:p>
      <w:pPr>
        <w:spacing w:after="0" w:line="257" w:lineRule="exact"/>
        <w:rPr>
          <w:sz w:val="20"/>
          <w:szCs w:val="20"/>
          <w:color w:val="auto"/>
        </w:rPr>
      </w:pPr>
    </w:p>
    <w:p>
      <w:pPr>
        <w:ind w:left="60"/>
        <w:spacing w:after="0"/>
        <w:tabs>
          <w:tab w:leader="none" w:pos="8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Bryan D. Coy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517525</wp:posOffset>
            </wp:positionH>
            <wp:positionV relativeFrom="paragraph">
              <wp:posOffset>11430</wp:posOffset>
            </wp:positionV>
            <wp:extent cx="331914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319145" cy="8255"/>
                    </a:xfrm>
                    <a:prstGeom prst="rect">
                      <a:avLst/>
                    </a:prstGeom>
                    <a:noFill/>
                  </pic:spPr>
                </pic:pic>
              </a:graphicData>
            </a:graphic>
          </wp:anchor>
        </w:drawing>
      </w:r>
    </w:p>
    <w:p>
      <w:pPr>
        <w:spacing w:after="0" w:line="12" w:lineRule="exact"/>
        <w:rPr>
          <w:sz w:val="20"/>
          <w:szCs w:val="20"/>
          <w:color w:val="auto"/>
        </w:rPr>
      </w:pPr>
    </w:p>
    <w:p>
      <w:pPr>
        <w:ind w:left="820"/>
        <w:spacing w:after="0"/>
        <w:rPr>
          <w:sz w:val="20"/>
          <w:szCs w:val="20"/>
          <w:color w:val="auto"/>
        </w:rPr>
      </w:pPr>
      <w:r>
        <w:rPr>
          <w:rFonts w:ascii="Arial" w:cs="Arial" w:eastAsia="Arial" w:hAnsi="Arial"/>
          <w:sz w:val="18"/>
          <w:szCs w:val="18"/>
          <w:color w:val="auto"/>
        </w:rPr>
        <w:t>Bryan D. Coy</w:t>
      </w:r>
    </w:p>
    <w:p>
      <w:pPr>
        <w:spacing w:after="0" w:line="32" w:lineRule="exact"/>
        <w:rPr>
          <w:sz w:val="20"/>
          <w:szCs w:val="20"/>
          <w:color w:val="auto"/>
        </w:rPr>
      </w:pPr>
    </w:p>
    <w:p>
      <w:pPr>
        <w:ind w:left="820"/>
        <w:spacing w:after="0"/>
        <w:rPr>
          <w:sz w:val="20"/>
          <w:szCs w:val="20"/>
          <w:color w:val="auto"/>
        </w:rPr>
      </w:pPr>
      <w:r>
        <w:rPr>
          <w:rFonts w:ascii="Arial" w:cs="Arial" w:eastAsia="Arial" w:hAnsi="Arial"/>
          <w:sz w:val="18"/>
          <w:szCs w:val="18"/>
          <w:color w:val="auto"/>
        </w:rPr>
        <w:t>Chief Financial Officer and Principal Financial Officer</w:t>
      </w:r>
    </w:p>
    <w:sectPr>
      <w:pgSz w:w="11900" w:h="16838" w:orient="portrait"/>
      <w:cols w:equalWidth="0" w:num="1">
        <w:col w:w="11240"/>
      </w:cols>
      <w:pgMar w:left="320" w:top="87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
      <w:numFmt w:val="bullet"/>
      <w:start w:val="1"/>
    </w:lvl>
  </w:abstractNum>
  <w:abstractNum w:abstractNumId="3">
    <w:nsid w:val="109CF92E"/>
    <w:multiLevelType w:val="hybridMultilevel"/>
    <w:lvl w:ilvl="0">
      <w:lvlJc w:val="left"/>
      <w:lvlText w:val="(%1)"/>
      <w:numFmt w:val="decimal"/>
      <w:start w:val="1"/>
    </w:lvl>
  </w:abstractNum>
  <w:abstractNum w:abstractNumId="4">
    <w:nsid w:val="DED7263"/>
    <w:multiLevelType w:val="hybridMultilevel"/>
    <w:lvl w:ilvl="0">
      <w:lvlJc w:val="left"/>
      <w:lvlText w:val="&amp;"/>
      <w:numFmt w:val="bullet"/>
      <w:start w:val="1"/>
    </w:lvl>
  </w:abstractNum>
  <w:abstractNum w:abstractNumId="5">
    <w:nsid w:val="7FDCC233"/>
    <w:multiLevelType w:val="hybridMultilevel"/>
    <w:lvl w:ilvl="0">
      <w:lvlJc w:val="left"/>
      <w:lvlText w:val="(%1)"/>
      <w:numFmt w:val="decimal"/>
      <w:start w:val="2"/>
    </w:lvl>
  </w:abstractNum>
  <w:abstractNum w:abstractNumId="6">
    <w:nsid w:val="1BEFD79F"/>
    <w:multiLevelType w:val="hybridMultilevel"/>
    <w:lvl w:ilvl="0">
      <w:lvlJc w:val="left"/>
      <w:lvlText w:val="•"/>
      <w:numFmt w:val="bullet"/>
      <w:start w:val="1"/>
    </w:lvl>
  </w:abstractNum>
  <w:abstractNum w:abstractNumId="7">
    <w:nsid w:val="41A7C4C9"/>
    <w:multiLevelType w:val="hybridMultilevel"/>
    <w:lvl w:ilvl="0">
      <w:lvlJc w:val="left"/>
      <w:lvlText w:val="•"/>
      <w:numFmt w:val="bullet"/>
      <w:start w:val="1"/>
    </w:lvl>
  </w:abstractNum>
  <w:abstractNum w:abstractNumId="8">
    <w:nsid w:val="6B68079A"/>
    <w:multiLevelType w:val="hybridMultilevel"/>
    <w:lvl w:ilvl="0">
      <w:lvlJc w:val="left"/>
      <w:lvlText w:val="(%1)"/>
      <w:numFmt w:val="decimal"/>
      <w:start w:val="1"/>
    </w:lvl>
  </w:abstractNum>
  <w:abstractNum w:abstractNumId="9">
    <w:nsid w:val="4E6AFB66"/>
    <w:multiLevelType w:val="hybridMultilevel"/>
    <w:lvl w:ilvl="0">
      <w:lvlJc w:val="left"/>
      <w:lvlText w:val="*"/>
      <w:numFmt w:val="bullet"/>
      <w:start w:val="1"/>
    </w:lvl>
    <w:lvl w:ilvl="1">
      <w:lvlJc w:val="left"/>
      <w:lvlText w:val="%2"/>
      <w:numFmt w:val="decimal"/>
      <w:start w:val="104"/>
    </w:lvl>
  </w:abstractNum>
  <w:abstractNum w:abstractNumId="10">
    <w:nsid w:val="25E45D32"/>
    <w:multiLevelType w:val="hybridMultilevel"/>
    <w:lvl w:ilvl="0">
      <w:lvlJc w:val="left"/>
      <w:lvlText w:val="**"/>
      <w:numFmt w:val="bullet"/>
      <w:start w:val="1"/>
    </w:lvl>
    <w:lvl w:ilvl="1">
      <w:lvlJc w:val="left"/>
      <w:lvlText w:val="%2"/>
      <w:numFmt w:val="decimal"/>
      <w:start w:val="1"/>
    </w:lvl>
  </w:abstractNum>
  <w:abstractNum w:abstractNumId="11">
    <w:nsid w:val="519B500D"/>
    <w:multiLevelType w:val="hybridMultilevel"/>
    <w:lvl w:ilvl="0">
      <w:lvlJc w:val="left"/>
      <w:lvlText w:val="(%1)"/>
      <w:numFmt w:val="lowerLetter"/>
      <w:start w:val="1"/>
    </w:lvl>
  </w:abstractNum>
  <w:abstractNum w:abstractNumId="12">
    <w:nsid w:val="431BD7B7"/>
    <w:multiLevelType w:val="hybridMultilevel"/>
    <w:lvl w:ilvl="0">
      <w:lvlJc w:val="left"/>
      <w:lvlText w:val="(%1)"/>
      <w:numFmt w:val="lowerLetter"/>
      <w:start w:val="1"/>
    </w:lvl>
  </w:abstractNum>
  <w:abstractNum w:abstractNumId="13">
    <w:nsid w:val="3F2DBA31"/>
    <w:multiLevelType w:val="hybridMultilevel"/>
    <w:lvl w:ilvl="0">
      <w:lvlJc w:val="left"/>
      <w:lvlText w:val="(%1)"/>
      <w:numFmt w:val="lowerLetter"/>
      <w:start w:val="1"/>
    </w:lvl>
  </w:abstractNum>
  <w:abstractNum w:abstractNumId="14">
    <w:nsid w:val="7C83E458"/>
    <w:multiLevelType w:val="hybridMultilevel"/>
    <w:lvl w:ilvl="0">
      <w:lvlJc w:val="left"/>
      <w:lvlText w:val="(%1)"/>
      <w:numFmt w:val="lowerLetter"/>
      <w:start w:val="1"/>
    </w:lvl>
  </w:abstractNum>
  <w:abstractNum w:abstractNumId="15">
    <w:nsid w:val="257130A3"/>
    <w:multiLevelType w:val="hybridMultilevel"/>
    <w:lvl w:ilvl="0">
      <w:lvlJc w:val="left"/>
      <w:lvlText w:val="(%1)"/>
      <w:numFmt w:val="lowerLetter"/>
      <w:start w:val="5"/>
    </w:lvl>
  </w:abstractNum>
  <w:abstractNum w:abstractNumId="16">
    <w:nsid w:val="62BBD95A"/>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lvl w:ilvl="3">
      <w:lvlJc w:val="left"/>
      <w:lvlText w:val="%4"/>
      <w:numFmt w:val="lowerLetter"/>
      <w:start w:val="1"/>
    </w:lvl>
    <w:lvl w:ilvl="4">
      <w:lvlJc w:val="left"/>
      <w:lvlText w:val="%5"/>
      <w:numFmt w:val="lowerLetter"/>
      <w:start w:val="1"/>
    </w:lvl>
  </w:abstractNum>
  <w:abstractNum w:abstractNumId="17">
    <w:nsid w:val="436C6125"/>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1"/>
    </w:lvl>
    <w:lvl w:ilvl="3">
      <w:lvlJc w:val="left"/>
      <w:lvlText w:val="(%4)"/>
      <w:numFmt w:val="lowerLetter"/>
      <w:start w:val="3"/>
    </w:lvl>
    <w:lvl w:ilvl="4">
      <w:lvlJc w:val="left"/>
      <w:lvlText w:val="(%5)"/>
      <w:numFmt w:val="lowerLetter"/>
      <w:start w:val="4"/>
    </w:lvl>
  </w:abstractNum>
  <w:abstractNum w:abstractNumId="18">
    <w:nsid w:val="628C895D"/>
    <w:multiLevelType w:val="hybridMultilevel"/>
    <w:lvl w:ilvl="0">
      <w:lvlJc w:val="left"/>
      <w:lvlText w:val="(%1)"/>
      <w:numFmt w:val="lowerLetter"/>
      <w:start w:val="6"/>
    </w:lvl>
    <w:lvl w:ilvl="1">
      <w:lvlJc w:val="left"/>
      <w:lvlText w:val="%2"/>
      <w:numFmt w:val="lowerLetter"/>
      <w:start w:val="1"/>
    </w:lvl>
    <w:lvl w:ilvl="2">
      <w:lvlJc w:val="left"/>
      <w:lvlText w:val="%3"/>
      <w:numFmt w:val="lowerLetter"/>
      <w:start w:val="1"/>
    </w:lvl>
    <w:lvl w:ilvl="3">
      <w:lvlJc w:val="left"/>
      <w:lvlText w:val="%4"/>
      <w:numFmt w:val="lowerLetter"/>
      <w:start w:val="1"/>
    </w:lvl>
    <w:lvl w:ilvl="4">
      <w:lvlJc w:val="left"/>
      <w:lvlText w:val="%5"/>
      <w:numFmt w:val="lowerLetter"/>
      <w:start w:val="1"/>
    </w:lvl>
  </w:abstractNum>
  <w:abstractNum w:abstractNumId="19">
    <w:nsid w:val="333AB105"/>
    <w:multiLevelType w:val="hybridMultilevel"/>
    <w:lvl w:ilvl="0">
      <w:lvlJc w:val="left"/>
      <w:lvlText w:val="%1."/>
      <w:numFmt w:val="decimal"/>
      <w:start w:val="1"/>
    </w:lvl>
    <w:lvl w:ilvl="1">
      <w:lvlJc w:val="left"/>
      <w:lvlText w:val="(%2)"/>
      <w:numFmt w:val="lowerLetter"/>
      <w:start w:val="1"/>
    </w:lvl>
  </w:abstractNum>
  <w:abstractNum w:abstractNumId="20">
    <w:nsid w:val="721DA317"/>
    <w:multiLevelType w:val="hybridMultilevel"/>
    <w:lvl w:ilvl="0">
      <w:lvlJc w:val="left"/>
      <w:lvlText w:val="%1."/>
      <w:numFmt w:val="decimal"/>
      <w:start w:val="1"/>
    </w:lvl>
    <w:lvl w:ilvl="1">
      <w:lvlJc w:val="left"/>
      <w:lvlText w:val="(%2)"/>
      <w:numFmt w:val="lowerLetter"/>
      <w:start w:val="1"/>
    </w:lvl>
  </w:abstractNum>
  <w:abstractNum w:abstractNumId="21">
    <w:nsid w:val="2443A858"/>
    <w:multiLevelType w:val="hybridMultilevel"/>
    <w:lvl w:ilvl="0">
      <w:lvlJc w:val="left"/>
      <w:lvlText w:val="%1."/>
      <w:numFmt w:val="decimal"/>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2023-08-09T16:02:58Z</dcterms:created>
  <dcterms:modified xsi:type="dcterms:W3CDTF">2023-08-09T16:02:58Z</dcterms:modified>
</cp:coreProperties>
</file>