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454660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411480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ind w:left="3660" w:right="400" w:hanging="3267"/>
        <w:spacing w:after="0" w:line="407" w:lineRule="auto"/>
        <w:tabs>
          <w:tab w:leader="none" w:pos="170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4320" w:right="380" w:hanging="3927"/>
        <w:spacing w:after="0" w:line="368" w:lineRule="auto"/>
        <w:tabs>
          <w:tab w:leader="none" w:pos="17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1-38300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CANNAE HOLDINGS, INC.</w:t>
      </w:r>
    </w:p>
    <w:p>
      <w:pPr>
        <w:spacing w:after="0" w:line="45" w:lineRule="exact"/>
        <w:rPr>
          <w:sz w:val="24"/>
          <w:szCs w:val="24"/>
          <w:color w:val="auto"/>
        </w:rPr>
      </w:pPr>
    </w:p>
    <w:p>
      <w:pPr>
        <w:ind w:left="1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000" w:type="dxa"/>
            <w:vAlign w:val="bottom"/>
          </w:tcPr>
          <w:p>
            <w:pPr>
              <w:jc w:val="center"/>
              <w:ind w:left="910"/>
              <w:spacing w:after="0"/>
              <w:rPr>
                <w:sz w:val="20"/>
                <w:szCs w:val="20"/>
                <w:color w:val="auto"/>
              </w:rPr>
            </w:pPr>
            <w:r>
              <w:rPr>
                <w:rFonts w:ascii="Arial" w:cs="Arial" w:eastAsia="Arial" w:hAnsi="Arial"/>
                <w:sz w:val="18"/>
                <w:szCs w:val="18"/>
                <w:b w:val="1"/>
                <w:bCs w:val="1"/>
                <w:color w:val="auto"/>
                <w:w w:val="91"/>
              </w:rPr>
              <w:t>Delaware</w:t>
            </w:r>
          </w:p>
        </w:tc>
        <w:tc>
          <w:tcPr>
            <w:tcW w:w="780" w:type="dxa"/>
            <w:vAlign w:val="bottom"/>
          </w:tcPr>
          <w:p>
            <w:pPr>
              <w:spacing w:after="0"/>
              <w:rPr>
                <w:sz w:val="20"/>
                <w:szCs w:val="20"/>
                <w:color w:val="auto"/>
              </w:rPr>
            </w:pPr>
          </w:p>
        </w:tc>
        <w:tc>
          <w:tcPr>
            <w:tcW w:w="6100" w:type="dxa"/>
            <w:vAlign w:val="bottom"/>
            <w:gridSpan w:val="3"/>
          </w:tcPr>
          <w:p>
            <w:pPr>
              <w:jc w:val="right"/>
              <w:ind w:right="2050"/>
              <w:spacing w:after="0"/>
              <w:rPr>
                <w:sz w:val="20"/>
                <w:szCs w:val="20"/>
                <w:color w:val="auto"/>
              </w:rPr>
            </w:pPr>
            <w:r>
              <w:rPr>
                <w:rFonts w:ascii="Arial" w:cs="Arial" w:eastAsia="Arial" w:hAnsi="Arial"/>
                <w:sz w:val="18"/>
                <w:szCs w:val="18"/>
                <w:b w:val="1"/>
                <w:bCs w:val="1"/>
                <w:color w:val="auto"/>
              </w:rPr>
              <w:t>82-1273460</w:t>
            </w:r>
          </w:p>
        </w:tc>
      </w:tr>
      <w:tr>
        <w:trPr>
          <w:trHeight w:val="169"/>
        </w:trPr>
        <w:tc>
          <w:tcPr>
            <w:tcW w:w="4000" w:type="dxa"/>
            <w:vAlign w:val="bottom"/>
            <w:tcBorders>
              <w:top w:val="single" w:sz="8" w:color="auto"/>
            </w:tcBorders>
          </w:tcPr>
          <w:p>
            <w:pPr>
              <w:jc w:val="center"/>
              <w:ind w:left="910"/>
              <w:spacing w:after="0" w:line="169" w:lineRule="exact"/>
              <w:rPr>
                <w:sz w:val="20"/>
                <w:szCs w:val="20"/>
                <w:color w:val="auto"/>
              </w:rPr>
            </w:pPr>
            <w:r>
              <w:rPr>
                <w:rFonts w:ascii="Arial" w:cs="Arial" w:eastAsia="Arial" w:hAnsi="Arial"/>
                <w:sz w:val="18"/>
                <w:szCs w:val="18"/>
                <w:color w:val="auto"/>
                <w:w w:val="92"/>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(I.R.S. Employer</w:t>
            </w:r>
          </w:p>
        </w:tc>
      </w:tr>
      <w:tr>
        <w:trPr>
          <w:trHeight w:val="230"/>
        </w:trPr>
        <w:tc>
          <w:tcPr>
            <w:tcW w:w="4000" w:type="dxa"/>
            <w:vAlign w:val="bottom"/>
          </w:tcPr>
          <w:p>
            <w:pPr>
              <w:jc w:val="center"/>
              <w:ind w:left="910"/>
              <w:spacing w:after="0"/>
              <w:rPr>
                <w:sz w:val="20"/>
                <w:szCs w:val="20"/>
                <w:color w:val="auto"/>
              </w:rPr>
            </w:pPr>
            <w:r>
              <w:rPr>
                <w:rFonts w:ascii="Arial" w:cs="Arial" w:eastAsia="Arial" w:hAnsi="Arial"/>
                <w:sz w:val="18"/>
                <w:szCs w:val="18"/>
                <w:color w:val="auto"/>
                <w:w w:val="92"/>
              </w:rPr>
              <w:t>incorporation or organization)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58"/>
        </w:trPr>
        <w:tc>
          <w:tcPr>
            <w:tcW w:w="4000" w:type="dxa"/>
            <w:vAlign w:val="bottom"/>
          </w:tcPr>
          <w:p>
            <w:pPr>
              <w:ind w:left="580"/>
              <w:spacing w:after="0"/>
              <w:rPr>
                <w:sz w:val="20"/>
                <w:szCs w:val="20"/>
                <w:color w:val="auto"/>
              </w:rPr>
            </w:pPr>
            <w:r>
              <w:rPr>
                <w:rFonts w:ascii="Arial" w:cs="Arial" w:eastAsia="Arial" w:hAnsi="Arial"/>
                <w:sz w:val="18"/>
                <w:szCs w:val="18"/>
                <w:b w:val="1"/>
                <w:bCs w:val="1"/>
                <w:color w:val="auto"/>
              </w:rPr>
              <w:t>1701 Village Center Circle,  Las Vegas,</w:t>
            </w:r>
          </w:p>
        </w:tc>
        <w:tc>
          <w:tcPr>
            <w:tcW w:w="780" w:type="dxa"/>
            <w:vAlign w:val="bottom"/>
          </w:tcPr>
          <w:p>
            <w:pPr>
              <w:ind w:left="80"/>
              <w:spacing w:after="0"/>
              <w:rPr>
                <w:sz w:val="20"/>
                <w:szCs w:val="20"/>
                <w:color w:val="auto"/>
              </w:rPr>
            </w:pPr>
            <w:r>
              <w:rPr>
                <w:rFonts w:ascii="Arial" w:cs="Arial" w:eastAsia="Arial" w:hAnsi="Arial"/>
                <w:sz w:val="18"/>
                <w:szCs w:val="18"/>
                <w:b w:val="1"/>
                <w:bCs w:val="1"/>
                <w:color w:val="auto"/>
              </w:rPr>
              <w:t>Nevada</w:t>
            </w:r>
          </w:p>
        </w:tc>
        <w:tc>
          <w:tcPr>
            <w:tcW w:w="6100" w:type="dxa"/>
            <w:vAlign w:val="bottom"/>
            <w:gridSpan w:val="3"/>
          </w:tcPr>
          <w:p>
            <w:pPr>
              <w:jc w:val="right"/>
              <w:ind w:right="2250"/>
              <w:spacing w:after="0"/>
              <w:rPr>
                <w:sz w:val="20"/>
                <w:szCs w:val="20"/>
                <w:color w:val="auto"/>
              </w:rPr>
            </w:pPr>
            <w:r>
              <w:rPr>
                <w:rFonts w:ascii="Arial" w:cs="Arial" w:eastAsia="Arial" w:hAnsi="Arial"/>
                <w:sz w:val="18"/>
                <w:szCs w:val="18"/>
                <w:b w:val="1"/>
                <w:bCs w:val="1"/>
                <w:color w:val="auto"/>
              </w:rPr>
              <w:t>89134</w:t>
            </w:r>
          </w:p>
        </w:tc>
      </w:tr>
      <w:tr>
        <w:trPr>
          <w:trHeight w:val="224"/>
        </w:trPr>
        <w:tc>
          <w:tcPr>
            <w:tcW w:w="4000" w:type="dxa"/>
            <w:vAlign w:val="bottom"/>
            <w:tcBorders>
              <w:top w:val="single" w:sz="8" w:color="auto"/>
            </w:tcBorders>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23"/>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0"/>
              <w:spacing w:after="0"/>
              <w:rPr>
                <w:sz w:val="20"/>
                <w:szCs w:val="20"/>
                <w:color w:val="auto"/>
              </w:rPr>
            </w:pPr>
            <w:r>
              <w:rPr>
                <w:rFonts w:ascii="Arial" w:cs="Arial" w:eastAsia="Arial" w:hAnsi="Arial"/>
                <w:sz w:val="18"/>
                <w:szCs w:val="18"/>
                <w:b w:val="1"/>
                <w:bCs w:val="1"/>
                <w:color w:val="auto"/>
                <w:w w:val="97"/>
              </w:rPr>
              <w:t>(702) 323-7330</w:t>
            </w:r>
          </w:p>
        </w:tc>
      </w:tr>
    </w:tbl>
    <w:p>
      <w:pPr>
        <w:spacing w:after="0" w:line="4" w:lineRule="exact"/>
        <w:rPr>
          <w:sz w:val="24"/>
          <w:szCs w:val="24"/>
          <w:color w:val="auto"/>
        </w:rPr>
      </w:pPr>
    </w:p>
    <w:p>
      <w:pPr>
        <w:ind w:left="3820"/>
        <w:spacing w:after="0"/>
        <w:rPr>
          <w:sz w:val="20"/>
          <w:szCs w:val="20"/>
          <w:color w:val="auto"/>
        </w:rPr>
      </w:pPr>
      <w:r>
        <w:rPr>
          <w:rFonts w:ascii="Arial" w:cs="Arial" w:eastAsia="Arial" w:hAnsi="Arial"/>
          <w:sz w:val="11"/>
          <w:szCs w:val="11"/>
          <w:color w:val="auto"/>
        </w:rPr>
        <w:t>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720" w:type="dxa"/>
            <w:vAlign w:val="bottom"/>
            <w:gridSpan w:val="2"/>
          </w:tcPr>
          <w:p>
            <w:pPr>
              <w:jc w:val="center"/>
              <w:ind w:right="1500"/>
              <w:spacing w:after="0"/>
              <w:rPr>
                <w:sz w:val="20"/>
                <w:szCs w:val="20"/>
                <w:color w:val="auto"/>
              </w:rPr>
            </w:pPr>
            <w:r>
              <w:rPr>
                <w:rFonts w:ascii="Arial" w:cs="Arial" w:eastAsia="Arial" w:hAnsi="Arial"/>
                <w:sz w:val="16"/>
                <w:szCs w:val="16"/>
                <w:color w:val="auto"/>
                <w:w w:val="91"/>
              </w:rPr>
              <w:t>Title of Each Class</w:t>
            </w:r>
          </w:p>
        </w:tc>
        <w:tc>
          <w:tcPr>
            <w:tcW w:w="2220" w:type="dxa"/>
            <w:vAlign w:val="bottom"/>
            <w:gridSpan w:val="3"/>
          </w:tcPr>
          <w:p>
            <w:pPr>
              <w:jc w:val="center"/>
              <w:ind w:right="240"/>
              <w:spacing w:after="0"/>
              <w:rPr>
                <w:sz w:val="20"/>
                <w:szCs w:val="20"/>
                <w:color w:val="auto"/>
              </w:rPr>
            </w:pPr>
            <w:r>
              <w:rPr>
                <w:rFonts w:ascii="Arial" w:cs="Arial" w:eastAsia="Arial" w:hAnsi="Arial"/>
                <w:sz w:val="16"/>
                <w:szCs w:val="16"/>
                <w:color w:val="auto"/>
                <w:w w:val="94"/>
              </w:rPr>
              <w:t>Trading Symbol</w:t>
            </w:r>
          </w:p>
        </w:tc>
        <w:tc>
          <w:tcPr>
            <w:tcW w:w="3700" w:type="dxa"/>
            <w:vAlign w:val="bottom"/>
            <w:gridSpan w:val="2"/>
          </w:tcPr>
          <w:p>
            <w:pPr>
              <w:jc w:val="center"/>
              <w:ind w:left="599"/>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0"/>
        </w:trPr>
        <w:tc>
          <w:tcPr>
            <w:tcW w:w="374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0"/>
              </w:rPr>
              <w:t>Cannae Common Stock, $0.0001 par value</w:t>
            </w:r>
          </w:p>
        </w:tc>
        <w:tc>
          <w:tcPr>
            <w:tcW w:w="46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7"/>
              </w:rPr>
              <w:t>CNNE</w:t>
            </w:r>
          </w:p>
        </w:tc>
        <w:tc>
          <w:tcPr>
            <w:tcW w:w="68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200" w:lineRule="exact"/>
        <w:rPr>
          <w:sz w:val="24"/>
          <w:szCs w:val="24"/>
          <w:color w:val="auto"/>
        </w:rPr>
      </w:pPr>
    </w:p>
    <w:p>
      <w:pPr>
        <w:spacing w:after="0" w:line="245"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85"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570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Non-accelerated filer </w:t>
            </w:r>
            <w:r>
              <w:rPr>
                <w:rFonts w:ascii="MS PGothic" w:cs="MS PGothic" w:eastAsia="MS PGothic" w:hAnsi="MS PGothic"/>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3"/>
              </w:rPr>
              <w:t>Smaller reporting</w:t>
            </w:r>
          </w:p>
        </w:tc>
        <w:tc>
          <w:tcPr>
            <w:tcW w:w="294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5700" w:type="dxa"/>
            <w:vAlign w:val="bottom"/>
            <w:vMerge w:val="continue"/>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4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ind w:left="340" w:right="164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31, 2020 there were 91,656,245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789305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September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9"/>
        </w:trPr>
        <w:tc>
          <w:tcPr>
            <w:tcW w:w="10040" w:type="dxa"/>
            <w:vAlign w:val="bottom"/>
            <w:gridSpan w:val="5"/>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Part I: FINANCIAL INFORMATION</w:t>
              </w:r>
            </w:hyperlink>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40" w:type="dxa"/>
            <w:vAlign w:val="bottom"/>
            <w:gridSpan w:val="5"/>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Unaudited Condensed Consolidated Financial Statements</w:t>
              </w:r>
            </w:hyperlink>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9540" w:type="dxa"/>
            <w:vAlign w:val="bottom"/>
            <w:gridSpan w:val="4"/>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A. Condensed Consolidated Balance Sheets as of September 30, 2020 and December 31, 2019</w:t>
              </w:r>
            </w:hyperlink>
          </w:p>
        </w:tc>
        <w:tc>
          <w:tcPr>
            <w:tcW w:w="11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9540" w:type="dxa"/>
            <w:vAlign w:val="bottom"/>
            <w:gridSpan w:val="4"/>
          </w:tcPr>
          <w:p>
            <w:pPr>
              <w:spacing w:after="0"/>
              <w:rPr>
                <w:rFonts w:ascii="Arial" w:cs="Arial" w:eastAsia="Arial" w:hAnsi="Arial"/>
                <w:sz w:val="18"/>
                <w:szCs w:val="18"/>
                <w:u w:val="single" w:color="auto"/>
                <w:color w:val="0000FF"/>
                <w:w w:val="92"/>
              </w:rPr>
            </w:pPr>
            <w:hyperlink w:anchor="page3">
              <w:r>
                <w:rPr>
                  <w:rFonts w:ascii="Arial" w:cs="Arial" w:eastAsia="Arial" w:hAnsi="Arial"/>
                  <w:sz w:val="18"/>
                  <w:szCs w:val="18"/>
                  <w:u w:val="single" w:color="auto"/>
                  <w:color w:val="0000FF"/>
                  <w:w w:val="92"/>
                </w:rPr>
                <w:t>B. Condensed Consolidated Statements of Operations for the three and nine-month periods ended September 30, 2020 and 2019</w:t>
              </w:r>
            </w:hyperlink>
          </w:p>
        </w:tc>
        <w:tc>
          <w:tcPr>
            <w:tcW w:w="11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190"/>
        </w:trPr>
        <w:tc>
          <w:tcPr>
            <w:tcW w:w="500" w:type="dxa"/>
            <w:vAlign w:val="bottom"/>
          </w:tcPr>
          <w:p>
            <w:pPr>
              <w:spacing w:after="0"/>
              <w:rPr>
                <w:sz w:val="16"/>
                <w:szCs w:val="16"/>
                <w:color w:val="auto"/>
              </w:rPr>
            </w:pPr>
          </w:p>
        </w:tc>
        <w:tc>
          <w:tcPr>
            <w:tcW w:w="9540" w:type="dxa"/>
            <w:vAlign w:val="bottom"/>
            <w:gridSpan w:val="4"/>
          </w:tcPr>
          <w:p>
            <w:pPr>
              <w:spacing w:after="0" w:line="190"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C. Condensed Consolidated Statements of Comprehensive Earnings for the three and nine-month periods ended September 30, 2020</w:t>
              </w:r>
            </w:hyperlink>
          </w:p>
        </w:tc>
        <w:tc>
          <w:tcPr>
            <w:tcW w:w="114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156"/>
        </w:trPr>
        <w:tc>
          <w:tcPr>
            <w:tcW w:w="500" w:type="dxa"/>
            <w:vAlign w:val="bottom"/>
          </w:tcPr>
          <w:p>
            <w:pPr>
              <w:spacing w:after="0"/>
              <w:rPr>
                <w:sz w:val="13"/>
                <w:szCs w:val="13"/>
                <w:color w:val="auto"/>
              </w:rPr>
            </w:pPr>
          </w:p>
        </w:tc>
        <w:tc>
          <w:tcPr>
            <w:tcW w:w="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and 2019</w:t>
              </w:r>
            </w:hyperlink>
          </w:p>
        </w:tc>
        <w:tc>
          <w:tcPr>
            <w:tcW w:w="88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500" w:type="dxa"/>
            <w:vAlign w:val="bottom"/>
          </w:tcPr>
          <w:p>
            <w:pPr>
              <w:spacing w:after="0"/>
              <w:rPr>
                <w:sz w:val="21"/>
                <w:szCs w:val="21"/>
                <w:color w:val="auto"/>
              </w:rPr>
            </w:pPr>
          </w:p>
        </w:tc>
        <w:tc>
          <w:tcPr>
            <w:tcW w:w="9540" w:type="dxa"/>
            <w:vAlign w:val="bottom"/>
            <w:gridSpan w:val="4"/>
          </w:tcPr>
          <w:p>
            <w:pPr>
              <w:spacing w:after="0"/>
              <w:rPr>
                <w:rFonts w:ascii="Arial" w:cs="Arial" w:eastAsia="Arial" w:hAnsi="Arial"/>
                <w:sz w:val="18"/>
                <w:szCs w:val="18"/>
                <w:u w:val="single" w:color="auto"/>
                <w:color w:val="0000FF"/>
                <w:w w:val="95"/>
              </w:rPr>
            </w:pPr>
            <w:hyperlink w:anchor="page5">
              <w:r>
                <w:rPr>
                  <w:rFonts w:ascii="Arial" w:cs="Arial" w:eastAsia="Arial" w:hAnsi="Arial"/>
                  <w:sz w:val="18"/>
                  <w:szCs w:val="18"/>
                  <w:u w:val="single" w:color="auto"/>
                  <w:color w:val="0000FF"/>
                  <w:w w:val="95"/>
                </w:rPr>
                <w:t>D. Condensed Consolidated Statements of Equity for the three and nine-month periods ended September 30, 2020 and 2019</w:t>
              </w:r>
            </w:hyperlink>
          </w:p>
        </w:tc>
        <w:tc>
          <w:tcPr>
            <w:tcW w:w="114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9540" w:type="dxa"/>
            <w:vAlign w:val="bottom"/>
            <w:gridSpan w:val="4"/>
          </w:tcPr>
          <w:p>
            <w:pP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E. Condensed Consolidated Statements of Cash Flows for the nine-month periods ended September 30, 2020 and 2019</w:t>
              </w:r>
            </w:hyperlink>
          </w:p>
        </w:tc>
        <w:tc>
          <w:tcPr>
            <w:tcW w:w="114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9540" w:type="dxa"/>
            <w:vAlign w:val="bottom"/>
            <w:gridSpan w:val="4"/>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F. Notes to Condensed Consolidated Financial Statements</w:t>
              </w:r>
            </w:hyperlink>
          </w:p>
        </w:tc>
        <w:tc>
          <w:tcPr>
            <w:tcW w:w="114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29"/>
        </w:trPr>
        <w:tc>
          <w:tcPr>
            <w:tcW w:w="10040" w:type="dxa"/>
            <w:vAlign w:val="bottom"/>
            <w:gridSpan w:val="5"/>
          </w:tcPr>
          <w:p>
            <w:pPr>
              <w:ind w:left="20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2. Management’s Discussion and Analysis of Financial Condition and Results of Operations</w:t>
              </w:r>
            </w:hyperlink>
          </w:p>
        </w:tc>
        <w:tc>
          <w:tcPr>
            <w:tcW w:w="114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c>
          <w:tcPr>
            <w:tcW w:w="0" w:type="dxa"/>
            <w:vAlign w:val="bottom"/>
          </w:tcPr>
          <w:p>
            <w:pPr>
              <w:spacing w:after="0"/>
              <w:rPr>
                <w:sz w:val="1"/>
                <w:szCs w:val="1"/>
                <w:color w:val="auto"/>
              </w:rPr>
            </w:pPr>
          </w:p>
        </w:tc>
      </w:tr>
      <w:tr>
        <w:trPr>
          <w:trHeight w:val="230"/>
        </w:trPr>
        <w:tc>
          <w:tcPr>
            <w:tcW w:w="10040" w:type="dxa"/>
            <w:vAlign w:val="bottom"/>
            <w:gridSpan w:val="5"/>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3. Quantitative and Qualitative Disclosure About Market Risk</w:t>
              </w:r>
            </w:hyperlink>
          </w:p>
        </w:tc>
        <w:tc>
          <w:tcPr>
            <w:tcW w:w="114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229"/>
        </w:trPr>
        <w:tc>
          <w:tcPr>
            <w:tcW w:w="740" w:type="dxa"/>
            <w:vAlign w:val="bottom"/>
            <w:gridSpan w:val="2"/>
          </w:tcPr>
          <w:p>
            <w:pPr>
              <w:ind w:left="200"/>
              <w:spacing w:after="0"/>
              <w:rPr>
                <w:rFonts w:ascii="Arial" w:cs="Arial" w:eastAsia="Arial" w:hAnsi="Arial"/>
                <w:sz w:val="18"/>
                <w:szCs w:val="18"/>
                <w:u w:val="single" w:color="auto"/>
                <w:color w:val="0000FF"/>
                <w:w w:val="94"/>
              </w:rPr>
            </w:pPr>
            <w:hyperlink w:anchor="page41">
              <w:r>
                <w:rPr>
                  <w:rFonts w:ascii="Arial" w:cs="Arial" w:eastAsia="Arial" w:hAnsi="Arial"/>
                  <w:sz w:val="18"/>
                  <w:szCs w:val="18"/>
                  <w:u w:val="single" w:color="auto"/>
                  <w:color w:val="0000FF"/>
                  <w:w w:val="94"/>
                </w:rPr>
                <w:t>Item 4.</w:t>
              </w:r>
            </w:hyperlink>
          </w:p>
        </w:tc>
        <w:tc>
          <w:tcPr>
            <w:tcW w:w="9300" w:type="dxa"/>
            <w:vAlign w:val="bottom"/>
            <w:gridSpan w:val="3"/>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Controls and Procedures</w:t>
              </w:r>
            </w:hyperlink>
          </w:p>
        </w:tc>
        <w:tc>
          <w:tcPr>
            <w:tcW w:w="114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229"/>
        </w:trPr>
        <w:tc>
          <w:tcPr>
            <w:tcW w:w="10040" w:type="dxa"/>
            <w:vAlign w:val="bottom"/>
            <w:gridSpan w:val="5"/>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Part II: OTHER INFORMATION</w:t>
              </w:r>
            </w:hyperlink>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 w:type="dxa"/>
            <w:vAlign w:val="bottom"/>
            <w:gridSpan w:val="2"/>
          </w:tcPr>
          <w:p>
            <w:pPr>
              <w:ind w:left="200"/>
              <w:spacing w:after="0"/>
              <w:rPr>
                <w:rFonts w:ascii="Arial" w:cs="Arial" w:eastAsia="Arial" w:hAnsi="Arial"/>
                <w:sz w:val="18"/>
                <w:szCs w:val="18"/>
                <w:u w:val="single" w:color="auto"/>
                <w:color w:val="0000FF"/>
                <w:w w:val="94"/>
              </w:rPr>
            </w:pPr>
            <w:hyperlink w:anchor="page41">
              <w:r>
                <w:rPr>
                  <w:rFonts w:ascii="Arial" w:cs="Arial" w:eastAsia="Arial" w:hAnsi="Arial"/>
                  <w:sz w:val="18"/>
                  <w:szCs w:val="18"/>
                  <w:u w:val="single" w:color="auto"/>
                  <w:color w:val="0000FF"/>
                  <w:w w:val="94"/>
                </w:rPr>
                <w:t>Item 1.</w:t>
              </w:r>
            </w:hyperlink>
          </w:p>
        </w:tc>
        <w:tc>
          <w:tcPr>
            <w:tcW w:w="9300" w:type="dxa"/>
            <w:vAlign w:val="bottom"/>
            <w:gridSpan w:val="3"/>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Legal Proceedings</w:t>
              </w:r>
            </w:hyperlink>
          </w:p>
        </w:tc>
        <w:tc>
          <w:tcPr>
            <w:tcW w:w="114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229"/>
        </w:trPr>
        <w:tc>
          <w:tcPr>
            <w:tcW w:w="10040" w:type="dxa"/>
            <w:vAlign w:val="bottom"/>
            <w:gridSpan w:val="5"/>
          </w:tcPr>
          <w:p>
            <w:pPr>
              <w:ind w:left="20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1A. Risk Factors</w:t>
              </w:r>
            </w:hyperlink>
          </w:p>
        </w:tc>
        <w:tc>
          <w:tcPr>
            <w:tcW w:w="114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230"/>
        </w:trPr>
        <w:tc>
          <w:tcPr>
            <w:tcW w:w="740" w:type="dxa"/>
            <w:vAlign w:val="bottom"/>
            <w:gridSpan w:val="2"/>
          </w:tcPr>
          <w:p>
            <w:pPr>
              <w:ind w:left="200"/>
              <w:spacing w:after="0"/>
              <w:rPr>
                <w:rFonts w:ascii="Arial" w:cs="Arial" w:eastAsia="Arial" w:hAnsi="Arial"/>
                <w:sz w:val="18"/>
                <w:szCs w:val="18"/>
                <w:u w:val="single" w:color="auto"/>
                <w:color w:val="0000FF"/>
                <w:w w:val="94"/>
              </w:rPr>
            </w:pPr>
            <w:hyperlink w:anchor="page45">
              <w:r>
                <w:rPr>
                  <w:rFonts w:ascii="Arial" w:cs="Arial" w:eastAsia="Arial" w:hAnsi="Arial"/>
                  <w:sz w:val="18"/>
                  <w:szCs w:val="18"/>
                  <w:u w:val="single" w:color="auto"/>
                  <w:color w:val="0000FF"/>
                  <w:w w:val="94"/>
                </w:rPr>
                <w:t>Item 2.</w:t>
              </w:r>
            </w:hyperlink>
          </w:p>
        </w:tc>
        <w:tc>
          <w:tcPr>
            <w:tcW w:w="9300" w:type="dxa"/>
            <w:vAlign w:val="bottom"/>
            <w:gridSpan w:val="3"/>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Unregistered Sales of Equity Securities and Use of Proceeds</w:t>
              </w:r>
            </w:hyperlink>
          </w:p>
        </w:tc>
        <w:tc>
          <w:tcPr>
            <w:tcW w:w="114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30"/>
        </w:trPr>
        <w:tc>
          <w:tcPr>
            <w:tcW w:w="740" w:type="dxa"/>
            <w:vAlign w:val="bottom"/>
            <w:gridSpan w:val="2"/>
          </w:tcPr>
          <w:p>
            <w:pPr>
              <w:ind w:left="200"/>
              <w:spacing w:after="0"/>
              <w:rPr>
                <w:rFonts w:ascii="Arial" w:cs="Arial" w:eastAsia="Arial" w:hAnsi="Arial"/>
                <w:sz w:val="18"/>
                <w:szCs w:val="18"/>
                <w:u w:val="single" w:color="auto"/>
                <w:color w:val="0000FF"/>
                <w:w w:val="94"/>
              </w:rPr>
            </w:pPr>
            <w:hyperlink w:anchor="page45">
              <w:r>
                <w:rPr>
                  <w:rFonts w:ascii="Arial" w:cs="Arial" w:eastAsia="Arial" w:hAnsi="Arial"/>
                  <w:sz w:val="18"/>
                  <w:szCs w:val="18"/>
                  <w:u w:val="single" w:color="auto"/>
                  <w:color w:val="0000FF"/>
                  <w:w w:val="94"/>
                </w:rPr>
                <w:t>Item 6.</w:t>
              </w:r>
            </w:hyperlink>
          </w:p>
        </w:tc>
        <w:tc>
          <w:tcPr>
            <w:tcW w:w="9300" w:type="dxa"/>
            <w:vAlign w:val="bottom"/>
            <w:gridSpan w:val="3"/>
          </w:tcPr>
          <w:p>
            <w:pPr>
              <w:ind w:left="20"/>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w:t>
              </w:r>
            </w:hyperlink>
          </w:p>
        </w:tc>
        <w:tc>
          <w:tcPr>
            <w:tcW w:w="1140" w:type="dxa"/>
            <w:vAlign w:val="bottom"/>
          </w:tcPr>
          <w:p>
            <w:pPr>
              <w:jc w:val="right"/>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44</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40" w:top="891"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40" w:type="dxa"/>
            <w:vAlign w:val="bottom"/>
          </w:tcPr>
          <w:p>
            <w:pPr>
              <w:jc w:val="right"/>
              <w:ind w:right="79"/>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8"/>
        </w:trPr>
        <w:tc>
          <w:tcPr>
            <w:tcW w:w="88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8820" w:type="dxa"/>
            <w:vAlign w:val="bottom"/>
            <w:shd w:val="clear" w:color="auto" w:fill="CCEEFF"/>
          </w:tcPr>
          <w:p>
            <w:pPr>
              <w:ind w:left="536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213"/>
        </w:trPr>
        <w:tc>
          <w:tcPr>
            <w:tcW w:w="882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Trade receivables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3"/>
        </w:trPr>
        <w:tc>
          <w:tcPr>
            <w:tcW w:w="882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07"/>
        </w:trPr>
        <w:tc>
          <w:tcPr>
            <w:tcW w:w="882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630.9</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 at fair value - see Note A</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836.5</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 available for sale, at fair value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Deferred tax asset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 term investments and non-current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13"/>
        </w:trPr>
        <w:tc>
          <w:tcPr>
            <w:tcW w:w="882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3,868.6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20"/>
        </w:trPr>
        <w:tc>
          <w:tcPr>
            <w:tcW w:w="8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20" w:type="dxa"/>
            <w:vAlign w:val="bottom"/>
            <w:shd w:val="clear" w:color="auto" w:fill="CCEEFF"/>
          </w:tcPr>
          <w:p>
            <w:pPr>
              <w:ind w:left="470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payable and other accrued liabilities, 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13"/>
        </w:trPr>
        <w:tc>
          <w:tcPr>
            <w:tcW w:w="8820" w:type="dxa"/>
            <w:vAlign w:val="bottom"/>
          </w:tcPr>
          <w:p>
            <w:pPr>
              <w:ind w:left="120"/>
              <w:spacing w:after="0"/>
              <w:rPr>
                <w:sz w:val="20"/>
                <w:szCs w:val="20"/>
                <w:color w:val="auto"/>
              </w:rPr>
            </w:pPr>
            <w:r>
              <w:rPr>
                <w:rFonts w:ascii="Arial" w:cs="Arial" w:eastAsia="Arial" w:hAnsi="Arial"/>
                <w:sz w:val="16"/>
                <w:szCs w:val="16"/>
                <w:color w:val="auto"/>
              </w:rPr>
              <w:t>Lease liabilities, current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3"/>
        </w:trPr>
        <w:tc>
          <w:tcPr>
            <w:tcW w:w="88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payable, current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6"/>
        </w:trPr>
        <w:tc>
          <w:tcPr>
            <w:tcW w:w="882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198.7</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 long term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long term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213"/>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accrued liabilities, long term</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213"/>
        </w:trPr>
        <w:tc>
          <w:tcPr>
            <w:tcW w:w="8820" w:type="dxa"/>
            <w:vAlign w:val="bottom"/>
          </w:tcPr>
          <w:p>
            <w:pPr>
              <w:ind w:left="20"/>
              <w:spacing w:after="0"/>
              <w:rPr>
                <w:sz w:val="20"/>
                <w:szCs w:val="20"/>
                <w:color w:val="auto"/>
              </w:rPr>
            </w:pPr>
            <w:r>
              <w:rPr>
                <w:rFonts w:ascii="Arial" w:cs="Arial" w:eastAsia="Arial" w:hAnsi="Arial"/>
                <w:sz w:val="16"/>
                <w:szCs w:val="16"/>
                <w:color w:val="auto"/>
              </w:rPr>
              <w:t>Commitments and contingencies - see Note G</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820" w:type="dxa"/>
            <w:vAlign w:val="bottom"/>
          </w:tcPr>
          <w:p>
            <w:pPr>
              <w:ind w:left="140"/>
              <w:spacing w:after="0" w:line="166" w:lineRule="exact"/>
              <w:rPr>
                <w:sz w:val="20"/>
                <w:szCs w:val="20"/>
                <w:color w:val="auto"/>
              </w:rPr>
            </w:pPr>
            <w:r>
              <w:rPr>
                <w:rFonts w:ascii="Arial" w:cs="Arial" w:eastAsia="Arial" w:hAnsi="Arial"/>
                <w:sz w:val="16"/>
                <w:szCs w:val="16"/>
                <w:color w:val="auto"/>
                <w:w w:val="97"/>
              </w:rPr>
              <w:t>Cannae common stock, 0.0001 par value; authorized 115,000,000 shares as of September 30, 2020 and December 31, 2019;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820" w:type="dxa"/>
            <w:vAlign w:val="bottom"/>
          </w:tcPr>
          <w:p>
            <w:pPr>
              <w:ind w:left="140"/>
              <w:spacing w:after="0" w:line="162" w:lineRule="exact"/>
              <w:rPr>
                <w:sz w:val="20"/>
                <w:szCs w:val="20"/>
                <w:color w:val="auto"/>
              </w:rPr>
            </w:pPr>
            <w:r>
              <w:rPr>
                <w:rFonts w:ascii="Arial" w:cs="Arial" w:eastAsia="Arial" w:hAnsi="Arial"/>
                <w:sz w:val="16"/>
                <w:szCs w:val="16"/>
                <w:color w:val="auto"/>
                <w:w w:val="94"/>
              </w:rPr>
              <w:t>outstanding of 91,656,245 and 79,516,833 shares as of September 30, 2020 and December 31, 2019, respectively, and issued of</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820" w:type="dxa"/>
            <w:vAlign w:val="bottom"/>
          </w:tcPr>
          <w:p>
            <w:pPr>
              <w:ind w:left="140"/>
              <w:spacing w:after="0"/>
              <w:rPr>
                <w:sz w:val="20"/>
                <w:szCs w:val="20"/>
                <w:color w:val="auto"/>
              </w:rPr>
            </w:pPr>
            <w:r>
              <w:rPr>
                <w:rFonts w:ascii="Arial" w:cs="Arial" w:eastAsia="Arial" w:hAnsi="Arial"/>
                <w:sz w:val="16"/>
                <w:szCs w:val="16"/>
                <w:color w:val="auto"/>
              </w:rPr>
              <w:t>92,377,972 and 79,727,972 shares as of September 30, 2020 and December 31, 2019, respectively</w:t>
            </w: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6"/>
              </w:rPr>
              <w:t>Preferred stock, 0.0001 par value; authorized 10,000,000 shares; issued and outstanding, none as of September 30, 2020 and</w:t>
            </w:r>
          </w:p>
        </w:tc>
        <w:tc>
          <w:tcPr>
            <w:tcW w:w="1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2019</w:t>
            </w:r>
          </w:p>
        </w:tc>
        <w:tc>
          <w:tcPr>
            <w:tcW w:w="1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1,396.7</w:t>
            </w:r>
          </w:p>
        </w:tc>
        <w:tc>
          <w:tcPr>
            <w:tcW w:w="0" w:type="dxa"/>
            <w:vAlign w:val="bottom"/>
          </w:tcPr>
          <w:p>
            <w:pPr>
              <w:spacing w:after="0"/>
              <w:rPr>
                <w:sz w:val="1"/>
                <w:szCs w:val="1"/>
                <w:color w:val="auto"/>
              </w:rPr>
            </w:pPr>
          </w:p>
        </w:tc>
      </w:tr>
      <w:tr>
        <w:trPr>
          <w:trHeight w:val="213"/>
        </w:trPr>
        <w:tc>
          <w:tcPr>
            <w:tcW w:w="8820" w:type="dxa"/>
            <w:vAlign w:val="bottom"/>
          </w:tcPr>
          <w:p>
            <w:pPr>
              <w:ind w:left="140"/>
              <w:spacing w:after="0"/>
              <w:rPr>
                <w:sz w:val="20"/>
                <w:szCs w:val="20"/>
                <w:color w:val="auto"/>
              </w:rPr>
            </w:pPr>
            <w:r>
              <w:rPr>
                <w:rFonts w:ascii="Arial" w:cs="Arial" w:eastAsia="Arial" w:hAnsi="Arial"/>
                <w:sz w:val="16"/>
                <w:szCs w:val="16"/>
                <w:color w:val="auto"/>
                <w:w w:val="99"/>
              </w:rPr>
              <w:t>Less: Treasury stock, 721,727 and 211,139 shares as of September 30, 2020 and December 31, 2019, respectively, at cost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earnings (loss)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06"/>
        </w:trPr>
        <w:tc>
          <w:tcPr>
            <w:tcW w:w="8820" w:type="dxa"/>
            <w:vAlign w:val="bottom"/>
          </w:tcPr>
          <w:p>
            <w:pPr>
              <w:ind w:left="340"/>
              <w:spacing w:after="0"/>
              <w:rPr>
                <w:sz w:val="20"/>
                <w:szCs w:val="20"/>
                <w:color w:val="auto"/>
              </w:rPr>
            </w:pPr>
            <w:r>
              <w:rPr>
                <w:rFonts w:ascii="Arial" w:cs="Arial" w:eastAsia="Arial" w:hAnsi="Arial"/>
                <w:sz w:val="16"/>
                <w:szCs w:val="16"/>
                <w:color w:val="auto"/>
              </w:rPr>
              <w:t>Total Cannae shareholders' equity</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1,488.5</w:t>
            </w:r>
          </w:p>
        </w:tc>
        <w:tc>
          <w:tcPr>
            <w:tcW w:w="0" w:type="dxa"/>
            <w:vAlign w:val="bottom"/>
          </w:tcPr>
          <w:p>
            <w:pPr>
              <w:spacing w:after="0"/>
              <w:rPr>
                <w:sz w:val="1"/>
                <w:szCs w:val="1"/>
                <w:color w:val="auto"/>
              </w:rPr>
            </w:pPr>
          </w:p>
        </w:tc>
      </w:tr>
      <w:tr>
        <w:trPr>
          <w:trHeight w:val="219"/>
        </w:trPr>
        <w:tc>
          <w:tcPr>
            <w:tcW w:w="8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6"/>
        </w:trPr>
        <w:tc>
          <w:tcPr>
            <w:tcW w:w="88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1,529.8</w:t>
            </w:r>
          </w:p>
        </w:tc>
        <w:tc>
          <w:tcPr>
            <w:tcW w:w="0" w:type="dxa"/>
            <w:vAlign w:val="bottom"/>
          </w:tcPr>
          <w:p>
            <w:pPr>
              <w:spacing w:after="0"/>
              <w:rPr>
                <w:sz w:val="1"/>
                <w:szCs w:val="1"/>
                <w:color w:val="auto"/>
              </w:rPr>
            </w:pPr>
          </w:p>
        </w:tc>
      </w:tr>
      <w:tr>
        <w:trPr>
          <w:trHeight w:val="238"/>
        </w:trPr>
        <w:tc>
          <w:tcPr>
            <w:tcW w:w="8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2,092.2</w:t>
            </w:r>
          </w:p>
        </w:tc>
        <w:tc>
          <w:tcPr>
            <w:tcW w:w="0" w:type="dxa"/>
            <w:vAlign w:val="bottom"/>
          </w:tcPr>
          <w:p>
            <w:pPr>
              <w:spacing w:after="0"/>
              <w:rPr>
                <w:sz w:val="1"/>
                <w:szCs w:val="1"/>
                <w:color w:val="auto"/>
              </w:rPr>
            </w:pP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40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88"/>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40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8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76"/>
        </w:trPr>
        <w:tc>
          <w:tcPr>
            <w:tcW w:w="8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398.7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772.0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7"/>
        </w:trPr>
        <w:tc>
          <w:tcPr>
            <w:tcW w:w="810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791.5</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678.7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1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0" w:type="dxa"/>
            <w:vAlign w:val="bottom"/>
          </w:tcPr>
          <w:p>
            <w:pPr>
              <w:spacing w:after="0"/>
              <w:rPr>
                <w:sz w:val="1"/>
                <w:szCs w:val="1"/>
                <w:color w:val="auto"/>
              </w:rPr>
            </w:pPr>
          </w:p>
        </w:tc>
      </w:tr>
      <w:tr>
        <w:trPr>
          <w:trHeight w:val="207"/>
        </w:trPr>
        <w:tc>
          <w:tcPr>
            <w:tcW w:w="8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1,682.8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1,691.6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c>
          <w:tcPr>
            <w:tcW w:w="0" w:type="dxa"/>
            <w:vAlign w:val="bottom"/>
          </w:tcPr>
          <w:p>
            <w:pPr>
              <w:spacing w:after="0"/>
              <w:rPr>
                <w:sz w:val="1"/>
                <w:szCs w:val="1"/>
                <w:color w:val="auto"/>
              </w:rPr>
            </w:pPr>
          </w:p>
        </w:tc>
      </w:tr>
      <w:tr>
        <w:trPr>
          <w:trHeight w:val="207"/>
        </w:trPr>
        <w:tc>
          <w:tcPr>
            <w:tcW w:w="8100" w:type="dxa"/>
            <w:vAlign w:val="bottom"/>
          </w:tcPr>
          <w:p>
            <w:pPr>
              <w:ind w:left="20"/>
              <w:spacing w:after="0"/>
              <w:rPr>
                <w:sz w:val="20"/>
                <w:szCs w:val="20"/>
                <w:color w:val="auto"/>
              </w:rPr>
            </w:pPr>
            <w:r>
              <w:rPr>
                <w:rFonts w:ascii="Arial" w:cs="Arial" w:eastAsia="Arial" w:hAnsi="Arial"/>
                <w:sz w:val="16"/>
                <w:szCs w:val="16"/>
                <w:color w:val="auto"/>
              </w:rPr>
              <w:t>Earnings before income taxes and equity in (losses) earnings of unconsolidated affiliates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1,564.2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7"/>
        </w:trPr>
        <w:tc>
          <w:tcPr>
            <w:tcW w:w="8100" w:type="dxa"/>
            <w:vAlign w:val="bottom"/>
          </w:tcPr>
          <w:p>
            <w:pPr>
              <w:ind w:left="20"/>
              <w:spacing w:after="0"/>
              <w:rPr>
                <w:sz w:val="20"/>
                <w:szCs w:val="20"/>
                <w:color w:val="auto"/>
              </w:rPr>
            </w:pPr>
            <w:r>
              <w:rPr>
                <w:rFonts w:ascii="Arial" w:cs="Arial" w:eastAsia="Arial" w:hAnsi="Arial"/>
                <w:sz w:val="16"/>
                <w:szCs w:val="16"/>
                <w:color w:val="auto"/>
              </w:rPr>
              <w:t>Earnings before equity in (losses) earnings of unconsolidated affiliates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1,228.6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(losses) earnings of unconsolidated affiliates</w:t>
            </w: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06"/>
        </w:trPr>
        <w:tc>
          <w:tcPr>
            <w:tcW w:w="8100" w:type="dxa"/>
            <w:vAlign w:val="bottom"/>
          </w:tcPr>
          <w:p>
            <w:pPr>
              <w:ind w:left="20"/>
              <w:spacing w:after="0"/>
              <w:rPr>
                <w:sz w:val="20"/>
                <w:szCs w:val="20"/>
                <w:color w:val="auto"/>
              </w:rPr>
            </w:pPr>
            <w:r>
              <w:rPr>
                <w:rFonts w:ascii="Arial" w:cs="Arial" w:eastAsia="Arial" w:hAnsi="Arial"/>
                <w:sz w:val="16"/>
                <w:szCs w:val="16"/>
                <w:color w:val="auto"/>
              </w:rPr>
              <w:t>Earnings from continuing operations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1,232.2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losses from discontinued operations, net of tax - see Note L</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1,232.2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attributable to Cannae Holdings, Inc. common shareholders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1,254.9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attributable to Cannae Holdings, Inc. common shareholders</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from continuing operations attributable to Cannae Holdings, Inc. common shareholders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1,254.9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Cannae Holdings, Inc. common shareholders</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attributable to Cannae Holdings, Inc. common shareholders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1,254.9</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Net loss per share from discontinued operations</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8"/>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from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Net loss per share from discontinued operations</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8"/>
        </w:trPr>
        <w:tc>
          <w:tcPr>
            <w:tcW w:w="8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Weighted Average Shares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Cannae Holdings common stock, basic basis</w:t>
            </w: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00" w:type="dxa"/>
            <w:vAlign w:val="bottom"/>
          </w:tcPr>
          <w:p>
            <w:pPr>
              <w:ind w:left="20"/>
              <w:spacing w:after="0"/>
              <w:rPr>
                <w:sz w:val="20"/>
                <w:szCs w:val="20"/>
                <w:color w:val="auto"/>
              </w:rPr>
            </w:pPr>
            <w:r>
              <w:rPr>
                <w:rFonts w:ascii="Arial" w:cs="Arial" w:eastAsia="Arial" w:hAnsi="Arial"/>
                <w:sz w:val="16"/>
                <w:szCs w:val="16"/>
                <w:color w:val="auto"/>
              </w:rPr>
              <w:t>Weighted average shares outstanding Cannae Holdings common stock, diluted basis</w:t>
            </w: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5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8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5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1"/>
        </w:trPr>
        <w:tc>
          <w:tcPr>
            <w:tcW w:w="8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$ 1,232.2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Other comprehensive earnings (loss), net of tax:</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Unrealized gain on investments and other financial instruments, net (excluding investments in unconsolidated affiliates)</w:t>
            </w:r>
          </w:p>
        </w:tc>
        <w:tc>
          <w:tcPr>
            <w:tcW w:w="1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ind w:left="220"/>
              <w:spacing w:after="0"/>
              <w:rPr>
                <w:sz w:val="20"/>
                <w:szCs w:val="20"/>
                <w:color w:val="auto"/>
              </w:rPr>
            </w:pPr>
            <w:r>
              <w:rPr>
                <w:rFonts w:ascii="Arial" w:cs="Arial" w:eastAsia="Arial" w:hAnsi="Arial"/>
                <w:sz w:val="16"/>
                <w:szCs w:val="16"/>
                <w:color w:val="auto"/>
              </w:rPr>
              <w:t>Unrealized earnings (losses) of investments in unconsolidated affiliates (2)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69"/>
        </w:trPr>
        <w:tc>
          <w:tcPr>
            <w:tcW w:w="81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Reclassification adjustments for unrealized gains and losses on investments and other financial instruments, net of tax,</w:t>
            </w:r>
          </w:p>
        </w:tc>
        <w:tc>
          <w:tcPr>
            <w:tcW w:w="1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(excluding investments in unconsolidated affiliates) included in net earnings (3)</w:t>
            </w:r>
          </w:p>
        </w:tc>
        <w:tc>
          <w:tcPr>
            <w:tcW w:w="12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100" w:type="dxa"/>
            <w:vAlign w:val="bottom"/>
          </w:tcPr>
          <w:p>
            <w:pPr>
              <w:ind w:left="220"/>
              <w:spacing w:after="0" w:line="166" w:lineRule="exact"/>
              <w:rPr>
                <w:sz w:val="20"/>
                <w:szCs w:val="20"/>
                <w:color w:val="auto"/>
              </w:rPr>
            </w:pPr>
            <w:r>
              <w:rPr>
                <w:rFonts w:ascii="Arial" w:cs="Arial" w:eastAsia="Arial" w:hAnsi="Arial"/>
                <w:sz w:val="16"/>
                <w:szCs w:val="16"/>
                <w:color w:val="auto"/>
                <w:w w:val="94"/>
              </w:rPr>
              <w:t>Reclassification adjustments for unrealized earnings and losses of unconsolidated affiliates, net of tax, included in net</w:t>
            </w: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earnings (4)</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earnings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06"/>
        </w:trPr>
        <w:tc>
          <w:tcPr>
            <w:tcW w:w="8100" w:type="dxa"/>
            <w:vAlign w:val="bottom"/>
          </w:tcPr>
          <w:p>
            <w:pPr>
              <w:ind w:left="20"/>
              <w:spacing w:after="0"/>
              <w:rPr>
                <w:sz w:val="20"/>
                <w:szCs w:val="20"/>
                <w:color w:val="auto"/>
              </w:rPr>
            </w:pPr>
            <w:r>
              <w:rPr>
                <w:rFonts w:ascii="Arial" w:cs="Arial" w:eastAsia="Arial" w:hAnsi="Arial"/>
                <w:sz w:val="16"/>
                <w:szCs w:val="16"/>
                <w:color w:val="auto"/>
              </w:rPr>
              <w:t>Comprehensive earnings</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loss attributable to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Comprehensive earnings attributable to Cannae Holdings,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$ 1,310.9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63" w:lineRule="exact"/>
        <w:rPr>
          <w:sz w:val="20"/>
          <w:szCs w:val="20"/>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$0.1 million and $0.2 million for the three months ended September 30, 2020 and 2019, respectively, and $3.1 million and $0.1 million for the nine months ended September 30, 2020 and 2019,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$1.3 million and $(1.2) million for the three months ended September 30, 2020 and 2019, respectively, and $(0.4) million and $0.9 million for the nine months ended September 30, 2020 and 2019,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$0.1 million for the three and nine months ended September 30, 2019.</w:t>
      </w:r>
    </w:p>
    <w:p>
      <w:pPr>
        <w:spacing w:after="0" w:line="171"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$0.5 million and $1.2 million for the three months ended September 30, 2020 and 2019, respectively, and $12.3 million and $2.5 million for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1520" w:type="dxa"/>
            <w:vAlign w:val="bottom"/>
            <w:gridSpan w:val="5"/>
          </w:tcPr>
          <w:p>
            <w:pPr>
              <w:ind w:left="3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Additional</w:t>
            </w:r>
          </w:p>
        </w:tc>
        <w:tc>
          <w:tcPr>
            <w:tcW w:w="12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Non-</w:t>
            </w:r>
          </w:p>
        </w:tc>
        <w:tc>
          <w:tcPr>
            <w:tcW w:w="160" w:type="dxa"/>
            <w:vAlign w:val="bottom"/>
          </w:tcPr>
          <w:p>
            <w:pPr>
              <w:spacing w:after="0"/>
              <w:rPr>
                <w:sz w:val="5"/>
                <w:szCs w:val="5"/>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3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(Loss)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June 30, 2019</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1,232.2</w:t>
            </w:r>
          </w:p>
        </w:tc>
        <w:tc>
          <w:tcPr>
            <w:tcW w:w="0" w:type="dxa"/>
            <w:vAlign w:val="bottom"/>
          </w:tcPr>
          <w:p>
            <w:pPr>
              <w:spacing w:after="0"/>
              <w:rPr>
                <w:sz w:val="1"/>
                <w:szCs w:val="1"/>
                <w:color w:val="auto"/>
              </w:rPr>
            </w:pPr>
          </w:p>
        </w:tc>
      </w:tr>
      <w:tr>
        <w:trPr>
          <w:trHeight w:val="122"/>
        </w:trPr>
        <w:tc>
          <w:tcPr>
            <w:tcW w:w="4020" w:type="dxa"/>
            <w:vAlign w:val="bottom"/>
          </w:tcPr>
          <w:p>
            <w:pPr>
              <w:ind w:left="120"/>
              <w:spacing w:after="0" w:line="122" w:lineRule="exact"/>
              <w:rPr>
                <w:sz w:val="20"/>
                <w:szCs w:val="20"/>
                <w:color w:val="auto"/>
              </w:rPr>
            </w:pPr>
            <w:r>
              <w:rPr>
                <w:rFonts w:ascii="Arial" w:cs="Arial" w:eastAsia="Arial" w:hAnsi="Arial"/>
                <w:sz w:val="13"/>
                <w:szCs w:val="13"/>
                <w:color w:val="auto"/>
                <w:w w:val="89"/>
              </w:rPr>
              <w:t>Other comprehensive earnings — unrealized gain on investments and other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69"/>
        </w:trPr>
        <w:tc>
          <w:tcPr>
            <w:tcW w:w="4020" w:type="dxa"/>
            <w:vAlign w:val="bottom"/>
          </w:tcPr>
          <w:p>
            <w:pPr>
              <w:ind w:left="120"/>
              <w:spacing w:after="0"/>
              <w:rPr>
                <w:sz w:val="20"/>
                <w:szCs w:val="20"/>
                <w:color w:val="auto"/>
              </w:rPr>
            </w:pPr>
            <w:r>
              <w:rPr>
                <w:rFonts w:ascii="Arial" w:cs="Arial" w:eastAsia="Arial" w:hAnsi="Arial"/>
                <w:sz w:val="13"/>
                <w:szCs w:val="13"/>
                <w:color w:val="auto"/>
              </w:rPr>
              <w:t>financial instruments,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w w:val="97"/>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20"/>
              <w:spacing w:after="0" w:line="122" w:lineRule="exact"/>
              <w:rPr>
                <w:sz w:val="20"/>
                <w:szCs w:val="20"/>
                <w:color w:val="auto"/>
              </w:rPr>
            </w:pPr>
            <w:r>
              <w:rPr>
                <w:rFonts w:ascii="Arial" w:cs="Arial" w:eastAsia="Arial" w:hAnsi="Arial"/>
                <w:sz w:val="13"/>
                <w:szCs w:val="13"/>
                <w:color w:val="auto"/>
                <w:w w:val="88"/>
              </w:rPr>
              <w:t>Reclassification adjustments for unrealized gains and losses on investments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20" w:type="dxa"/>
            <w:vAlign w:val="bottom"/>
          </w:tcPr>
          <w:p>
            <w:pPr>
              <w:ind w:left="120"/>
              <w:spacing w:after="0" w:line="122" w:lineRule="exact"/>
              <w:rPr>
                <w:sz w:val="20"/>
                <w:szCs w:val="20"/>
                <w:color w:val="auto"/>
              </w:rPr>
            </w:pPr>
            <w:r>
              <w:rPr>
                <w:rFonts w:ascii="Arial" w:cs="Arial" w:eastAsia="Arial" w:hAnsi="Arial"/>
                <w:sz w:val="13"/>
                <w:szCs w:val="13"/>
                <w:color w:val="auto"/>
                <w:w w:val="99"/>
              </w:rPr>
              <w:t>and other financial instruments, net of tax, (excluding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9"/>
        </w:trPr>
        <w:tc>
          <w:tcPr>
            <w:tcW w:w="4020" w:type="dxa"/>
            <w:vAlign w:val="bottom"/>
          </w:tcPr>
          <w:p>
            <w:pPr>
              <w:ind w:left="120"/>
              <w:spacing w:after="0"/>
              <w:rPr>
                <w:sz w:val="20"/>
                <w:szCs w:val="20"/>
                <w:color w:val="auto"/>
              </w:rPr>
            </w:pPr>
            <w:r>
              <w:rPr>
                <w:rFonts w:ascii="Arial" w:cs="Arial" w:eastAsia="Arial" w:hAnsi="Arial"/>
                <w:sz w:val="13"/>
                <w:szCs w:val="13"/>
                <w:color w:val="auto"/>
              </w:rPr>
              <w:t>unconsolidated affiliates) included in net earnings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unconsolidated affiliates, net of tax, included in net earnings</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Contribution of CSA services from FNF</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Net earnings (loss)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September 30, 2019</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June 30, 2020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3,133.8</w:t>
            </w:r>
          </w:p>
        </w:tc>
        <w:tc>
          <w:tcPr>
            <w:tcW w:w="0" w:type="dxa"/>
            <w:vAlign w:val="bottom"/>
          </w:tcPr>
          <w:p>
            <w:pPr>
              <w:spacing w:after="0"/>
              <w:rPr>
                <w:sz w:val="1"/>
                <w:szCs w:val="1"/>
                <w:color w:val="auto"/>
              </w:rPr>
            </w:pPr>
          </w:p>
        </w:tc>
      </w:tr>
      <w:tr>
        <w:trPr>
          <w:trHeight w:val="121"/>
        </w:trPr>
        <w:tc>
          <w:tcPr>
            <w:tcW w:w="4020" w:type="dxa"/>
            <w:vAlign w:val="bottom"/>
          </w:tcPr>
          <w:p>
            <w:pPr>
              <w:ind w:left="120"/>
              <w:spacing w:after="0" w:line="122" w:lineRule="exact"/>
              <w:rPr>
                <w:sz w:val="20"/>
                <w:szCs w:val="20"/>
                <w:color w:val="auto"/>
              </w:rPr>
            </w:pPr>
            <w:r>
              <w:rPr>
                <w:rFonts w:ascii="Arial" w:cs="Arial" w:eastAsia="Arial" w:hAnsi="Arial"/>
                <w:sz w:val="13"/>
                <w:szCs w:val="13"/>
                <w:color w:val="auto"/>
                <w:w w:val="89"/>
              </w:rPr>
              <w:t>Other comprehensive earnings — unrealized gain on investments and other</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3"/>
                <w:szCs w:val="13"/>
                <w:color w:val="auto"/>
              </w:rPr>
              <w:t>financial instruments,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w w:val="94"/>
              </w:rPr>
              <w:t>Other comprehensive earnings — unrealized earnings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20"/>
              <w:spacing w:after="0" w:line="122"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3"/>
                <w:szCs w:val="13"/>
                <w:color w:val="auto"/>
              </w:rPr>
              <w:t>unconsolidated affiliates, net of tax, included in net earnings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Contribution of CSA services from FNF</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Net earnings (loss)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September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3,272.0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 CONTINUED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1520" w:type="dxa"/>
            <w:vAlign w:val="bottom"/>
            <w:gridSpan w:val="5"/>
          </w:tcPr>
          <w:p>
            <w:pPr>
              <w:ind w:left="30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Arial" w:cs="Arial" w:eastAsia="Arial" w:hAnsi="Arial"/>
                <w:sz w:val="7"/>
                <w:szCs w:val="7"/>
                <w:b w:val="1"/>
                <w:bCs w:val="1"/>
                <w:color w:val="auto"/>
              </w:rPr>
              <w:t>Additional</w:t>
            </w:r>
          </w:p>
        </w:tc>
        <w:tc>
          <w:tcPr>
            <w:tcW w:w="120" w:type="dxa"/>
            <w:vAlign w:val="bottom"/>
          </w:tcPr>
          <w:p>
            <w:pPr>
              <w:spacing w:after="0"/>
              <w:rPr>
                <w:sz w:val="5"/>
                <w:szCs w:val="5"/>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Arial" w:cs="Arial" w:eastAsia="Arial" w:hAnsi="Arial"/>
                <w:sz w:val="7"/>
                <w:szCs w:val="7"/>
                <w:b w:val="1"/>
                <w:bCs w:val="1"/>
                <w:color w:val="auto"/>
              </w:rPr>
              <w:t>Non-</w:t>
            </w:r>
          </w:p>
        </w:tc>
        <w:tc>
          <w:tcPr>
            <w:tcW w:w="160" w:type="dxa"/>
            <w:vAlign w:val="bottom"/>
          </w:tcPr>
          <w:p>
            <w:pPr>
              <w:spacing w:after="0"/>
              <w:rPr>
                <w:sz w:val="5"/>
                <w:szCs w:val="5"/>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3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87"/>
              </w:rPr>
              <w:t>(Loss)</w:t>
            </w: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0"/>
                <w:szCs w:val="10"/>
                <w:color w:val="auto"/>
              </w:rPr>
            </w:pPr>
          </w:p>
        </w:tc>
        <w:tc>
          <w:tcPr>
            <w:tcW w:w="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Earnings</w:t>
            </w: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December 31, 2018</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1,199.7</w:t>
            </w:r>
          </w:p>
        </w:tc>
        <w:tc>
          <w:tcPr>
            <w:tcW w:w="0" w:type="dxa"/>
            <w:vAlign w:val="bottom"/>
          </w:tcPr>
          <w:p>
            <w:pPr>
              <w:spacing w:after="0"/>
              <w:rPr>
                <w:sz w:val="1"/>
                <w:szCs w:val="1"/>
                <w:color w:val="auto"/>
              </w:rPr>
            </w:pPr>
          </w:p>
        </w:tc>
      </w:tr>
      <w:tr>
        <w:trPr>
          <w:trHeight w:val="122"/>
        </w:trPr>
        <w:tc>
          <w:tcPr>
            <w:tcW w:w="4020" w:type="dxa"/>
            <w:vAlign w:val="bottom"/>
          </w:tcPr>
          <w:p>
            <w:pPr>
              <w:ind w:left="120"/>
              <w:spacing w:after="0" w:line="122" w:lineRule="exact"/>
              <w:rPr>
                <w:sz w:val="20"/>
                <w:szCs w:val="20"/>
                <w:color w:val="auto"/>
              </w:rPr>
            </w:pPr>
            <w:r>
              <w:rPr>
                <w:rFonts w:ascii="Arial" w:cs="Arial" w:eastAsia="Arial" w:hAnsi="Arial"/>
                <w:sz w:val="13"/>
                <w:szCs w:val="13"/>
                <w:color w:val="auto"/>
                <w:w w:val="94"/>
              </w:rPr>
              <w:t>Adjustment for cumulative effect of adoption of accounting standards by</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69"/>
        </w:trPr>
        <w:tc>
          <w:tcPr>
            <w:tcW w:w="4020" w:type="dxa"/>
            <w:vAlign w:val="bottom"/>
          </w:tcPr>
          <w:p>
            <w:pPr>
              <w:ind w:left="120"/>
              <w:spacing w:after="0"/>
              <w:rPr>
                <w:sz w:val="20"/>
                <w:szCs w:val="20"/>
                <w:color w:val="auto"/>
              </w:rPr>
            </w:pPr>
            <w:r>
              <w:rPr>
                <w:rFonts w:ascii="Arial" w:cs="Arial" w:eastAsia="Arial" w:hAnsi="Arial"/>
                <w:sz w:val="13"/>
                <w:szCs w:val="13"/>
                <w:color w:val="auto"/>
              </w:rPr>
              <w:t>unconsolidated affiliates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w w:val="89"/>
              </w:rPr>
              <w:t>Other comprehensive earnings — unrealized gain on investments and other</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financial instruments,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20"/>
              <w:spacing w:after="0" w:line="122" w:lineRule="exact"/>
              <w:rPr>
                <w:sz w:val="20"/>
                <w:szCs w:val="20"/>
                <w:color w:val="auto"/>
              </w:rPr>
            </w:pPr>
            <w:r>
              <w:rPr>
                <w:rFonts w:ascii="Arial" w:cs="Arial" w:eastAsia="Arial" w:hAnsi="Arial"/>
                <w:sz w:val="13"/>
                <w:szCs w:val="13"/>
                <w:color w:val="auto"/>
                <w:w w:val="94"/>
              </w:rPr>
              <w:t>Other comprehensive earnings — unrealized earnings of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9"/>
        </w:trPr>
        <w:tc>
          <w:tcPr>
            <w:tcW w:w="4020" w:type="dxa"/>
            <w:vAlign w:val="bottom"/>
          </w:tcPr>
          <w:p>
            <w:pPr>
              <w:ind w:left="12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w w:val="88"/>
              </w:rPr>
              <w:t>Reclassification adjustments for unrealized gains and losses on investments</w:t>
            </w: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20" w:type="dxa"/>
            <w:vAlign w:val="bottom"/>
            <w:shd w:val="clear" w:color="auto" w:fill="CCEEFF"/>
          </w:tcPr>
          <w:p>
            <w:pPr>
              <w:ind w:left="120"/>
              <w:spacing w:after="0" w:line="122" w:lineRule="exact"/>
              <w:rPr>
                <w:sz w:val="20"/>
                <w:szCs w:val="20"/>
                <w:color w:val="auto"/>
              </w:rPr>
            </w:pPr>
            <w:r>
              <w:rPr>
                <w:rFonts w:ascii="Arial" w:cs="Arial" w:eastAsia="Arial" w:hAnsi="Arial"/>
                <w:sz w:val="13"/>
                <w:szCs w:val="13"/>
                <w:color w:val="auto"/>
                <w:w w:val="99"/>
              </w:rPr>
              <w:t>and other financial instruments, net of tax, (excluding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unconsolidated affiliates) included in net earnings</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20"/>
              <w:spacing w:after="0" w:line="122"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9"/>
        </w:trPr>
        <w:tc>
          <w:tcPr>
            <w:tcW w:w="4020" w:type="dxa"/>
            <w:vAlign w:val="bottom"/>
          </w:tcPr>
          <w:p>
            <w:pPr>
              <w:ind w:left="120"/>
              <w:spacing w:after="0"/>
              <w:rPr>
                <w:sz w:val="20"/>
                <w:szCs w:val="20"/>
                <w:color w:val="auto"/>
              </w:rPr>
            </w:pPr>
            <w:r>
              <w:rPr>
                <w:rFonts w:ascii="Arial" w:cs="Arial" w:eastAsia="Arial" w:hAnsi="Arial"/>
                <w:sz w:val="13"/>
                <w:szCs w:val="13"/>
                <w:color w:val="auto"/>
              </w:rPr>
              <w:t>unconsolidated affiliates, net of tax, included in net earnings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Dun &amp; Bradstreet equity issuance costs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Contribution of CSA services from FNF</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Subsidiary dividends paid to noncontrolling interests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3"/>
                <w:szCs w:val="13"/>
                <w:color w:val="auto"/>
              </w:rPr>
              <w:t>Balance, September 30, 2019</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1,156.3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119.1</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1,274.7</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3"/>
                <w:szCs w:val="13"/>
                <w:color w:val="auto"/>
              </w:rPr>
              <w:t>Balance, December 31, 2019</w:t>
            </w:r>
          </w:p>
        </w:tc>
        <w:tc>
          <w:tcPr>
            <w:tcW w:w="520" w:type="dxa"/>
            <w:vAlign w:val="bottom"/>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1,396.7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143.6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1,529.8</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Equity offering, net of offering costs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w w:val="97"/>
              </w:rPr>
              <w:t>Restaurant Group reorganization and deconsolidation of Blue Ribbon</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25"/>
        </w:trPr>
        <w:tc>
          <w:tcPr>
            <w:tcW w:w="4020" w:type="dxa"/>
            <w:vAlign w:val="bottom"/>
            <w:shd w:val="clear" w:color="auto" w:fill="CCEEFF"/>
          </w:tcPr>
          <w:p>
            <w:pPr>
              <w:ind w:left="120"/>
              <w:spacing w:after="0" w:line="125" w:lineRule="exact"/>
              <w:rPr>
                <w:sz w:val="20"/>
                <w:szCs w:val="20"/>
                <w:color w:val="auto"/>
              </w:rPr>
            </w:pPr>
            <w:r>
              <w:rPr>
                <w:rFonts w:ascii="Arial" w:cs="Arial" w:eastAsia="Arial" w:hAnsi="Arial"/>
                <w:sz w:val="13"/>
                <w:szCs w:val="13"/>
                <w:color w:val="auto"/>
                <w:w w:val="89"/>
              </w:rPr>
              <w:t>Other comprehensive earnings — unrealized gain on investments and other</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financial instruments, net of tax</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20" w:type="dxa"/>
            <w:vAlign w:val="bottom"/>
          </w:tcPr>
          <w:p>
            <w:pPr>
              <w:ind w:left="120"/>
              <w:spacing w:after="0" w:line="122" w:lineRule="exact"/>
              <w:rPr>
                <w:sz w:val="20"/>
                <w:szCs w:val="20"/>
                <w:color w:val="auto"/>
              </w:rPr>
            </w:pPr>
            <w:r>
              <w:rPr>
                <w:rFonts w:ascii="Arial" w:cs="Arial" w:eastAsia="Arial" w:hAnsi="Arial"/>
                <w:sz w:val="13"/>
                <w:szCs w:val="13"/>
                <w:color w:val="auto"/>
                <w:w w:val="97"/>
              </w:rPr>
              <w:t>Other comprehensive earnings — unrealized losses of investments in</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0"/>
                <w:szCs w:val="10"/>
                <w:color w:val="auto"/>
              </w:rPr>
            </w:pPr>
          </w:p>
        </w:tc>
        <w:tc>
          <w:tcPr>
            <w:tcW w:w="56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0"/>
        </w:trPr>
        <w:tc>
          <w:tcPr>
            <w:tcW w:w="4020" w:type="dxa"/>
            <w:vAlign w:val="bottom"/>
          </w:tcPr>
          <w:p>
            <w:pPr>
              <w:ind w:left="120"/>
              <w:spacing w:after="0"/>
              <w:rPr>
                <w:sz w:val="20"/>
                <w:szCs w:val="20"/>
                <w:color w:val="auto"/>
              </w:rPr>
            </w:pPr>
            <w:r>
              <w:rPr>
                <w:rFonts w:ascii="Arial" w:cs="Arial" w:eastAsia="Arial" w:hAnsi="Arial"/>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02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Reclassification adjustments for unrealized gains and losses 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unconsolidated affiliates, net of tax, included in net earnings</w:t>
            </w: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Sale of noncontrolling interest in consolidated subsidiary</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Treasury stock repurchases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Stock-based compensation, consolidated subsidiaries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Contribution of CSA services from FNF</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4020" w:type="dxa"/>
            <w:vAlign w:val="bottom"/>
          </w:tcPr>
          <w:p>
            <w:pPr>
              <w:ind w:left="120"/>
              <w:spacing w:after="0"/>
              <w:rPr>
                <w:sz w:val="20"/>
                <w:szCs w:val="20"/>
                <w:color w:val="auto"/>
              </w:rPr>
            </w:pPr>
            <w:r>
              <w:rPr>
                <w:rFonts w:ascii="Arial" w:cs="Arial" w:eastAsia="Arial" w:hAnsi="Arial"/>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earnings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1,232.2</w:t>
            </w:r>
          </w:p>
        </w:tc>
        <w:tc>
          <w:tcPr>
            <w:tcW w:w="0" w:type="dxa"/>
            <w:vAlign w:val="bottom"/>
          </w:tcPr>
          <w:p>
            <w:pPr>
              <w:spacing w:after="0"/>
              <w:rPr>
                <w:sz w:val="1"/>
                <w:szCs w:val="1"/>
                <w:color w:val="auto"/>
              </w:rPr>
            </w:pPr>
          </w:p>
        </w:tc>
      </w:tr>
      <w:tr>
        <w:trPr>
          <w:trHeight w:val="183"/>
        </w:trPr>
        <w:tc>
          <w:tcPr>
            <w:tcW w:w="4020" w:type="dxa"/>
            <w:vAlign w:val="bottom"/>
          </w:tcPr>
          <w:p>
            <w:pPr>
              <w:ind w:left="20"/>
              <w:spacing w:after="0"/>
              <w:rPr>
                <w:sz w:val="20"/>
                <w:szCs w:val="20"/>
                <w:color w:val="auto"/>
              </w:rPr>
            </w:pPr>
            <w:r>
              <w:rPr>
                <w:rFonts w:ascii="Arial" w:cs="Arial" w:eastAsia="Arial" w:hAnsi="Arial"/>
                <w:sz w:val="13"/>
                <w:szCs w:val="13"/>
                <w:color w:val="auto"/>
              </w:rPr>
              <w:t>Balance, September 30,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1,871.7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1,398.5</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3,272.0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9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175"/>
        </w:trPr>
        <w:tc>
          <w:tcPr>
            <w:tcW w:w="8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9"/>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Net earnings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1,232.2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40.6</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Adjustments to reconcile net earnings to net cash used in operating activities: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w:t>
            </w:r>
          </w:p>
        </w:tc>
      </w:tr>
      <w:tr>
        <w:trPr>
          <w:trHeight w:val="192"/>
        </w:trPr>
        <w:tc>
          <w:tcPr>
            <w:tcW w:w="84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Equity in (earnings) losses of unconsolidated affiliates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r>
      <w:tr>
        <w:trPr>
          <w:trHeight w:val="186"/>
        </w:trPr>
        <w:tc>
          <w:tcPr>
            <w:tcW w:w="8460" w:type="dxa"/>
            <w:vAlign w:val="bottom"/>
          </w:tcPr>
          <w:p>
            <w:pPr>
              <w:ind w:left="460"/>
              <w:spacing w:after="0"/>
              <w:rPr>
                <w:sz w:val="20"/>
                <w:szCs w:val="20"/>
                <w:color w:val="auto"/>
              </w:rPr>
            </w:pPr>
            <w:r>
              <w:rPr>
                <w:rFonts w:ascii="Arial" w:cs="Arial" w:eastAsia="Arial" w:hAnsi="Arial"/>
                <w:sz w:val="14"/>
                <w:szCs w:val="14"/>
                <w:color w:val="auto"/>
              </w:rPr>
              <w:t>Distributions from investments in unconsolidated affiliates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92"/>
        </w:trPr>
        <w:tc>
          <w:tcPr>
            <w:tcW w:w="84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Recognized gains and losses and asset impairments, net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r>
      <w:tr>
        <w:trPr>
          <w:trHeight w:val="186"/>
        </w:trPr>
        <w:tc>
          <w:tcPr>
            <w:tcW w:w="8460" w:type="dxa"/>
            <w:vAlign w:val="bottom"/>
          </w:tcPr>
          <w:p>
            <w:pPr>
              <w:ind w:left="460"/>
              <w:spacing w:after="0"/>
              <w:rPr>
                <w:sz w:val="20"/>
                <w:szCs w:val="20"/>
                <w:color w:val="auto"/>
              </w:rPr>
            </w:pPr>
            <w:r>
              <w:rPr>
                <w:rFonts w:ascii="Arial" w:cs="Arial" w:eastAsia="Arial" w:hAnsi="Arial"/>
                <w:sz w:val="14"/>
                <w:szCs w:val="14"/>
                <w:color w:val="auto"/>
              </w:rPr>
              <w:t>Lease asset amortization</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192"/>
        </w:trPr>
        <w:tc>
          <w:tcPr>
            <w:tcW w:w="84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Stock-based compensation cost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8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 trade receivables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186"/>
        </w:trPr>
        <w:tc>
          <w:tcPr>
            <w:tcW w:w="8460" w:type="dxa"/>
            <w:vAlign w:val="bottom"/>
          </w:tcPr>
          <w:p>
            <w:pPr>
              <w:ind w:left="500"/>
              <w:spacing w:after="0"/>
              <w:rPr>
                <w:sz w:val="20"/>
                <w:szCs w:val="20"/>
                <w:color w:val="auto"/>
              </w:rPr>
            </w:pPr>
            <w:r>
              <w:rPr>
                <w:rFonts w:ascii="Arial" w:cs="Arial" w:eastAsia="Arial" w:hAnsi="Arial"/>
                <w:sz w:val="14"/>
                <w:szCs w:val="14"/>
                <w:color w:val="auto"/>
              </w:rPr>
              <w:t>Net increase in inventory, prepaid expenses and other assets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92"/>
        </w:trPr>
        <w:tc>
          <w:tcPr>
            <w:tcW w:w="8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decrease in lease liabilities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r>
      <w:tr>
        <w:trPr>
          <w:trHeight w:val="186"/>
        </w:trPr>
        <w:tc>
          <w:tcPr>
            <w:tcW w:w="8460" w:type="dxa"/>
            <w:vAlign w:val="bottom"/>
          </w:tcPr>
          <w:p>
            <w:pPr>
              <w:ind w:left="500"/>
              <w:spacing w:after="0"/>
              <w:rPr>
                <w:sz w:val="20"/>
                <w:szCs w:val="20"/>
                <w:color w:val="auto"/>
              </w:rPr>
            </w:pPr>
            <w:r>
              <w:rPr>
                <w:rFonts w:ascii="Arial" w:cs="Arial" w:eastAsia="Arial" w:hAnsi="Arial"/>
                <w:sz w:val="14"/>
                <w:szCs w:val="14"/>
                <w:color w:val="auto"/>
              </w:rPr>
              <w:t>Net decrease (increase) in accounts payable, accrued liabilities, deferred revenue and other liabilities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192"/>
        </w:trPr>
        <w:tc>
          <w:tcPr>
            <w:tcW w:w="8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change in income taxes</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7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(190.9)</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r>
      <w:tr>
        <w:trPr>
          <w:trHeight w:val="186"/>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Proceeds from partial sale of Ceridian shares - see Note A</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212.5</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Additions to property and equipment and other intangible assets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Additions to notes receivable</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Proceeds from sale of investments in unconsolidated affiliates and other long term investments</w:t>
            </w:r>
          </w:p>
        </w:tc>
        <w:tc>
          <w:tcPr>
            <w:tcW w:w="2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in Dun &amp; Bradstreet, net of capitalized syndication fees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(526.2)</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Purchases of other long term investments</w:t>
            </w:r>
          </w:p>
        </w:tc>
        <w:tc>
          <w:tcPr>
            <w:tcW w:w="2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 in Optimal Blue</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Other investments in unconsolidated affiliates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deconsolidated through the Blue Ribbon Reorganization - see Note A</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Distributions from investments in unconsolidated affiliates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proceeds from sales and maturities of short-term investment securities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186"/>
        </w:trPr>
        <w:tc>
          <w:tcPr>
            <w:tcW w:w="8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other investing activities</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186"/>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(289.9)</w:t>
            </w:r>
          </w:p>
        </w:tc>
      </w:tr>
      <w:tr>
        <w:trPr>
          <w:trHeight w:val="176"/>
        </w:trPr>
        <w:tc>
          <w:tcPr>
            <w:tcW w:w="846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5"/>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364.0</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Debt service payments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(213.5)</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Subsidiary distributions paid to noncontrolling interest shareholders</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Sale of noncontrolling interest in consolidated subsidiary</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equity offering, net of offering expenses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460" w:type="dxa"/>
            <w:vAlign w:val="bottom"/>
          </w:tcPr>
          <w:p>
            <w:pPr>
              <w:ind w:left="220"/>
              <w:spacing w:after="0"/>
              <w:rPr>
                <w:sz w:val="20"/>
                <w:szCs w:val="20"/>
                <w:color w:val="auto"/>
              </w:rPr>
            </w:pPr>
            <w:r>
              <w:rPr>
                <w:rFonts w:ascii="Arial" w:cs="Arial" w:eastAsia="Arial" w:hAnsi="Arial"/>
                <w:sz w:val="14"/>
                <w:szCs w:val="14"/>
                <w:color w:val="auto"/>
              </w:rPr>
              <w:t>Treasury stock repurchases</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92"/>
        </w:trPr>
        <w:tc>
          <w:tcPr>
            <w:tcW w:w="8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Restaurant Group sale and leaseback of corporate office, net of issuance costs</w:t>
            </w: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7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159.2</w:t>
            </w:r>
          </w:p>
        </w:tc>
      </w:tr>
      <w:tr>
        <w:trPr>
          <w:trHeight w:val="186"/>
        </w:trPr>
        <w:tc>
          <w:tcPr>
            <w:tcW w:w="8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w:t>
            </w:r>
          </w:p>
        </w:tc>
      </w:tr>
      <w:tr>
        <w:trPr>
          <w:trHeight w:val="186"/>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323.0</w:t>
            </w:r>
          </w:p>
        </w:tc>
      </w:tr>
      <w:tr>
        <w:trPr>
          <w:trHeight w:val="211"/>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holding company engaged in actively managing and operating a group of companies and investments, as well as making additional majority and minority equity portfolio investments in businesses, in order to achieve superior financial performance and maximize the value of these assets. Our primary investments as of September 30, 2020 include our minority ownership interests in Dun &amp; Bradstreet Holdings, Inc. ("Dun &amp; Bradstreet" or "D&amp;B"), Ceridian HCM Holding, Inc. ("Ceridian"), CoreLogic, Inc. ("CoreLogic"), Optimal Blue Holdco, LLC ("Optimal Blue") and AmeriLife Group, LLC ("AmeriLife"); majority equity ownership stakes in O'Charley's Holdings, LLC ("O'Charley's") and 99 Restaurants Holdings, LLC ("99 Restaurants"); and various other controlled portfolio companies and minority equity and debt investments.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H for further discussion of the businesses comprising our reportable segments.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conducts its business through its wholly-owned subsidiary Cannae Holdings, LLC ("Cannae LLC"), a Delaware limited liability company. The Company’s board of directors ("Board") oversees the management of the Company, Cannae LLC and its businesses, and the performance of Trasimene Capital Management, LLC (“Trasimene” or the “Manager”). In connection with the externalization of certain of our management functions in September 2019, the Company, Cannae LLC, and the Manager entered into a Management Services Agreement (the “Management Services Agreement”). The Manager is considered a related party to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2019.</w:t>
      </w:r>
    </w:p>
    <w:p>
      <w:pPr>
        <w:spacing w:after="0" w:line="5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the split-off of the former portfolio company investments by Fidelity National Financial, Inc. ("FNF"), and subsequent contribution to us (the "FNF Split-Off"), the Company is allocated certain corporate overhead and management services expenses from FNF based on the terms of the Corporate Services Agreement ("CSA"), dated as of November 17, 2017, by and between the Company and FNF and our proportionate share of the expense determined on actual usage and our best estimate of management's allocation of time. The CSA has an initial three-year term and after the initial three-year term, if the CSA is not mutually terminated by us or FNF prior to the expiration of the initial three-year term, it will automatically renew for successive one-year terms on mutually agreeable arm's length terms unless FNF and Cannae mutually agree to terminate the agreement. The CSA was extended on October 7, 2020. See further discussion below.</w:t>
      </w:r>
    </w:p>
    <w:p>
      <w:pPr>
        <w:spacing w:after="0" w:line="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Both FNF and Cannae believe expense allocations pursuant to the CSA are reasonable; however, they may not be indicative of the actual results of operations or cash flows of the Company had the Company been operating as an independent, publicly-traded company for the periods presented or the amounts that will be incurred by the Company in the future. FNF is considered a related party to the Company.</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intercompany profits, transactions and balances have been eliminated. Our investments in non-majority-owned partnerships and affiliates are accounted for using the equity method. Earnings attributable to noncontrolling interests are recorded on the Condensed Consolidated Statements of Operations relating to majority-owned subsidiaries with the appropriate noncontrolling interest that represents the portion of equity not related to our ownership interest recorded on the Condensed Consolidated Balance Sheets in each period.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liabilities at the date of the Condensed Consolidated Financial Statements and the reported amounts of revenues and expenses during the reporting period. Significant estimates made by management include the valuation of goodwill and acquired intangible assets (Note K) and fair value measurements (Note C). Actual results may differ from estimates.</w:t>
      </w:r>
    </w:p>
    <w:p>
      <w:pPr>
        <w:spacing w:after="0" w:line="76" w:lineRule="exact"/>
        <w:rPr>
          <w:sz w:val="20"/>
          <w:szCs w:val="20"/>
          <w:color w:val="auto"/>
        </w:rPr>
      </w:pPr>
    </w:p>
    <w:p>
      <w:pPr>
        <w:jc w:val="right"/>
        <w:ind w:right="9640"/>
        <w:spacing w:after="0"/>
        <w:rPr>
          <w:sz w:val="20"/>
          <w:szCs w:val="20"/>
          <w:color w:val="auto"/>
        </w:rPr>
      </w:pPr>
      <w:r>
        <w:rPr>
          <w:rFonts w:ascii="Arial" w:cs="Arial" w:eastAsia="Arial" w:hAnsi="Arial"/>
          <w:sz w:val="15"/>
          <w:szCs w:val="15"/>
          <w:b w:val="1"/>
          <w:bCs w:val="1"/>
          <w:i w:val="1"/>
          <w:iCs w:val="1"/>
          <w:color w:val="auto"/>
        </w:rPr>
        <w:t>Recent Developments</w:t>
      </w:r>
    </w:p>
    <w:p>
      <w:pPr>
        <w:spacing w:after="0" w:line="152" w:lineRule="exact"/>
        <w:rPr>
          <w:sz w:val="20"/>
          <w:szCs w:val="20"/>
          <w:color w:val="auto"/>
        </w:rPr>
      </w:pPr>
    </w:p>
    <w:p>
      <w:pPr>
        <w:jc w:val="right"/>
        <w:ind w:right="962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6, 2020, Dun &amp; Bradstreet closed its previously announced initial public offering of 90,047,612 shares of common stock, which includes 11,745,340 shares of common stock issued pursuant to the exercise by the underwriters of their option to purchase additional shares in full (the "D&amp;B IPO"). The D&amp;B IPO was priced at $22.00 per share, resulting in gross proceeds to Dun &amp; Bradstreet of $2.4 billion when combined with $400.0 million of aggregate proceeds from a concurrent private placement offering (the "D&amp;B Private Placement") and before deducting underwriting discounts and commissions and other offering expenses payable by Dun &amp; Bradstreet. Shares of Dun &amp; Bradstreet common stock began trading on the New York Stock Exchange ("NYSE") under the ticker symbol "DNB" on July 1, 2020. Dun &amp; Bradstreet used a portion of the net proceeds from the D&amp;B IPO to redeem all of its outstanding Series A Preferred Stock and repay a portion of its 10.250% Senior Unsecured Notes outstanding due 2027.</w:t>
      </w:r>
    </w:p>
    <w:p>
      <w:pPr>
        <w:spacing w:after="0" w:line="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July 6, 2020, we invested $200.0 million in the D&amp;B Private Placement. Subsequent to the D&amp;B IPO and the D&amp;B Private Placement, we own 76.6 million shares of Dun &amp; Bradstreet, which represents approximately 18.1% of its outstanding common stock as of September 30, 2020.</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D&amp;B IPO, we recorded a net gain of $117.0 million (net of $2.3 million of before-tax losses reclassified from other comprehensive earnings) in the three months ended September 30, 2020.</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D for further discussion of our accounting for our investment in D&amp;B.</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Ceridian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nine months ended September 30, 2020, we completed sales of an aggregate of 7.6 million shares of common stock of Ceridian to brokers pursuant to Rule 144 promulgated under the Securities Act of 1933, as amended. In connection with the sales, we received aggregate proceeds of $522.0 million. As a result of the sales, we now own 16.1 million shares of Ceridian, which represents approximately 10.9% of its outstanding common stock as of September 30, 2020.</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March 31, 2020 our voting agreement with Ceridian was terminated and, as a result, we are no longer able to exert influence over the composition and quantity of Ceridian's board of directors. In combination with the reduction in our ownership of Ceridian resulting from the sale of shares in February 2020, we no longer exercise significant influence over Ceridian. As of March 31, 2020, we account for our investment in Ceridian at fair value pursuant to the investment in equity security guidance of Accounting Standards Codification ("ASC") 321. The change resulted in the revaluation of our investment in Ceridian to its fair value of $993.4 million as of March 31, 2020 and recording a gain on such revaluation of $684.9 million (net of $47.1 million of before-tax losses reclassified from other comprehensive earnings) which is included in Recognized gains and losses, net on the Condensed Consolidated Statement of Operations for the nine months ended September 30, 2020.</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Notes C and D for further discussion of our accounting for our investment in Ceridian and other equity securities.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November 9, 2020, we sold 2.1 million shares of common stock of Ceridian to a broker pursuant to Rule 144 promulgated under the Securities Act of 1933, as amended. We expect to receive gross proceeds of $198.9 million from the sale.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January 27, 2020, American Blue Ribbon Holdings, LLC ("Blue Ribbon") and its wholly-owned subsidiaries, filed voluntary petitions for relief under chapter 11 of the United States Bankruptcy Code in the U.S. Bankruptcy Court for the District of Delaware (the "Blue Ribbon Reorganization"). The Blue Ribbon Reorganization does not involve or affect the operations of O’Charley’s or 99 Restaurants, which are not part of Blue Ribbon.</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of the Blue Ribbon Reorganization, we deconsolidated Blue Ribbon as of January 27, 2020 because the bankruptcy court and committee of creditors formed are deemed to have control of Blue Ribbon. As of September 30, 2020, we owned 65.4% of the equity of Blue Ribbon, and we have fully funded the debtor-in-possession financing (the "DIP Loan") of $27.5 million to Blue Ribbon and its subsidiaries.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recorded a gain of $26.5 million on January 27, 2020 as a result of the deconsolidation of Blue Ribbon, which is included in Recognized gains and losses, net on the Condensed Consolidated Statement of Operations. The recorded gain was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measured as the excess of the fair value of our retained equity investment in Blue Ribbon over our book value of Blue Ribbon as of January 27, 2020.</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Blue Ribbon Reorganization, we accounted for our retained equity interest in Blue Ribbon under the equity method of accounting because</w:t>
      </w:r>
    </w:p>
    <w:p>
      <w:pPr>
        <w:spacing w:after="0" w:line="46" w:lineRule="exact"/>
        <w:rPr>
          <w:sz w:val="20"/>
          <w:szCs w:val="20"/>
          <w:color w:val="auto"/>
        </w:rPr>
      </w:pPr>
    </w:p>
    <w:p>
      <w:pPr>
        <w:jc w:val="both"/>
        <w:ind w:firstLine="8"/>
        <w:spacing w:after="0" w:line="273" w:lineRule="auto"/>
        <w:tabs>
          <w:tab w:leader="none" w:pos="274"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continued to exert significant influence over Blue Ribbon through our majority equity ownership and position as the single largest post-petition creditor of Blue Ribbon through the DIP Loan, (2) the Blue Ribbon Reorganization was limited in scope and expected to be short in duration, and (3) we expected to retain a majority equity interest upon completion of the Blue Ribbon Reorganization. We recorded an investment of $33.6 million as of January 27, 2020. The fair value of the investment was determined by performing a combination of discounted cash flow and market approaches.</w:t>
      </w:r>
    </w:p>
    <w:p>
      <w:pPr>
        <w:spacing w:after="0" w:line="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of unprecedented social restrictions imposed by state and local government authorities related to the novel coronavirus ("COVID-19") pandemic, our Restaurant Group brands experienced a significant reduction in guest counts beginning in the last two weeks of March 2020. In response to the outbreak and these changing conditions, our Restaurant Group brands initially closed the dining rooms in substantially all of our restaurants. Due to increased uncertainty in the operating environment for restaurants and a significant reduction in forecasted cash flows for Blue Ribbon, we recorded an other-than-temporary impairment of our investment of $18.6 million as of March 31, 2020. As of September 30, 2020, our ratable portion of losses of Blue Ribbon have reduced to zero the recorded value of our equity investment in Blue Ribbon.</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we have provided $27.5 million of financing to Blue Ribbon and its subsidiaries under the DIP Loan. For the three and nine months ended September 30, 2020, $5.2 million and $(6.3) million, respectively, of equity in earnings (losses) of Blue Ribbon were applied to our recorded DIP Loan balance. As of September 30, 2020, the recorded balance for the DIP Loan is $21.2 million and is included in Prepaid expenses and other current assets on the Condensed Consolidated Balance Sheet.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10, 2020, Blue Ribbon filed its Debtor's Chapter 11 Plan (the "Chapter 11 Plan") with the U.S. Bankruptcy Court of Delaware (the "Bankruptcy Court").</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2, 2020, the Chapter 11 Plan became effective and Blue Ribbon emerged from bankruptcy as a set of reorganized companies. Subsequent to Blue Ribbon's emergence from bankruptcy we own 100% of the equity of the reorganized companies.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G for further discussion.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2020, we closed on the previously announced $125.0 million investment in a partnership (the “AmeriLife Joint Venture”) that invested in the recapitalization of AmeriLife. Cannae and other investors provided an aggregate of $617.0 million in equity financing to the AmeriLife Joint Venture to acquire AmeriLife. AmeriLife is a leader in marketing and distributing life, health, and retirement solutions. The Company's $125.0 million investment represents 20.3% of the outstanding equity of the AmeriLife Joint Venture. We account for our investment in the AmeriLife Joint Venture under the equity method of accounting and the investment is included in Investments in unconsolidated affiliates on our Condensed Consolidated Balance Sheet as of September 30, 2020.</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D for further discussion of our investments in unconsolidated affiliates.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CoreLogic</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12, 2019, we entered into a limited partnership with Senator Focused Strategies LP ("Senator Focused Strategies" or "SFS") and affiliates of Senator Investment Group, LP ("Senator") designed to provide a mechanism to allow us and Senator to jointly invest in CoreLogic. In December 2019, we initially contributed $90.9 million of cash in exchange for limited partnership interests in SFS representing 49.0% of its outstanding equity and a deposit on hand with SFS. Affiliates of Senator are the general partner and hold the balance of the limited partnership interests of SFS. In the nine months ended September 30, 2020, we invested an additional $201.2 million in Senator Focused Strategies. We account for our investment in SFS under the equity method of accounting.</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nine months ended September 30, 2020, we received from SFS a distribution of 2.3 million shares of common stock of CoreLogic. As of September 30, 2020, Cannae directly holds $155.6 million of common stock of CoreLogic, which is included in Equity securities on our Condensed Consolidated Balance Sheet as of September 30, 2020.</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September 30, 2020, SFS distributed $232.4 million of securities to other limited partners affiliated with Senator. As a result of the distribution to Senator, the Company now owns 87.4% of Senator Focused Strategies as of September 30, 2020.</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Notes C and D for further discussion of our accounting for our investment in SFS and equity securities.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26, 2020, Cannae and Senator submitted a jointly signed letter to CoreLogic’s Board of Directors pursuant to which Cannae and Senator proposed to acquire CoreLogic for $65.00 per share in cash. On July 7, 2020, CoreLogic announced that its board of directors unanimously rejected the proposal.</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29, 2020, Cannae and Senator sent an open letter to CoreLogic shareholders announcing that we have initiated the process to call a special meeting of CoreLogic's shareholders to elect nine independent directors to the CoreLogic Board of Directors.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14, 2020, Senator and Cannae informed the board of directors of CoreLogic of the decision by Senator and Cannae to increase the proposed purchase price to $66.00 per share in cash. On September 15, 2020, the CoreLogic board of directors delivered to Senator and Cannae a letter in which CoreLogic's board of directors rejected the revised offer and again rejected Senator’s and Cannae’s request for access to targeted due diligence information regarding CoreLogic.</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special meeting of the stockholders of CoreLogic to vote on, among other things, the election of nine independent directors to CoreLogic's board of directors nominated by Senator and Cannae is scheduled to be held on November 17, 2020.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30, 2020, we distributed the 2.3 million shares of CoreLogic previously held directly by us back to SFS which increased our ownership of SFS.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Optimal Blue</w:t>
      </w:r>
    </w:p>
    <w:p>
      <w:pPr>
        <w:spacing w:after="0" w:line="11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On September 15, 2020, Black Knight, Inc. (“Black Knight”) closed on its acquisition of Optimal Blue, a leading provider of secondary market solutions and actionable data services. Cannae, in connection with the closing of the acquisition by Black Knight, funded its previously announced commitment to purchase 20% of the equity of Optimal Blue for $289.0 million. We account for our investment in Optimal Blue under the equity method of accounting and the investment is included in Investments in unconsolidated affiliates on our Condensed Consolidated Balance Sheet as of September 30, 2020.</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D for further discussion of our investments in unconsolidated affiliates.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Forward Purchases of Equity of Special Purpose Acquisition Companies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May 8, 2020, we entered into a forward purchase agreement (the "FTAC FPA") with Foley Trasimene Acquisition Corp. (“FTAC”), a newly incorporated blank check company whose business purpose is to effect a merger, capital stock exchange, asset acquisition, stock purchase, reorganization or similar business combination with one or more businesses or entities (the "FTAC Initial Business Combination"). FTAC is co-sponsored by entities affiliated with the chairman of our Board of Directors, William P. Foley II. Under the FTAC FPA, we will purchase an aggregate of 15,000,000 shares of FTAC’s Class A common stock, plus an aggregate of 5,000,000 redeemable warrants to purchase one share of FTAC's Class A common stock at $11.50 per share for an aggregate purchase price of $150.0 million in a private placement to occur concurrently with the closing of the FTAC Initial Business Combination. The forward purchase is contingent upon the closing of the FTAC Initial Business Combination.</w:t>
      </w:r>
    </w:p>
    <w:p>
      <w:pPr>
        <w:spacing w:after="0" w:line="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5, 2020, we entered into a forward purchase agreement (the "Trebia FPA") with Trebia Acquisition Corp. (“Trebia”), a newly incorporated blank check company incorporated as a Cayman Islands exempted company for the purpose of effecting a merger, share exchange, asset acquisition, share purchase, reorganization or similar business combination with one or more businesses or entities (the "Trebia Initial Business Combination"). Trebia is co-sponsored by entities affiliated with the chairman and a member of our Board of Directors, William P. Foley II and Frank R. Martire, respectively. Under the Trebia FPA, we will purchase an aggregate of 7,500,000 Class A ordinary shares of Trebia, plus an aggregate of 2,500,000 redeemable warrants to purchase one Class A ordinary share of Trebia at $11.50 per share for an aggregate purchase price of $75.0 million in a private placement to occur concurrently with the closing of the Trebia Initial Business Combination. The forward purchase is contingent upon the closing of the Trebia Initial Business Combination.</w:t>
      </w:r>
    </w:p>
    <w:p>
      <w:pPr>
        <w:spacing w:after="0" w:line="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July 31, 2020, we entered into a forward purchase agreement (the "FTAC II FPA" and together with the FTAC FPA and Trebia FPA, the "Forward Purchase Agreements") with Foley Trasimene Acquisition Corp. II (“FTAC II”), a newly incorporated blank check company whose business purpose is to effect a merger, capital stock exchange, asset acquisition, stock purchase, reorganization or similar business combination with one or more businesses or entities (the "FTAC II Initial Business Combination"). FTAC II is sponsored by an entity affiliated with the chairman of our Board of Directors, William 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Foley II. Under the FTAC II FPA, we will purchase an aggregate of 15,000,000 shares of FTAC II’s Class A common stock, plus an aggregate of 5,000,000 redeemable warrants to purchase one share of FTAC II's Class A common stock at $11.50 per share for an aggregate purchase price of $150.0 million in a private placement to occur concurrently with the closing of the FTAC II Initial Business Combination. The forward purchase is contingent upon the closing of the FTAC II Initial Business Combination.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C and E for further discussion of our accounting for the Forward Purchase Agreements.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June 2020, we completed an underwritten public offering of an aggregate of 12,650,000 shares of our common stock, including 1,650,000 shares of our common stock pursuant to the full exercise of the underwriter's overallotment option (the "Offering"), pursuant to a prospectus supplement, dated June 10, 2020, and the base prospectus, dated November 27, 2019, included in our registration statement on Form S-3 ASR (File No. 333-235303), which was initially filed with the Securities and Exchange Commission on November 27, 2019. We received net proceeds from the Offering of approximately $455.0 million, after deducting the underwriting discount and capitalized offering expenses payable by the Company. We intend to use the net proceeds of the Offering to fund future acquisitions or investments, including potential investments in existing portfolio companies, and for general corporate purposes.</w:t>
      </w:r>
    </w:p>
    <w:p>
      <w:pPr>
        <w:spacing w:after="0" w:line="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October 7, 2020, the Company entered into an Extension of Corporate Services Agreement (the “Extension”) with FNF. Pursuant to the Extension, the term of the CSA is extended for two years until November 17, 2022 (the “Extended Term”). During the Extended Term, FNF will provide certain corporate services to Cannae at FNF’s Standard Allocation (as defined in the CSA), plus 10%, and Cannae agrees to pay or reimburse FNF for any fees, costs or other expenses paid by FNF to third parties in connection with the corporate services. The CSA will automatically renew for successive one-year terms, unless the parties mutually agree to terminate the CSA at least 30 days prior to the applicable termination date. No later than 30 days prior to such termination date, the parties shall negotiate mutually agreeable arm’s length terms for each additional one year term.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primarily include our investments in Ceridian, CoreLogic and the Forward Purchase Agreements and are carried at fair value. See Notes C and D for further discussion of our accounting for equity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nine months ended September 30, 2020 we have incurred $15.1 million of management fee expenses payable to our Manager and earned $9.1 million of income related to transaction fees earned by the Manager and allocable to us pursuant to the Management Services Agreement. Such management fees and income are recorded in Other operating expenses and Interest, investment and other income, respectively, on our Condensed Consolidated Statement of Operations for the nine months ended September 30,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shares of restricted stock that have been treated as common share equivalents for purposes of calculating diluted earnings per share for periods in which positive earnings have been reported.</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Instruments that provide the ability to purchase shares of our common stock that are antidilutive are excluded from the computation of diluted earnings per share. For the three and nine months ended September 30, 2020 and 2019, there were no antidilutive shares of restricted stock outstanding, which were excluded from the calculation of diluted earnings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effective tax rate was 21.4% and 22.4% in the three months ended September 30, 2020 and 2019, respectively, and 21.5% and 14.1% in the nine months ended September 30, 2020 and 2019, respectively. The increase in the effective tax rate in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nine-month period ended September 30, 2020 compared to the prior-year period was primarily attributable to the reduced impact of equity in earnings of unconsolidated affiliates on pretax earnings in the current year period compared to the impact of equity in losses of unconsolidated affiliates on pretax earnings in the same period in the 2019.</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Deferred tax liability of $231.1 million as of September 30, 2020 and a Deferred tax asset of $54.5 million as of December 31, 2019. The $285.6 million change in deferred taxes in the nine months ended September 30, 2020 is primarily attributable to the tax impact of the gain recorded for the change in accounting for Ceridian and other unrealized gains on equity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Our Restaurant Group is required to hold cash collateralizing its outstanding letters of credit. Included in Cash and cash equivalents on our Condensed Consolidated Balance Sheets as of September 30, 2020 and December 31, 2019 is $10.9 million and $11.4 million, respectively, of such restricted cash.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In December 2019, the FASB issued Accounting Standards Update ("ASU") 2019-12 </w:t>
      </w:r>
      <w:r>
        <w:rPr>
          <w:rFonts w:ascii="Arial" w:cs="Arial" w:eastAsia="Arial" w:hAnsi="Arial"/>
          <w:sz w:val="16"/>
          <w:szCs w:val="16"/>
          <w:i w:val="1"/>
          <w:iCs w:val="1"/>
          <w:color w:val="auto"/>
        </w:rPr>
        <w:t>Income Taxes - Simplifying the Accounting for 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740)</w:t>
      </w:r>
      <w:r>
        <w:rPr>
          <w:rFonts w:ascii="Arial" w:cs="Arial" w:eastAsia="Arial" w:hAnsi="Arial"/>
          <w:sz w:val="16"/>
          <w:szCs w:val="16"/>
          <w:color w:val="auto"/>
        </w:rPr>
        <w:t>, which simplifies various aspects of the income tax accounting guidance and will be applied using different approaches depending on what the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 amendment relates to and, for public entities, are effective for fiscal years, and interim periods within those fiscal years, beginning after December 15, 2020. Early adoption is permitted. We have completed our evaluation of the impact of this guidance on our Condensed Consolidated Financial Statements and related disclosures upon adoption and determined that, based on currently prevailing tax laws and rates, the adoption of this ASU is not expected to have a material impact on our Condensed Consolidated Financial Statements and related disclosures. Adoption of this ASU could result in a material change to our accounting for taxes in future interim periods if a change in tax laws or rates occurs in a future interim period as the update now requires accounting for such changes to occur in the period in which changes to tax laws or rates are enacted. We do not plan to early adopt this standard.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Leases</w:t>
      </w:r>
    </w:p>
    <w:p>
      <w:pPr>
        <w:spacing w:after="0" w:line="1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party to operating lease arrangements primarily for leased real estate for restaurants and office space. Right-of-use assets and lease liabilities related to operating leases are recorded at commencement when we are party to a contract that conveys the right for the Company to control an asset for a specified period of time. We are not a party to any material contracts that are to be considered finance leases. Right-of-use assets and lease liabilities related to operating leases are recorded as Lease assets and Lease liabilities, respectively, on the Condensed Consolidated Balance Sheets as of September 30, 2020 and December 31, 2019.</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changes in our accounting for leases as of or during the three months ended September 30, 2020.</w:t>
      </w:r>
    </w:p>
    <w:p>
      <w:pPr>
        <w:spacing w:after="0" w:line="117" w:lineRule="exact"/>
        <w:rPr>
          <w:sz w:val="20"/>
          <w:szCs w:val="20"/>
          <w:color w:val="auto"/>
        </w:rPr>
      </w:pPr>
    </w:p>
    <w:p>
      <w:pPr>
        <w:ind w:right="640" w:firstLine="324"/>
        <w:spacing w:after="0" w:line="274" w:lineRule="auto"/>
        <w:rPr>
          <w:sz w:val="20"/>
          <w:szCs w:val="20"/>
          <w:color w:val="auto"/>
        </w:rPr>
      </w:pPr>
      <w:r>
        <w:rPr>
          <w:rFonts w:ascii="Arial" w:cs="Arial" w:eastAsia="Arial" w:hAnsi="Arial"/>
          <w:sz w:val="18"/>
          <w:szCs w:val="18"/>
          <w:color w:val="auto"/>
        </w:rPr>
        <w:t>As a result of the Blue Ribbon Reorganization, we deconsolidated Blue Ribbon as of January 27, 2020. Future payments under operating lease arrangements as of September 30, 2020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r>
      <w:tr>
        <w:trPr>
          <w:trHeight w:val="223"/>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 undiscounted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r>
      <w:tr>
        <w:trPr>
          <w:trHeight w:val="223"/>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lease liability as of September 30, 2020, at present value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9"/>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operating lease liability as of September 30, 2020, current</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liability as of September 30, 2020, long term</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fair value hierarchy established by the accounting standards on fair value measurements includes three levels that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Condensed Consolidated Balance Sheets are categorized based on the inputs to the valuation techniques as follows:</w:t>
      </w:r>
    </w:p>
    <w:p>
      <w:pPr>
        <w:spacing w:after="0" w:line="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that we have the ability to access.</w:t>
      </w:r>
    </w:p>
    <w:p>
      <w:pPr>
        <w:spacing w:after="0" w:line="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3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52"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September 30, 2020 and December 31, 2019, respectively:</w:t>
      </w: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 2020</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6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83"/>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680" w:type="dxa"/>
            <w:vAlign w:val="bottom"/>
          </w:tcPr>
          <w:p>
            <w:pPr>
              <w:ind w:left="220"/>
              <w:spacing w:after="0"/>
              <w:rPr>
                <w:sz w:val="20"/>
                <w:szCs w:val="20"/>
                <w:color w:val="auto"/>
              </w:rPr>
            </w:pPr>
            <w:r>
              <w:rPr>
                <w:rFonts w:ascii="Arial" w:cs="Arial" w:eastAsia="Arial" w:hAnsi="Arial"/>
                <w:sz w:val="18"/>
                <w:szCs w:val="18"/>
                <w:color w:val="auto"/>
              </w:rPr>
              <w:t>Ceridian</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1,333.9</w:t>
            </w: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CoreLogic</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Forward Purchase Agreements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680" w:type="dxa"/>
            <w:vAlign w:val="bottom"/>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1,551.1</w:t>
            </w:r>
          </w:p>
        </w:tc>
      </w:tr>
      <w:tr>
        <w:trPr>
          <w:trHeight w:val="20"/>
        </w:trPr>
        <w:tc>
          <w:tcPr>
            <w:tcW w:w="6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55"/>
        </w:trPr>
        <w:tc>
          <w:tcPr>
            <w:tcW w:w="6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87"/>
        </w:trPr>
        <w:tc>
          <w:tcPr>
            <w:tcW w:w="6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83"/>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1"/>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668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48"/>
        </w:trPr>
        <w:tc>
          <w:tcPr>
            <w:tcW w:w="66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Level 3 fair value measurement for our fixed maturity securities available for sale are provided by a single third-party pricing service. Depending on security specific characteristics, either a combination of an income approach or a contingent claims approach was utilized in determining the fair value of our Level 3 fixed-maturity securities available for sale. Discount rates are the primary unobservable inputs utilized for the securities valued using a combination of an income and net recovery approach. The discount rates used are based on company-specific risk premiums, public company comparable securities, and leveraged loan indices. The discount rates used in our determination of the fair value of our Level 3 fixed-maturity securities available for sale varies by security type and ranged from 7.8% to 17.5% as of September 30, 2020 and a weighted average based on relative fair value of the underlying securities of 12.3%. Based on the total fair value of our Level 3 fixed-maturity securities available for sale as of September 30, 2020, changes in the discount rate utilized will not result in a change in fair value significant or material to the Company's financial position or results of operations.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Forward Purchase Agreements are accounted for at fair value pursuant to ASC 321. We utilized a Monte Carlo Simulation in determining the fair value of the Forward Purchase Agreements, which are considered to be a Level 3 fair value measurement. The primary unobservable input utilized in determining the fair value of the Forward Purchase Agreements is the probability of consummation of the FTAC Initial Business Combination, Trebia Initial Business Combination and FTAC II Initial Business Combination. The probabilities assigned to the consummation of each of the FTAC Initial Business Combination, the Trebia Initial Business Combination and the FTAC II Initial Business Combination was 90% and is based on a hybrid approach of both observed success rates of business combinations for special purpose acquisition companies and the sponsors of FTAC, FTAC II and Trebia's track record for consummating similar transactions. Based on the total fair value of the Forward Purchase Agreements as of September 30, 2020, changes in the probabilities utilized will not result in a change in fair value significant or material to the Company's financial position or results of operations.</w:t>
      </w:r>
    </w:p>
    <w:p>
      <w:pPr>
        <w:spacing w:after="0" w:line="287" w:lineRule="exact"/>
        <w:rPr>
          <w:sz w:val="20"/>
          <w:szCs w:val="20"/>
          <w:color w:val="auto"/>
        </w:rPr>
      </w:pPr>
    </w:p>
    <w:p>
      <w:pPr>
        <w:ind w:right="560" w:firstLine="324"/>
        <w:spacing w:after="0" w:line="269"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 and nine months ended September 30, 2020 and 2019 (in millions).</w:t>
      </w:r>
    </w:p>
    <w:tbl>
      <w:tblPr>
        <w:tblLayout w:type="fixed"/>
        <w:tblInd w:w="0" w:type="dxa"/>
        <w:tblCellMar>
          <w:top w:w="0" w:type="dxa"/>
          <w:left w:w="0" w:type="dxa"/>
          <w:bottom w:w="0" w:type="dxa"/>
          <w:right w:w="0" w:type="dxa"/>
        </w:tblCellMar>
      </w:tblPr>
      <w:tr>
        <w:trPr>
          <w:trHeight w:val="144"/>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20" w:type="dxa"/>
            <w:vAlign w:val="bottom"/>
            <w:gridSpan w:val="6"/>
            <w:vMerge w:val="restart"/>
          </w:tcPr>
          <w:p>
            <w:pPr>
              <w:jc w:val="center"/>
              <w:ind w:left="797"/>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Corporate debt</w:t>
            </w:r>
          </w:p>
        </w:tc>
        <w:tc>
          <w:tcPr>
            <w:tcW w:w="16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Forward Purchase</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Corporate debt</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securities</w:t>
            </w: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Agreements</w:t>
            </w:r>
          </w:p>
        </w:tc>
        <w:tc>
          <w:tcPr>
            <w:tcW w:w="500" w:type="dxa"/>
            <w:vAlign w:val="bottom"/>
          </w:tcPr>
          <w:p>
            <w:pPr>
              <w:spacing w:after="0"/>
              <w:rPr>
                <w:sz w:val="16"/>
                <w:szCs w:val="16"/>
                <w:color w:val="auto"/>
              </w:rPr>
            </w:pPr>
          </w:p>
        </w:tc>
        <w:tc>
          <w:tcPr>
            <w:tcW w:w="116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Net valuation gain included in earnings (2)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Net valuation gain included in other comprehensive earnings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Fair value, end of period</w:t>
            </w: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gridSpan w:val="6"/>
            <w:vMerge w:val="restart"/>
          </w:tcPr>
          <w:p>
            <w:pPr>
              <w:jc w:val="center"/>
              <w:ind w:left="797"/>
              <w:spacing w:after="0"/>
              <w:rPr>
                <w:sz w:val="20"/>
                <w:szCs w:val="20"/>
                <w:color w:val="auto"/>
              </w:rPr>
            </w:pPr>
            <w:r>
              <w:rPr>
                <w:rFonts w:ascii="Arial" w:cs="Arial" w:eastAsia="Arial" w:hAnsi="Arial"/>
                <w:sz w:val="14"/>
                <w:szCs w:val="14"/>
                <w:b w:val="1"/>
                <w:bCs w:val="1"/>
                <w:color w:val="auto"/>
                <w:w w:val="91"/>
              </w:rPr>
              <w:t>Nine months ended September 30, 2020</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6"/>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September 30, 2019</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Corporate debt</w:t>
            </w: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Forward Purchase</w:t>
            </w: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Corporate debt</w:t>
            </w: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securities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500" w:type="dxa"/>
            <w:vAlign w:val="bottom"/>
          </w:tcPr>
          <w:p>
            <w:pPr>
              <w:spacing w:after="0"/>
              <w:rPr>
                <w:sz w:val="16"/>
                <w:szCs w:val="16"/>
                <w:color w:val="auto"/>
              </w:rPr>
            </w:pPr>
          </w:p>
        </w:tc>
        <w:tc>
          <w:tcPr>
            <w:tcW w:w="116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center"/>
              <w:ind w:right="78"/>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01"/>
        </w:trPr>
        <w:tc>
          <w:tcPr>
            <w:tcW w:w="45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beginning of period</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Arial" w:cs="Arial" w:eastAsia="Arial" w:hAnsi="Arial"/>
                <w:sz w:val="18"/>
                <w:szCs w:val="18"/>
                <w:color w:val="auto"/>
              </w:rPr>
              <w:t>Paid-in-kind dividends (1)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valuation gain included in earnings (2)</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Impairment (2)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Net valuation gain included in other comprehensive</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Fair value, end of period</w:t>
            </w: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Interest, investment and other income on the Condensed Consolidated Statements of Operations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Recognized gains and losses, net on the Condensed Consolidated Statements of Operations</w:t>
      </w:r>
    </w:p>
    <w:p>
      <w:pPr>
        <w:spacing w:after="0" w:line="9" w:lineRule="exact"/>
        <w:rPr>
          <w:rFonts w:ascii="Arial" w:cs="Arial" w:eastAsia="Arial" w:hAnsi="Arial"/>
          <w:sz w:val="18"/>
          <w:szCs w:val="18"/>
          <w:color w:val="auto"/>
        </w:rPr>
      </w:pPr>
    </w:p>
    <w:p>
      <w:pPr>
        <w:ind w:right="560" w:firstLine="8"/>
        <w:spacing w:after="0" w:line="26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Unrealized gain (loss) on investments and other financial instruments, net (excluding investments in unconsolidated affiliates) on the Condensed Consolidated Statements of Comprehensive Earnings</w:t>
      </w:r>
    </w:p>
    <w:p>
      <w:pPr>
        <w:spacing w:after="0" w:line="21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Transfers into or out of the Level 3 fair value category occur when unobservable inputs become more or less significant to the fair value measurement or upon a change in valuation technique. There were no transfers between Level 2 and Level 3 in the nine months ended September 30, 2020 and 2019.</w:t>
      </w:r>
    </w:p>
    <w:p>
      <w:pPr>
        <w:spacing w:after="0" w:line="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the unrealized gain on investments and other financial instruments, net (excluding investments in unconsolidated affiliates) on our Condensed Consolidated Statements of Comprehensive Earnings (Loss) for the three and nine months ended September 30, 2020 relate to fixed maturity securities considered Level 3 fair value measures.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amounts of trade receivables and notes receivable approximate fair value due to their short-term nature. The fair value of our notes payable is included in Note F.</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90"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Gains on equity securities included in Recognized gains and losses, net on the Condensed Consolidated Statements of Operations consisted of the following for the three and nine months ended September 30, 2020 (in millions):</w:t>
      </w:r>
    </w:p>
    <w:tbl>
      <w:tblPr>
        <w:tblLayout w:type="fixed"/>
        <w:tblInd w:w="40" w:type="dxa"/>
        <w:tblCellMar>
          <w:top w:w="0" w:type="dxa"/>
          <w:left w:w="0" w:type="dxa"/>
          <w:bottom w:w="0" w:type="dxa"/>
          <w:right w:w="0" w:type="dxa"/>
        </w:tblCellMar>
      </w:tblPr>
      <w:tr>
        <w:trPr>
          <w:trHeight w:val="144"/>
        </w:trPr>
        <w:tc>
          <w:tcPr>
            <w:tcW w:w="7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2"/>
                <w:szCs w:val="12"/>
                <w:color w:val="auto"/>
              </w:rPr>
            </w:pPr>
          </w:p>
        </w:tc>
        <w:tc>
          <w:tcPr>
            <w:tcW w:w="1540" w:type="dxa"/>
            <w:vAlign w:val="bottom"/>
          </w:tcPr>
          <w:p>
            <w:pPr>
              <w:jc w:val="right"/>
              <w:ind w:right="197"/>
              <w:spacing w:after="0" w:line="145" w:lineRule="exact"/>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2020</w:t>
            </w:r>
          </w:p>
        </w:tc>
        <w:tc>
          <w:tcPr>
            <w:tcW w:w="180" w:type="dxa"/>
            <w:vAlign w:val="bottom"/>
          </w:tcPr>
          <w:p>
            <w:pPr>
              <w:spacing w:after="0"/>
              <w:rPr>
                <w:sz w:val="16"/>
                <w:szCs w:val="16"/>
                <w:color w:val="auto"/>
              </w:rPr>
            </w:pPr>
          </w:p>
        </w:tc>
        <w:tc>
          <w:tcPr>
            <w:tcW w:w="1540" w:type="dxa"/>
            <w:vAlign w:val="bottom"/>
          </w:tcPr>
          <w:p>
            <w:pPr>
              <w:jc w:val="right"/>
              <w:ind w:right="177"/>
              <w:spacing w:after="0"/>
              <w:rPr>
                <w:sz w:val="20"/>
                <w:szCs w:val="20"/>
                <w:color w:val="auto"/>
              </w:rPr>
            </w:pPr>
            <w:r>
              <w:rPr>
                <w:rFonts w:ascii="Arial" w:cs="Arial" w:eastAsia="Arial" w:hAnsi="Arial"/>
                <w:sz w:val="14"/>
                <w:szCs w:val="14"/>
                <w:b w:val="1"/>
                <w:bCs w:val="1"/>
                <w:color w:val="auto"/>
                <w:w w:val="96"/>
              </w:rPr>
              <w:t>September 30, 2020</w:t>
            </w:r>
          </w:p>
        </w:tc>
        <w:tc>
          <w:tcPr>
            <w:tcW w:w="0" w:type="dxa"/>
            <w:vAlign w:val="bottom"/>
          </w:tcPr>
          <w:p>
            <w:pPr>
              <w:spacing w:after="0"/>
              <w:rPr>
                <w:sz w:val="1"/>
                <w:szCs w:val="1"/>
                <w:color w:val="auto"/>
              </w:rPr>
            </w:pPr>
          </w:p>
        </w:tc>
      </w:tr>
      <w:tr>
        <w:trPr>
          <w:trHeight w:val="170"/>
        </w:trPr>
        <w:tc>
          <w:tcPr>
            <w:tcW w:w="76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gains recognized during the period on equity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1,333.3</w:t>
            </w: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color w:val="auto"/>
              </w:rPr>
              <w:t>Less: net gains recognized during the period on equity securities sold during the period</w:t>
            </w:r>
          </w:p>
        </w:tc>
        <w:tc>
          <w:tcPr>
            <w:tcW w:w="1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156"/>
        </w:trPr>
        <w:tc>
          <w:tcPr>
            <w:tcW w:w="76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5"/>
              </w:rPr>
              <w:t>Unrealized gains recognized during the reporting period on equity securities still held at the reporting</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1,152.5</w:t>
            </w:r>
          </w:p>
        </w:tc>
        <w:tc>
          <w:tcPr>
            <w:tcW w:w="0" w:type="dxa"/>
            <w:vAlign w:val="bottom"/>
          </w:tcPr>
          <w:p>
            <w:pPr>
              <w:spacing w:after="0"/>
              <w:rPr>
                <w:sz w:val="1"/>
                <w:szCs w:val="1"/>
                <w:color w:val="auto"/>
              </w:rPr>
            </w:pPr>
          </w:p>
        </w:tc>
      </w:tr>
      <w:tr>
        <w:trPr>
          <w:trHeight w:val="223"/>
        </w:trPr>
        <w:tc>
          <w:tcPr>
            <w:tcW w:w="76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date</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no gains or losses on equity securities in the three or nine months ended September 30, 2019.</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Investments in unconsolidated affiliates recorded using the equity method of accounting as of September 30, 2020 and December 31, 2019 consisted of the following (in millions):</w:t>
      </w:r>
    </w:p>
    <w:tbl>
      <w:tblPr>
        <w:tblLayout w:type="fixed"/>
        <w:tblInd w:w="0" w:type="dxa"/>
        <w:tblCellMar>
          <w:top w:w="0" w:type="dxa"/>
          <w:left w:w="0" w:type="dxa"/>
          <w:bottom w:w="0" w:type="dxa"/>
          <w:right w:w="0" w:type="dxa"/>
        </w:tblCellMar>
      </w:tblPr>
      <w:tr>
        <w:trPr>
          <w:trHeight w:val="144"/>
        </w:trPr>
        <w:tc>
          <w:tcPr>
            <w:tcW w:w="7080" w:type="dxa"/>
            <w:vAlign w:val="bottom"/>
          </w:tcPr>
          <w:p>
            <w:pPr>
              <w:spacing w:after="0"/>
              <w:rPr>
                <w:sz w:val="12"/>
                <w:szCs w:val="12"/>
                <w:color w:val="auto"/>
              </w:rPr>
            </w:pPr>
          </w:p>
        </w:tc>
        <w:tc>
          <w:tcPr>
            <w:tcW w:w="15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Ownership at</w:t>
            </w:r>
          </w:p>
        </w:tc>
        <w:tc>
          <w:tcPr>
            <w:tcW w:w="140" w:type="dxa"/>
            <w:vAlign w:val="bottom"/>
          </w:tcPr>
          <w:p>
            <w:pPr>
              <w:spacing w:after="0"/>
              <w:rPr>
                <w:sz w:val="12"/>
                <w:szCs w:val="12"/>
                <w:color w:val="auto"/>
              </w:rPr>
            </w:pPr>
          </w:p>
        </w:tc>
        <w:tc>
          <w:tcPr>
            <w:tcW w:w="120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2"/>
                <w:szCs w:val="12"/>
                <w:color w:val="auto"/>
              </w:rPr>
            </w:pPr>
          </w:p>
        </w:tc>
        <w:tc>
          <w:tcPr>
            <w:tcW w:w="1080" w:type="dxa"/>
            <w:vAlign w:val="bottom"/>
          </w:tcPr>
          <w:p>
            <w:pPr>
              <w:jc w:val="right"/>
              <w:ind w:right="114"/>
              <w:spacing w:after="0" w:line="145" w:lineRule="exact"/>
              <w:rPr>
                <w:sz w:val="20"/>
                <w:szCs w:val="20"/>
                <w:color w:val="auto"/>
              </w:rPr>
            </w:pPr>
            <w:r>
              <w:rPr>
                <w:rFonts w:ascii="Arial" w:cs="Arial" w:eastAsia="Arial" w:hAnsi="Arial"/>
                <w:sz w:val="14"/>
                <w:szCs w:val="14"/>
                <w:b w:val="1"/>
                <w:bCs w:val="1"/>
                <w:color w:val="auto"/>
                <w:w w:val="94"/>
              </w:rPr>
              <w:t>December 31,</w:t>
            </w:r>
          </w:p>
        </w:tc>
      </w:tr>
      <w:tr>
        <w:trPr>
          <w:trHeight w:val="188"/>
        </w:trPr>
        <w:tc>
          <w:tcPr>
            <w:tcW w:w="708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24"/>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146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309.5</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Senator Focused Strategies</w:t>
            </w:r>
          </w:p>
        </w:tc>
        <w:tc>
          <w:tcPr>
            <w:tcW w:w="1460" w:type="dxa"/>
            <w:vAlign w:val="bottom"/>
          </w:tcPr>
          <w:p>
            <w:pPr>
              <w:jc w:val="right"/>
              <w:spacing w:after="0"/>
              <w:rPr>
                <w:sz w:val="20"/>
                <w:szCs w:val="20"/>
                <w:color w:val="auto"/>
              </w:rPr>
            </w:pPr>
            <w:r>
              <w:rPr>
                <w:rFonts w:ascii="Arial" w:cs="Arial" w:eastAsia="Arial" w:hAnsi="Arial"/>
                <w:sz w:val="18"/>
                <w:szCs w:val="18"/>
                <w:color w:val="auto"/>
              </w:rPr>
              <w:t>87.4 %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5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various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The investment in Ceridian was no longer accounted for under the equity method of accounting beginning March 31, 2020.</w:t>
      </w:r>
    </w:p>
    <w:p>
      <w:pPr>
        <w:spacing w:after="0" w:line="2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Equity in (losses) earnings of unconsolidated affiliates for the three and nine months ended September 30, 2020 and September 30, 2019 consisted of the following (in millions):</w:t>
      </w:r>
    </w:p>
    <w:tbl>
      <w:tblPr>
        <w:tblLayout w:type="fixed"/>
        <w:tblInd w:w="0" w:type="dxa"/>
        <w:tblCellMar>
          <w:top w:w="0" w:type="dxa"/>
          <w:left w:w="0" w:type="dxa"/>
          <w:bottom w:w="0" w:type="dxa"/>
          <w:right w:w="0" w:type="dxa"/>
        </w:tblCellMar>
      </w:tblPr>
      <w:tr>
        <w:trPr>
          <w:trHeight w:val="144"/>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2"/>
                <w:szCs w:val="12"/>
                <w:color w:val="auto"/>
              </w:rPr>
            </w:pPr>
          </w:p>
        </w:tc>
        <w:tc>
          <w:tcPr>
            <w:tcW w:w="17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2"/>
                <w:szCs w:val="12"/>
                <w:color w:val="auto"/>
              </w:rPr>
            </w:pPr>
          </w:p>
        </w:tc>
        <w:tc>
          <w:tcPr>
            <w:tcW w:w="168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2"/>
                <w:szCs w:val="12"/>
                <w:color w:val="auto"/>
              </w:rPr>
            </w:pPr>
          </w:p>
        </w:tc>
        <w:tc>
          <w:tcPr>
            <w:tcW w:w="1580" w:type="dxa"/>
            <w:vAlign w:val="bottom"/>
          </w:tcPr>
          <w:p>
            <w:pPr>
              <w:jc w:val="right"/>
              <w:ind w:right="214"/>
              <w:spacing w:after="0" w:line="145" w:lineRule="exact"/>
              <w:rPr>
                <w:sz w:val="20"/>
                <w:szCs w:val="20"/>
                <w:color w:val="auto"/>
              </w:rPr>
            </w:pPr>
            <w:r>
              <w:rPr>
                <w:rFonts w:ascii="Arial" w:cs="Arial" w:eastAsia="Arial" w:hAnsi="Arial"/>
                <w:sz w:val="14"/>
                <w:szCs w:val="14"/>
                <w:b w:val="1"/>
                <w:bCs w:val="1"/>
                <w:color w:val="auto"/>
                <w:w w:val="96"/>
              </w:rPr>
              <w:t>Nine months ended</w:t>
            </w:r>
          </w:p>
        </w:tc>
      </w:tr>
      <w:tr>
        <w:trPr>
          <w:trHeight w:val="188"/>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2020</w:t>
            </w:r>
          </w:p>
        </w:tc>
        <w:tc>
          <w:tcPr>
            <w:tcW w:w="18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September 30, 2019</w:t>
            </w: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Senator Focused Strategies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right="200" w:firstLine="8"/>
        <w:spacing w:after="0" w:line="260"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for the nine months ended September 30, 2020 represents the Company's equity in earnings of Ceridian in the three months ended March 31, 2020 prior to the change in accounting for the investment beginning March 31, 2020. See Note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Based on quoted market prices, the aggregate value of our ownership of Dun &amp; Bradstreet common stock was $2.0 billion as of September 30, 2020.</w:t>
      </w:r>
    </w:p>
    <w:p>
      <w:pPr>
        <w:spacing w:after="0" w:line="14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September 30, 2020, we hold less than 20% of the outstanding common equity of Dun &amp; Bradstreet but continue to account for our investment under the equity method because we continue to exert significant influence through our 18.1% ownership, because certain of our senior management and directors serve on Dun &amp; Bradstreet's board of directors, and because we are party to an agreement with other of its equity sponsors, which collectively own greater than 50% of the outstanding voting equity of Dun &amp; Bradstreet, pursuant to which we have agreed to collectively vote together on all matters related to the election of directors to the Dun &amp; Bradstreet board of directors for a period of three years.</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Summarized financial information for Dun &amp; Bradstreet and its pre-IPO predecessor entity (the "D&amp;B Predecessor")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acquired our initial interest in the D&amp;B Predecessor on February 8, 2019. The results of operations for the nine months ended September 30, 2019 presented below represent the D&amp;B Predecessor's results of operations subsequent to our acquisition.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December 31,</w:t>
            </w:r>
          </w:p>
        </w:tc>
      </w:tr>
      <w:tr>
        <w:trPr>
          <w:trHeight w:val="188"/>
        </w:trPr>
        <w:tc>
          <w:tcPr>
            <w:tcW w:w="8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183"/>
        </w:trPr>
        <w:tc>
          <w:tcPr>
            <w:tcW w:w="8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8,091.5</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9,112.8</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1,090.4</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3,818.9</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1,594.0</w:t>
            </w:r>
          </w:p>
        </w:tc>
      </w:tr>
      <w:tr>
        <w:trPr>
          <w:trHeight w:val="223"/>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6,503.3</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1,030.6</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1,578.9</w:t>
            </w:r>
          </w:p>
        </w:tc>
      </w:tr>
      <w:tr>
        <w:trPr>
          <w:trHeight w:val="223"/>
        </w:trPr>
        <w:tc>
          <w:tcPr>
            <w:tcW w:w="8620" w:type="dxa"/>
            <w:vAlign w:val="bottom"/>
          </w:tcPr>
          <w:p>
            <w:pPr>
              <w:ind w:left="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9,185.4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9,112.8</w:t>
            </w:r>
          </w:p>
        </w:tc>
      </w:tr>
      <w:tr>
        <w:trPr>
          <w:trHeight w:val="20"/>
        </w:trPr>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2"/>
              </w:rPr>
              <w:t>Three months ended</w:t>
            </w:r>
          </w:p>
        </w:tc>
        <w:tc>
          <w:tcPr>
            <w:tcW w:w="15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1"/>
              </w:rPr>
              <w:t>Three months ended</w:t>
            </w:r>
          </w:p>
        </w:tc>
        <w:tc>
          <w:tcPr>
            <w:tcW w:w="138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5"/>
              </w:rPr>
              <w:t>Nine months ended</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Period from February</w:t>
            </w: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8, 2019 to September</w:t>
            </w:r>
          </w:p>
        </w:tc>
        <w:tc>
          <w:tcPr>
            <w:tcW w:w="0" w:type="dxa"/>
            <w:vAlign w:val="bottom"/>
          </w:tcPr>
          <w:p>
            <w:pPr>
              <w:spacing w:after="0"/>
              <w:rPr>
                <w:sz w:val="1"/>
                <w:szCs w:val="1"/>
                <w:color w:val="auto"/>
              </w:rPr>
            </w:pPr>
          </w:p>
        </w:tc>
      </w:tr>
      <w:tr>
        <w:trPr>
          <w:trHeight w:val="188"/>
        </w:trPr>
        <w:tc>
          <w:tcPr>
            <w:tcW w:w="5340" w:type="dxa"/>
            <w:vAlign w:val="bottom"/>
          </w:tcPr>
          <w:p>
            <w:pPr>
              <w:spacing w:after="0"/>
              <w:rPr>
                <w:sz w:val="16"/>
                <w:szCs w:val="16"/>
                <w:color w:val="auto"/>
              </w:rPr>
            </w:pPr>
          </w:p>
        </w:tc>
        <w:tc>
          <w:tcPr>
            <w:tcW w:w="140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6"/>
              </w:rPr>
              <w:t>September 30, 2020</w:t>
            </w: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September 30, 2019</w:t>
            </w:r>
          </w:p>
        </w:tc>
        <w:tc>
          <w:tcPr>
            <w:tcW w:w="138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w w:val="94"/>
              </w:rPr>
              <w:t>September 30, 2020</w:t>
            </w:r>
          </w:p>
        </w:tc>
        <w:tc>
          <w:tcPr>
            <w:tcW w:w="500" w:type="dxa"/>
            <w:vAlign w:val="bottom"/>
          </w:tcPr>
          <w:p>
            <w:pPr>
              <w:spacing w:after="0"/>
              <w:rPr>
                <w:sz w:val="16"/>
                <w:szCs w:val="16"/>
                <w:color w:val="auto"/>
              </w:rPr>
            </w:pPr>
          </w:p>
        </w:tc>
        <w:tc>
          <w:tcPr>
            <w:tcW w:w="1040" w:type="dxa"/>
            <w:vAlign w:val="bottom"/>
          </w:tcPr>
          <w:p>
            <w:pPr>
              <w:jc w:val="center"/>
              <w:ind w:right="333"/>
              <w:spacing w:after="0"/>
              <w:rPr>
                <w:sz w:val="20"/>
                <w:szCs w:val="20"/>
                <w:color w:val="auto"/>
              </w:rPr>
            </w:pPr>
            <w:r>
              <w:rPr>
                <w:rFonts w:ascii="Arial" w:cs="Arial" w:eastAsia="Arial" w:hAnsi="Arial"/>
                <w:sz w:val="14"/>
                <w:szCs w:val="14"/>
                <w:b w:val="1"/>
                <w:bCs w:val="1"/>
                <w:color w:val="auto"/>
                <w:w w:val="91"/>
              </w:rPr>
              <w:t>30, 2019</w:t>
            </w:r>
          </w:p>
        </w:tc>
        <w:tc>
          <w:tcPr>
            <w:tcW w:w="0" w:type="dxa"/>
            <w:vAlign w:val="bottom"/>
          </w:tcPr>
          <w:p>
            <w:pPr>
              <w:spacing w:after="0"/>
              <w:rPr>
                <w:sz w:val="1"/>
                <w:szCs w:val="1"/>
                <w:color w:val="auto"/>
              </w:rPr>
            </w:pPr>
          </w:p>
        </w:tc>
      </w:tr>
      <w:tr>
        <w:trPr>
          <w:trHeight w:val="183"/>
        </w:trPr>
        <w:tc>
          <w:tcPr>
            <w:tcW w:w="53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8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442.1</w:t>
            </w:r>
          </w:p>
        </w:tc>
        <w:tc>
          <w:tcPr>
            <w:tcW w:w="660" w:type="dxa"/>
            <w:vAlign w:val="bottom"/>
            <w:shd w:val="clear" w:color="auto" w:fill="CCEEFF"/>
          </w:tcPr>
          <w:p>
            <w:pPr>
              <w:jc w:val="right"/>
              <w:ind w:right="42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408.2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1,258.0</w:t>
            </w:r>
          </w:p>
        </w:tc>
        <w:tc>
          <w:tcPr>
            <w:tcW w:w="50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c>
          <w:tcPr>
            <w:tcW w:w="66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w w:val="93"/>
              </w:rPr>
              <w:t>(79.8)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(227.8)</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60" w:type="dxa"/>
            <w:vAlign w:val="bottom"/>
            <w:shd w:val="clear" w:color="auto" w:fill="CCEEFF"/>
          </w:tcPr>
          <w:p>
            <w:pPr>
              <w:spacing w:after="0"/>
              <w:rPr>
                <w:sz w:val="19"/>
                <w:szCs w:val="19"/>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(55.3)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175"/>
        </w:trPr>
        <w:tc>
          <w:tcPr>
            <w:tcW w:w="5340" w:type="dxa"/>
            <w:vAlign w:val="bottom"/>
          </w:tcPr>
          <w:p>
            <w:pPr>
              <w:spacing w:after="0" w:line="176" w:lineRule="exact"/>
              <w:rPr>
                <w:sz w:val="20"/>
                <w:szCs w:val="20"/>
                <w:color w:val="auto"/>
              </w:rPr>
            </w:pPr>
            <w:r>
              <w:rPr>
                <w:rFonts w:ascii="Arial" w:cs="Arial" w:eastAsia="Arial" w:hAnsi="Arial"/>
                <w:sz w:val="18"/>
                <w:szCs w:val="18"/>
                <w:color w:val="auto"/>
                <w:w w:val="98"/>
              </w:rPr>
              <w:t>Dividends attributable to preferred equity and noncontrolling interest</w:t>
            </w:r>
          </w:p>
        </w:tc>
        <w:tc>
          <w:tcPr>
            <w:tcW w:w="4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Arial" w:cs="Arial" w:eastAsia="Arial" w:hAnsi="Arial"/>
                <w:sz w:val="18"/>
                <w:szCs w:val="18"/>
                <w:color w:val="auto"/>
                <w:w w:val="93"/>
              </w:rPr>
              <w:t>(33.5)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(67.8)</w:t>
            </w:r>
          </w:p>
        </w:tc>
        <w:tc>
          <w:tcPr>
            <w:tcW w:w="5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expense</w:t>
            </w:r>
          </w:p>
        </w:tc>
        <w:tc>
          <w:tcPr>
            <w:tcW w:w="4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Dun &amp; Bradstreet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60" w:type="dxa"/>
            <w:vAlign w:val="bottom"/>
            <w:shd w:val="clear" w:color="auto" w:fill="CCEEFF"/>
          </w:tcPr>
          <w:p>
            <w:pPr>
              <w:spacing w:after="0"/>
              <w:rPr>
                <w:sz w:val="19"/>
                <w:szCs w:val="19"/>
                <w:color w:val="auto"/>
              </w:rPr>
            </w:pPr>
          </w:p>
        </w:tc>
        <w:tc>
          <w:tcPr>
            <w:tcW w:w="7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(88.8)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Optimal Blue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15, 2020, we closed on our $289.0 million investment in Optimal Blue. Summarized financial information for Optimal Blue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September 30,</w:t>
            </w:r>
          </w:p>
        </w:tc>
      </w:tr>
      <w:tr>
        <w:trPr>
          <w:trHeight w:val="188"/>
        </w:trPr>
        <w:tc>
          <w:tcPr>
            <w:tcW w:w="9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9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(In millions)</w:t>
            </w:r>
          </w:p>
        </w:tc>
      </w:tr>
      <w:tr>
        <w:trPr>
          <w:trHeight w:val="231"/>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1,863.5</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20"/>
        </w:trPr>
        <w:tc>
          <w:tcPr>
            <w:tcW w:w="9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9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Redeemable member's interest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578.0</w:t>
            </w:r>
          </w:p>
        </w:tc>
      </w:tr>
      <w:tr>
        <w:trPr>
          <w:trHeight w:val="230"/>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w:t>
            </w:r>
          </w:p>
        </w:tc>
      </w:tr>
      <w:tr>
        <w:trPr>
          <w:trHeight w:val="229"/>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Retained deficit</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redeemable member's interest and equity</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w:t>
            </w:r>
          </w:p>
        </w:tc>
      </w:tr>
      <w:tr>
        <w:trPr>
          <w:trHeight w:val="223"/>
        </w:trPr>
        <w:tc>
          <w:tcPr>
            <w:tcW w:w="9380" w:type="dxa"/>
            <w:vAlign w:val="bottom"/>
          </w:tcPr>
          <w:p>
            <w:pPr>
              <w:ind w:left="20"/>
              <w:spacing w:after="0"/>
              <w:rPr>
                <w:sz w:val="20"/>
                <w:szCs w:val="20"/>
                <w:color w:val="auto"/>
              </w:rPr>
            </w:pPr>
            <w:r>
              <w:rPr>
                <w:rFonts w:ascii="Arial" w:cs="Arial" w:eastAsia="Arial" w:hAnsi="Arial"/>
                <w:sz w:val="18"/>
                <w:szCs w:val="18"/>
                <w:color w:val="auto"/>
              </w:rPr>
              <w:t>Total liabilities, redeemable member's interest and equity</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21"/>
        </w:trPr>
        <w:tc>
          <w:tcPr>
            <w:tcW w:w="9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r>
      <w:tr>
        <w:trPr>
          <w:trHeight w:val="263"/>
        </w:trPr>
        <w:tc>
          <w:tcPr>
            <w:tcW w:w="9380" w:type="dxa"/>
            <w:vAlign w:val="bottom"/>
          </w:tcPr>
          <w:p>
            <w:pPr>
              <w:spacing w:after="0"/>
              <w:rPr>
                <w:sz w:val="22"/>
                <w:szCs w:val="22"/>
                <w:color w:val="auto"/>
              </w:rPr>
            </w:pPr>
          </w:p>
        </w:tc>
        <w:tc>
          <w:tcPr>
            <w:tcW w:w="1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Period from September 15,</w:t>
            </w:r>
          </w:p>
        </w:tc>
      </w:tr>
      <w:tr>
        <w:trPr>
          <w:trHeight w:val="188"/>
        </w:trPr>
        <w:tc>
          <w:tcPr>
            <w:tcW w:w="9380" w:type="dxa"/>
            <w:vAlign w:val="bottom"/>
          </w:tcPr>
          <w:p>
            <w:pPr>
              <w:spacing w:after="0"/>
              <w:rPr>
                <w:sz w:val="16"/>
                <w:szCs w:val="16"/>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2020 to September 30, 2020</w:t>
            </w:r>
          </w:p>
        </w:tc>
      </w:tr>
      <w:tr>
        <w:trPr>
          <w:trHeight w:val="183"/>
        </w:trPr>
        <w:tc>
          <w:tcPr>
            <w:tcW w:w="9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center"/>
              <w:ind w:right="314"/>
              <w:spacing w:after="0"/>
              <w:rPr>
                <w:sz w:val="20"/>
                <w:szCs w:val="20"/>
                <w:color w:val="auto"/>
              </w:rPr>
            </w:pPr>
            <w:r>
              <w:rPr>
                <w:rFonts w:ascii="Arial" w:cs="Arial" w:eastAsia="Arial" w:hAnsi="Arial"/>
                <w:sz w:val="14"/>
                <w:szCs w:val="14"/>
                <w:b w:val="1"/>
                <w:bCs w:val="1"/>
                <w:color w:val="auto"/>
                <w:w w:val="94"/>
              </w:rPr>
              <w:t>(In millions)</w:t>
            </w:r>
          </w:p>
        </w:tc>
      </w:tr>
      <w:tr>
        <w:trPr>
          <w:trHeight w:val="231"/>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93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Optimal Blue</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Senator Focused Strategies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Summarized financial information for SFS for the relevant dates and time periods included in Investments in unconsolidated affiliates and Equity in earnings (losses) of unconsolidated affiliates in our Condensed Consolidated Balance Sheets and Statements of Operations, respectively, is presented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460"/>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 and counterparties</w:t>
            </w:r>
          </w:p>
        </w:tc>
        <w:tc>
          <w:tcPr>
            <w:tcW w:w="1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57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217.8</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138.4</w:t>
            </w:r>
          </w:p>
        </w:tc>
        <w:tc>
          <w:tcPr>
            <w:tcW w:w="20" w:type="dxa"/>
            <w:vAlign w:val="bottom"/>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Derivative contracts, at fair value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296.0</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140.8</w:t>
            </w:r>
          </w:p>
        </w:tc>
        <w:tc>
          <w:tcPr>
            <w:tcW w:w="20" w:type="dxa"/>
            <w:vAlign w:val="bottom"/>
          </w:tcPr>
          <w:p>
            <w:pPr>
              <w:spacing w:after="0"/>
              <w:rPr>
                <w:sz w:val="19"/>
                <w:szCs w:val="19"/>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Capital received in advance</w:t>
            </w:r>
          </w:p>
        </w:tc>
        <w:tc>
          <w:tcPr>
            <w:tcW w:w="180" w:type="dxa"/>
            <w:vAlign w:val="bottom"/>
          </w:tcPr>
          <w:p>
            <w:pPr>
              <w:spacing w:after="0"/>
              <w:rPr>
                <w:sz w:val="19"/>
                <w:szCs w:val="19"/>
                <w:color w:val="auto"/>
              </w:rPr>
            </w:pPr>
          </w:p>
        </w:tc>
        <w:tc>
          <w:tcPr>
            <w:tcW w:w="1600" w:type="dxa"/>
            <w:vAlign w:val="bottom"/>
            <w:gridSpan w:val="2"/>
          </w:tcPr>
          <w:p>
            <w:pPr>
              <w:jc w:val="right"/>
              <w:ind w:right="57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19"/>
                <w:szCs w:val="19"/>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0" w:type="dxa"/>
            <w:vAlign w:val="bottom"/>
          </w:tcPr>
          <w:p>
            <w:pPr>
              <w:spacing w:after="0"/>
              <w:rPr>
                <w:sz w:val="21"/>
                <w:szCs w:val="2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7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w w:val="95"/>
              </w:rPr>
              <w:t>Three months ended</w:t>
            </w:r>
          </w:p>
        </w:tc>
        <w:tc>
          <w:tcPr>
            <w:tcW w:w="186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7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b w:val="1"/>
                <w:bCs w:val="1"/>
                <w:color w:val="auto"/>
                <w:w w:val="97"/>
              </w:rPr>
              <w:t>September 30, 2020</w:t>
            </w:r>
          </w:p>
        </w:tc>
        <w:tc>
          <w:tcPr>
            <w:tcW w:w="18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September 30, 2020</w:t>
            </w:r>
          </w:p>
        </w:tc>
      </w:tr>
      <w:tr>
        <w:trPr>
          <w:trHeight w:val="183"/>
        </w:trPr>
        <w:tc>
          <w:tcPr>
            <w:tcW w:w="7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right"/>
              <w:ind w:right="37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investment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Realized gain on securities and derivative contracts</w:t>
            </w:r>
          </w:p>
        </w:tc>
        <w:tc>
          <w:tcPr>
            <w:tcW w:w="18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103.8</w:t>
            </w:r>
          </w:p>
        </w:tc>
        <w:tc>
          <w:tcPr>
            <w:tcW w:w="20" w:type="dxa"/>
            <w:vAlign w:val="bottom"/>
          </w:tcPr>
          <w:p>
            <w:pPr>
              <w:spacing w:after="0"/>
              <w:rPr>
                <w:sz w:val="19"/>
                <w:szCs w:val="19"/>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unrealized (loss) gain on securities and derivative contracts</w:t>
            </w:r>
          </w:p>
        </w:tc>
        <w:tc>
          <w:tcPr>
            <w:tcW w:w="1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Change in net assets from operations</w:t>
            </w:r>
          </w:p>
        </w:tc>
        <w:tc>
          <w:tcPr>
            <w:tcW w:w="1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176.1</w:t>
            </w:r>
          </w:p>
        </w:tc>
        <w:tc>
          <w:tcPr>
            <w:tcW w:w="20" w:type="dxa"/>
            <w:vAlign w:val="bottom"/>
          </w:tcPr>
          <w:p>
            <w:pPr>
              <w:spacing w:after="0"/>
              <w:rPr>
                <w:sz w:val="20"/>
                <w:szCs w:val="20"/>
                <w:color w:val="auto"/>
              </w:rPr>
            </w:pPr>
          </w:p>
        </w:tc>
      </w:tr>
    </w:tbl>
    <w:p>
      <w:pPr>
        <w:spacing w:after="0" w:line="14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2020, $25.8 million of our investment in SFS is held on deposit with SFS until such time as the general partner utilizes the funds and other limited partners make matching pro-rata contributions. Our investment held on deposit is included in Prepaid expense and other current assets on our Consolidated and Combined Balance Sheet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AmeriLife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2020, we closed on our $125.0 million investment in the AmeriLife Joint Venture. Summarized financial information for the AmeriLife Joint Venture for the relevant dates and time periods included in Investments in unconsolidated affiliates and Equity in earnings (losses) of unconsolidated affiliates in our Condensed Consolidated Balance Sheets and Statements of Operations, respectively, is presented below. We account for our investment in AmeriLife as an equity method investment and report our equity in earnings or loss of the AmeriLife Joint Venture on a three-month lag. Accordingly, our net earnings for the nine-month period ended September 30, 2020 includes our equity in AmeriLife’s losses for the period from March 18, 2020 through June 30, 2020.</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June 30,</w:t>
            </w:r>
          </w:p>
        </w:tc>
      </w:tr>
      <w:tr>
        <w:trPr>
          <w:trHeight w:val="188"/>
        </w:trPr>
        <w:tc>
          <w:tcPr>
            <w:tcW w:w="7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7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(In millions)</w:t>
            </w: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1,100.6</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1,202.3</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4"/>
        </w:trPr>
        <w:tc>
          <w:tcPr>
            <w:tcW w:w="7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Member's equity</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594.5</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 nonredeemable</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member's equity</w:t>
            </w:r>
          </w:p>
        </w:tc>
        <w:tc>
          <w:tcPr>
            <w:tcW w:w="3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member's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44"/>
        </w:trPr>
        <w:tc>
          <w:tcPr>
            <w:tcW w:w="7420" w:type="dxa"/>
            <w:vAlign w:val="bottom"/>
          </w:tcPr>
          <w:p>
            <w:pPr>
              <w:spacing w:after="0"/>
              <w:rPr>
                <w:sz w:val="21"/>
                <w:szCs w:val="21"/>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Three months ended June 30,</w:t>
            </w: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Period from March 18, 2020</w:t>
            </w:r>
          </w:p>
        </w:tc>
      </w:tr>
      <w:tr>
        <w:trPr>
          <w:trHeight w:val="188"/>
        </w:trPr>
        <w:tc>
          <w:tcPr>
            <w:tcW w:w="7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0"/>
              </w:rPr>
              <w:t>to June 30, 2020</w:t>
            </w:r>
          </w:p>
        </w:tc>
      </w:tr>
      <w:tr>
        <w:trPr>
          <w:trHeight w:val="183"/>
        </w:trPr>
        <w:tc>
          <w:tcPr>
            <w:tcW w:w="7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jc w:val="right"/>
              <w:ind w:right="455"/>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254"/>
              <w:spacing w:after="0"/>
              <w:rPr>
                <w:sz w:val="20"/>
                <w:szCs w:val="20"/>
                <w:color w:val="auto"/>
              </w:rPr>
            </w:pPr>
            <w:r>
              <w:rPr>
                <w:rFonts w:ascii="Arial" w:cs="Arial" w:eastAsia="Arial" w:hAnsi="Arial"/>
                <w:sz w:val="14"/>
                <w:szCs w:val="14"/>
                <w:b w:val="1"/>
                <w:bCs w:val="1"/>
                <w:color w:val="auto"/>
                <w:w w:val="94"/>
              </w:rPr>
              <w:t>(In millions)</w:t>
            </w:r>
          </w:p>
        </w:tc>
      </w:tr>
      <w:tr>
        <w:trPr>
          <w:trHeight w:val="231"/>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Pr>
          <w:p>
            <w:pPr>
              <w:spacing w:after="0"/>
              <w:rPr>
                <w:sz w:val="19"/>
                <w:szCs w:val="19"/>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Income attributable to noncontrolling interests</w:t>
            </w:r>
          </w:p>
        </w:tc>
        <w:tc>
          <w:tcPr>
            <w:tcW w:w="360" w:type="dxa"/>
            <w:vAlign w:val="bottom"/>
          </w:tcPr>
          <w:p>
            <w:pPr>
              <w:spacing w:after="0"/>
              <w:rPr>
                <w:sz w:val="19"/>
                <w:szCs w:val="19"/>
                <w:color w:val="auto"/>
              </w:rPr>
            </w:pPr>
          </w:p>
        </w:tc>
        <w:tc>
          <w:tcPr>
            <w:tcW w:w="1540" w:type="dxa"/>
            <w:vAlign w:val="bottom"/>
          </w:tcPr>
          <w:p>
            <w:pPr>
              <w:jc w:val="right"/>
              <w:ind w:right="35"/>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AmeriLife</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bl>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Security Investments Without Readily Determinable Fair Values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our investment in preferred equity of QOMPLX, Inc. ("QOMPLX"), an intelligent decision and analytics platform used by businesses for modeling and planning, at cost less impairment, if any, plus or minus changes resulting from observable price changes in orderly market transactions. As of September 30, 2020, we have $30.0 million recorded for our investment in QOMPLX, which is included in Other long term investments and noncurrent assets on our Condensed Consolidated Balance Sheet. We have not recorded any upward or downward adjustments to our investment in QOMPLX.</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Fixed Maturity Securities</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carrying amounts and fair values of our available for sale fixed maturity securities at September 30, 2020 and December 31, 2019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September 30, 2020</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88"/>
              </w:rPr>
              <w:t>Cost Basis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available for sale:</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14.0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1"/>
              </w:rPr>
              <w:t>Cost Basis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 for sale:</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and other-than-temporary-impairment recognized in earnings since the date of purchase.</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September 30, 2020, $34.0 million of the fixed maturity securities in our investment portfolio had a maturity of less than one year and $0.5 million had a maturity of greater than one year, but less than five years. Expected maturities may differ from contractual maturities because certain borrowers have the right to call or prepay obligations with or without call or prepayment penalties.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three and nine months ended September 30, 2020 and three months ended September 30, 2019, we incurred no other-than-temporary impairment charges relating to corporate debt securities. During the nine months ended September 30, 2019, we incurred $0.4 million of other-than-temporary impairment charges relating to corporate debt securities, which is included in Recognized gains and losses, net on the Condensed Consolidated Statement of Operations. The impairment recorded related to a corporate debt holding that had experienced a prolonged period of declining earnings and that we were uncertain of our ability to recover our initial investment. All of the loss represents credit loss recognized in earnings and no portion of the loss was included in other comprehensive earnings.</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September 30, 2020, we held corporate debt securities with a fair value of $15.7 million for which an other-than-temporary impairment had been previously recognized. It is possible that future events may lead us to recognize potential future impairment losses related to our investment portfolio. Unanticipated future events may lead us to dispose of certain investment holdings and recognize the effects of any market movements in our results of operations.</w:t>
      </w:r>
    </w:p>
    <w:p>
      <w:pPr>
        <w:spacing w:after="0" w:line="39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E.</w:t>
      </w:r>
      <w:r>
        <w:rPr>
          <w:sz w:val="20"/>
          <w:szCs w:val="20"/>
          <w:color w:val="auto"/>
        </w:rPr>
        <w:tab/>
      </w:r>
      <w:r>
        <w:rPr>
          <w:rFonts w:ascii="Arial" w:cs="Arial" w:eastAsia="Arial" w:hAnsi="Arial"/>
          <w:sz w:val="16"/>
          <w:szCs w:val="16"/>
          <w:b w:val="1"/>
          <w:bCs w:val="1"/>
          <w:color w:val="auto"/>
        </w:rPr>
        <w:t>Variable Interest Entities</w:t>
      </w:r>
    </w:p>
    <w:p>
      <w:pPr>
        <w:spacing w:after="0" w:line="12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in the normal course of business, engages in certain activities that involve variable interest entities ("VIEs"), which generally are legal entities in which the equity investors as a group lack any of the characteristics of a controlling interest, among other criteria.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held both at inception and when there is a change in circumstances that requires a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September 30, 2020 and December 31, 2019, we are not the primary beneficiary of any VIEs.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table below summarizes select information related to variable interests held by the Company as of September 30, 2020 and December 31, 2019,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66040</wp:posOffset>
            </wp:positionV>
            <wp:extent cx="31546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September 30, 2020</w:t>
      </w:r>
    </w:p>
    <w:p>
      <w:pPr>
        <w:spacing w:after="0" w:line="25" w:lineRule="exact"/>
        <w:rPr>
          <w:sz w:val="20"/>
          <w:szCs w:val="20"/>
          <w:color w:val="auto"/>
        </w:rPr>
      </w:pPr>
    </w:p>
    <w:tbl>
      <w:tblPr>
        <w:tblLayout w:type="fixed"/>
        <w:tblInd w:w="6180" w:type="dxa"/>
        <w:tblCellMar>
          <w:top w:w="0" w:type="dxa"/>
          <w:left w:w="0" w:type="dxa"/>
          <w:bottom w:w="0" w:type="dxa"/>
          <w:right w:w="0" w:type="dxa"/>
        </w:tblCellMar>
      </w:tblPr>
      <w:tr>
        <w:trPr>
          <w:trHeight w:val="141"/>
        </w:trPr>
        <w:tc>
          <w:tcPr>
            <w:tcW w:w="1200" w:type="dxa"/>
            <w:vAlign w:val="bottom"/>
            <w:tcBorders>
              <w:top w:val="single" w:sz="8" w:color="auto"/>
            </w:tcBorders>
            <w:vMerge w:val="restart"/>
          </w:tcPr>
          <w:p>
            <w:pPr>
              <w:ind w:left="200"/>
              <w:spacing w:after="0"/>
              <w:rPr>
                <w:sz w:val="20"/>
                <w:szCs w:val="20"/>
                <w:color w:val="auto"/>
              </w:rPr>
            </w:pPr>
            <w:r>
              <w:rPr>
                <w:rFonts w:ascii="Arial" w:cs="Arial" w:eastAsia="Arial" w:hAnsi="Arial"/>
                <w:sz w:val="14"/>
                <w:szCs w:val="14"/>
                <w:b w:val="1"/>
                <w:bCs w:val="1"/>
                <w:color w:val="auto"/>
              </w:rPr>
              <w:t>Total Assets</w:t>
            </w:r>
          </w:p>
        </w:tc>
        <w:tc>
          <w:tcPr>
            <w:tcW w:w="12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20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December 31, 2019</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26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Total Assets</w:t>
            </w:r>
          </w:p>
        </w:tc>
        <w:tc>
          <w:tcPr>
            <w:tcW w:w="12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6"/>
        </w:trPr>
        <w:tc>
          <w:tcPr>
            <w:tcW w:w="126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580" w:space="100"/>
            <w:col w:w="25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52"/>
        </w:trPr>
        <w:tc>
          <w:tcPr>
            <w:tcW w:w="6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3"/>
          </w:tcPr>
          <w:p>
            <w:pPr>
              <w:jc w:val="right"/>
              <w:ind w:right="110"/>
              <w:spacing w:after="0" w:line="152" w:lineRule="exact"/>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440.2</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Notes receivable</w:t>
            </w:r>
          </w:p>
        </w:tc>
        <w:tc>
          <w:tcPr>
            <w:tcW w:w="42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Purchase Agreements</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holds variable interests in certain unconsolidated affiliates, which are primarily comprised of our investments in the sponsors of FTAC, Trebia and FTAC II, Blue Ribbon and funds that hold minority ownership interests primarily in healthcare-related entities. Cannae does not have the power to direct the activities that most significantly impact the economic performance of these unconsolidated affiliates; and, therefore we are not the primary beneficiary.</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2019, total assets in the table above includes the Company's equity method investment in Dun &amp; Bradstreet and SFS. In the three months ended June 30, 2020, our and other limited partners' commitments to provide capital to SFS were fully satisfied. Accordingly, SFS is considered to be sufficiently capitalized such that it is able to finance its ongoing operations and is no longer considered a variable interest entity. Upon consummation of the D&amp;B IPO on July 6, 2020, our investment in Dun &amp; Bradstreet changed from an investment in a limited partnership to an investment in the common stock of a corporation. The limited partners of the D&amp;B Predecessor did not have the ability to unilaterally remove the general partner and as a result, our investment in the D&amp;B Predecessor was considered a VIE. As a result of the change in form of our investment from a limited partnership to a corporation, Dun &amp; Bradstreet is no longer considered a VIE subsequent to the D&amp;B IPO.</w:t>
      </w:r>
    </w:p>
    <w:p>
      <w:pPr>
        <w:spacing w:after="0" w:line="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principal risk to which these investments and funds are exposed is the credit risk of the underlying investees. We do not provide any implicit or explicit liquidity guarantees or principal value guarantees to these VIEs. The assets are included in Investments in unconsolidated affiliates on the Condensed Consolidated Balance Sheets and accounted for under the equity method of accounting.</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D for further discussion of our accounting for investments in unconsolidated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Notes receivable includes notes outstanding from unconsolidated affiliates considered VIEs for which we are not the primary beneficiary. The assets are included in Prepaid expenses and other current assets on the Condensed Consolidated Balance Sheets. Maximum exposure to loss includes the total principal balance under our DIP Loan with Blue Ribbon of $27.5 million as of September 30,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conjunction with the Forward Purchase Agreements, the Company made investments in the sponsors of FTAC, Trebia and FTAC II, which are considered VIEs for which we are not the primary beneficiary and are included in Investments in unconsolidated affiliates. The assets represented by the Forward Purchase Agreements are accounted for as investments in equity securities pursuant to ASC 321 and are included in Equity securities on the Condensed Consolidated Balance Sheet as of September 30, 2020. See Notes C and D for further information on our accounting for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Notes Payable</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Notes payable consists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8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181"/>
        </w:trPr>
        <w:tc>
          <w:tcPr>
            <w:tcW w:w="8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4"/>
          </w:tcPr>
          <w:p>
            <w:pPr>
              <w:jc w:val="right"/>
              <w:ind w:right="853"/>
              <w:spacing w:after="0"/>
              <w:rPr>
                <w:sz w:val="20"/>
                <w:szCs w:val="20"/>
                <w:color w:val="auto"/>
              </w:rPr>
            </w:pPr>
            <w:r>
              <w:rPr>
                <w:rFonts w:ascii="Arial" w:cs="Arial" w:eastAsia="Arial" w:hAnsi="Arial"/>
                <w:sz w:val="14"/>
                <w:szCs w:val="14"/>
                <w:b w:val="1"/>
                <w:bCs w:val="1"/>
                <w:color w:val="auto"/>
              </w:rPr>
              <w:t>(In millions)</w:t>
            </w:r>
          </w:p>
        </w:tc>
      </w:tr>
      <w:tr>
        <w:trPr>
          <w:trHeight w:val="232"/>
        </w:trPr>
        <w:tc>
          <w:tcPr>
            <w:tcW w:w="8600" w:type="dxa"/>
            <w:vAlign w:val="bottom"/>
          </w:tcPr>
          <w:p>
            <w:pPr>
              <w:ind w:left="20"/>
              <w:spacing w:after="0"/>
              <w:rPr>
                <w:sz w:val="20"/>
                <w:szCs w:val="20"/>
                <w:color w:val="auto"/>
              </w:rPr>
            </w:pPr>
            <w:r>
              <w:rPr>
                <w:rFonts w:ascii="Arial" w:cs="Arial" w:eastAsia="Arial" w:hAnsi="Arial"/>
                <w:sz w:val="18"/>
                <w:szCs w:val="18"/>
                <w:color w:val="auto"/>
              </w:rPr>
              <w:t>99 Term Loan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99 Revolver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99 DLOC Loan</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Margin Facility</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8600" w:type="dxa"/>
            <w:vAlign w:val="bottom"/>
          </w:tcPr>
          <w:p>
            <w:pPr>
              <w:ind w:left="20"/>
              <w:spacing w:after="0"/>
              <w:rPr>
                <w:sz w:val="20"/>
                <w:szCs w:val="20"/>
                <w:color w:val="auto"/>
              </w:rPr>
            </w:pPr>
            <w:r>
              <w:rPr>
                <w:rFonts w:ascii="Arial" w:cs="Arial" w:eastAsia="Arial" w:hAnsi="Arial"/>
                <w:sz w:val="18"/>
                <w:szCs w:val="18"/>
                <w:color w:val="auto"/>
              </w:rPr>
              <w:t>Brasada Interstate Loans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FNF Revolver</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 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Notes payable, current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 long term</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2020, the carrying value of our outstanding notes payable approximates fair value. The respective carrying values of our variable rate notes payable approximate fair value as they are variable rate instruments with short reset periods that reflect current market rates. The revolving credit facilities are considered Level 2 financial liabilities. The fixed-rate A Note, as defined below, pursuant to the Interstate Credit Agreement approximates fair value as of September 30, 2020.</w:t>
      </w:r>
    </w:p>
    <w:p>
      <w:pPr>
        <w:spacing w:after="0" w:line="7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December 21, 2018, 99 Restaurants LLC, a direct, wholly-owned subsidiary of 99 Restaurants, entered into the 99 Restaurants Credit Facility with Fifth Third Bank and other lenders thereto. The 99 Restaurants Credit Facility provides for (i) a maximum revolving loan of $15.0 million (the “99 Revolver”) with a maturity date of December 21, 2023; (ii) a maximum term loan of $37.0 million (the "99 Term Loan") with monthly installment repayments through November 30, 2023 and a maturity date of December 21, 2023 for the outstanding unpaid principal balance; and (iii) a maximum Development Line of Credit loan (the “99 DLOC Loan”) of up to $10.0 million to be advanced from time to time through December 21, 2020, with quarterly installment payments through (a) September 30, 2024 with respect to 99 DLOC Loans borrowed prior to December 21, 2019, and (b) September 30, 2025 with respect to 99 DLOC Loans borrowed on or after December 21, 2019. Interest on the 99 Credit Facility is based on, at our option, an applicable margin of (x) two and one half percent (2.50%) per annum with respect to Base Rate Loans, as provided therein, and (y) three and one half percent (3.50%) per annum with respect to LIBOR Loans, as provided therein. As of September 30, 2020, interest on the 99 Term Loan and 99 Revolver is payable monthly at a rate of 3.75% and 5.75%, respectively, and there is $12.5 million of aggregate borrowing capacity under the 99 Revolver and DLOC Loans.</w:t>
      </w:r>
    </w:p>
    <w:p>
      <w:pPr>
        <w:spacing w:after="0" w:line="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September 30, 2020, 99 Restaurants LLC was not in compliance with certain of the financial covenants of the 99 Restaurants Credit Facility. As a result of such non-compliance, we reclassified the recorded balance for the 99 Restaurants Credit Facility to a current liability as of September 30, 2020. 99 Restaurants LLC received an extension of its requirement to report on its compliance with the covenants of the 99 Restaurants Credit Facility until November 20, 2020. We are in negotiations with Fifth Third Bank and the other lenders and expect to modify the 99 Restaurants Credit Facility prior to November 20, 2020 to, among other things, pay down a portion of the outstanding balance under the 99 Revolver and reduce the borrowing capacity thereunder, terminate the 99 DLOC Loan and reset the financial covenants thereunder.</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November 7, 2018, Cannae Funding, LLC (the "Borrower"), a wholly-owned special purpose subsidiary of the Company, entered into a Margin Loan Agreement (the "Original Loan Agreement"), and certain other related agreements, with Credit Suisse AG (in such capacity, "Administrative Agent") and other lenders thereto. On December 18, 2019, the Borrower entered into an Amended and Restated Margin Loan Agreement (the “Amended Loan Agreement”) with the lenders thereto, the Administrative Agent, and others which amended the Original Loan Agreement. Pursuant to the Amended Loan Agreement, the Borrower could borrow up to $300.0 million (the "Margin Facility") in term loans at an interest rate of the three-month LIBOR plus an applicable margin. The Original Loan Agreement was secured by a first priority lien on 25.0 million shares of Ceridian held by the Company which was contributed to the Borrower prior to any draws under the Margin Facility. On November 13, 2019 and December 18, 2019, 5,000,000 and 200,000 shares, respectively, of Ceridian were released from such lien. On February 18, 2020, the Borrower repaid the remaining $75.0 million outstanding under the Margin Facility and terminated the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Amended Loan Agreement. Accordingly, all of the Company's holdings of Ceridian common stock have been released from the first priority lien under the terminated Margin Facility.</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January 29, 2016, FNF NV Brasada, LLC, an Oregon limited liability company and majority-owned subsidiary of the Company, entered into a credit agreement with an aggregate borrowing capacity of $17.0 million (the “Interstate Credit Agreement”) originally with Bank of the Cascades, as lender. The Interstate Credit Agreement provides for (i) a $12.5 million acquisition loan (the "Acquisition Loan"), (ii) a $3.0 million development loan (the "Development Loan"), and (iii) a $1.5 million line of credit loan (the "Line of Credit Loan", and collectively with the Acquisition Loan and the Development Loan, the "Brasada Interstate Loans"). On June 13, 2018, the Interstate Credit Agreement was modified to add an additional line of credit of $3.6 million ("C Note") and to assign the loan from the Bank of the Cascades to First Interstate Bank. Pursuant to the Acquisition Loan, NV Brasada executed a $6.3 million ("A Note"), which accrues interest at a rate of 4.51% per annum and matures on the tenth anniversary of the issuance thereof, and a $6.3 million ("B Note"), which accrues interest at the rate of LIBOR plus 225 basis points, adjusted monthly, and matures on the tenth anniversary of the issuance thereof. As of September 30, 2020, the B Note, C Note and Line of Credit Loan incurred interest at 2.41% and there was $0.8 million available to be drawn pursuant to the Brasada Interstate Loans.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payable to FNF</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17, 2017, in conjunction with the FNF Split-Off, FNF issued to the Company a revolver note in an aggregate principal amount of up to $100.0 million (the "FNF Revolver"). Pursuant to the FNF Revolver, FNF may make one or more loans to us in increments of $1.0 million, with up to $100.0 million outstanding at any time. The FNF Revolver accrues interest at LIBOR plus 450 basis points and matures on the five year anniversary of the date we were issued the FNF Revolver. The maturity date is automatically extended for additional five year terms unless notice of non-renewal is otherwise provided by either FNF or the Company, in their sole discretion. As of September 30, 2020, there was no outstanding balance under the FNF Revolver and there was $100.0 million remaining borrowing capacity.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00" w:type="dxa"/>
            <w:vAlign w:val="bottom"/>
          </w:tcPr>
          <w:p>
            <w:pPr>
              <w:ind w:left="340"/>
              <w:spacing w:after="0"/>
              <w:rPr>
                <w:sz w:val="20"/>
                <w:szCs w:val="20"/>
                <w:color w:val="auto"/>
              </w:rPr>
            </w:pPr>
            <w:r>
              <w:rPr>
                <w:rFonts w:ascii="Arial" w:cs="Arial" w:eastAsia="Arial" w:hAnsi="Arial"/>
                <w:sz w:val="18"/>
                <w:szCs w:val="18"/>
                <w:color w:val="auto"/>
              </w:rPr>
              <w:t>Gross principal maturities of notes payable at September 30, 2020 are as follows (in millions):</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35"/>
        </w:trPr>
        <w:tc>
          <w:tcPr>
            <w:tcW w:w="10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10100" w:type="dxa"/>
            <w:vAlign w:val="bottom"/>
          </w:tcPr>
          <w:p>
            <w:pPr>
              <w:ind w:left="20"/>
              <w:spacing w:after="0"/>
              <w:rPr>
                <w:sz w:val="20"/>
                <w:szCs w:val="20"/>
                <w:color w:val="auto"/>
              </w:rPr>
            </w:pPr>
            <w:r>
              <w:rPr>
                <w:rFonts w:ascii="Arial" w:cs="Arial" w:eastAsia="Arial" w:hAnsi="Arial"/>
                <w:sz w:val="18"/>
                <w:szCs w:val="18"/>
                <w:color w:val="auto"/>
              </w:rPr>
              <w:t>2023</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10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0"/>
        </w:trPr>
        <w:tc>
          <w:tcPr>
            <w:tcW w:w="10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48"/>
        </w:trPr>
        <w:tc>
          <w:tcPr>
            <w:tcW w:w="10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depart from customary litigation or regulatory inquiries incidental to our business.</w:t>
      </w:r>
    </w:p>
    <w:p>
      <w:pPr>
        <w:spacing w:after="0" w:line="4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discrimination, wage and hour and other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September 30, 2020 and December 31, 2019, we had $0.2 million and $0.1 million, respectively, accrued for legal proceedings.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September 23, 2020, a stockholder derivative lawsuit styled Oklahoma Firefighters Pension &amp; Retirement System, derivatively on behalf of Cannae Holdings, Inc. v. William P. Foley, II, et al., was filed in the Court of Chancery of the State of Delaware against the Company, certain Board members and officers of the Company, and the Manager, alleging breach of fiduciary duties relating to the Company’s Management Services Agreement. The plaintiff further alleges the Board breached their fiduciary duties by approving bonuses in connection with the initial public offering of Ceridian and the approval of an Investment Success Incentive Plan in August 2018. Along with the Complaint, the plaintiff filed a motion for partial summary judgment as to the count seeking to void the Management Services Agreement. The defendants will contest the action vigorously.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 Ribbon Reorganization</w:t>
      </w:r>
    </w:p>
    <w:p>
      <w:pPr>
        <w:spacing w:after="0" w:line="117"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On September 16, 2020, the Bankruptcy Court entered its order in the Blue Ribbon Reorganization confirming the Chapter 11 Plan. Blue Ribbon, which owns the Village Inn, Baker's Square, and Legendary Baking concepts, had initiated its voluntary chapter 11 bankruptcy case before the Bankruptcy Court on January 27, 2020. The Blue Ribbon Reorganization did not involve or affect the operations of O’Charley’s or 99 Restaurants, which are not part of Blue Ribbon.</w:t>
      </w:r>
    </w:p>
    <w:p>
      <w:pPr>
        <w:spacing w:after="0" w:line="8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On October 2, 2020, the Chapter 11 Plan became effective and Blue Ribbon emerged from bankruptcy as a set of reorganized companies. Pursuant to the Chapter 11 Plan, we received 100% of the equity in the reorganized companies in exchange for the satisfaction of a portion equal to $15.5 million of the DIP Loan. In addition, as approved under the Chapter 11 Plan and in connection with Blue Ribbon’s emergence from bankruptcy, we provided the reorganized companies with an exit facility that, among other things, converted the balance of the DIP Loan to a term loan and made available to the reorganized companies an additional term loan in the amount of $6.8 million and two revolving lines of credit in the amount of $5.0 million and $2.5 million,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Unconditional Purchase Obligations</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September 30, 2020 to determine the amount of the obligations.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Purchase obligations as of September 30, 2020 are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(remaining)</w:t>
            </w:r>
          </w:p>
        </w:tc>
        <w:tc>
          <w:tcPr>
            <w:tcW w:w="6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2021</w:t>
            </w:r>
          </w:p>
        </w:tc>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2023</w:t>
            </w:r>
          </w:p>
        </w:tc>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commitments</w:t>
            </w:r>
          </w:p>
        </w:tc>
        <w:tc>
          <w:tcPr>
            <w:tcW w:w="6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bottom w:val="single" w:sz="8" w:color="CCEEFF"/>
            </w:tcBorders>
            <w:vMerge w:val="restart"/>
          </w:tcPr>
          <w:p>
            <w:pPr>
              <w:jc w:val="right"/>
              <w:ind w:right="4310"/>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6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discussed in Notes A and D, as of March 31, 2020, we no longer account for our investment in Ceridian under the equity method of accounting for equity investments. As a result of our reduction in influence over Ceridian and change in our accounting for our investment, we no longer consider Ceridian a reportable segment.</w:t>
      </w:r>
    </w:p>
    <w:p>
      <w:pPr>
        <w:spacing w:after="0" w:line="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September 15, 2020, we completed our investment in Optimal Blue. Optimal Blue exceeds certain of the quantitative thresholds prescribed by ASC 280 Segment Reporting and our chief operating decision maker reviews the financial results of Optimal Blue for purposes of assessing performance and allocating resources. Accordingly, we consider Optimal Blue a reportable segment and have included the results of operation of Optimal Blue subsequent the date of our investment in the tables below. See below for further discussion of Optimal Blue and our accounting for our related investment.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Dun &amp; Bradstreet and</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40" w:type="dxa"/>
            <w:vAlign w:val="bottom"/>
          </w:tcPr>
          <w:p>
            <w:pPr>
              <w:spacing w:after="0"/>
              <w:rPr>
                <w:sz w:val="10"/>
                <w:szCs w:val="10"/>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3"/>
                <w:szCs w:val="13"/>
                <w:color w:val="auto"/>
              </w:rPr>
              <w:t>Restaurant Group</w:t>
            </w:r>
          </w:p>
        </w:tc>
        <w:tc>
          <w:tcPr>
            <w:tcW w:w="1140" w:type="dxa"/>
            <w:vAlign w:val="bottom"/>
            <w:gridSpan w:val="3"/>
            <w:vMerge w:val="restart"/>
          </w:tcPr>
          <w:p>
            <w:pPr>
              <w:ind w:left="60"/>
              <w:spacing w:after="0"/>
              <w:rPr>
                <w:sz w:val="20"/>
                <w:szCs w:val="20"/>
                <w:color w:val="auto"/>
              </w:rPr>
            </w:pPr>
            <w:r>
              <w:rPr>
                <w:rFonts w:ascii="Arial" w:cs="Arial" w:eastAsia="Arial" w:hAnsi="Arial"/>
                <w:sz w:val="13"/>
                <w:szCs w:val="13"/>
                <w:color w:val="auto"/>
              </w:rPr>
              <w:t>Dun &amp; Bradstreet</w:t>
            </w:r>
          </w:p>
        </w:tc>
        <w:tc>
          <w:tcPr>
            <w:tcW w:w="120" w:type="dxa"/>
            <w:vAlign w:val="bottom"/>
          </w:tcPr>
          <w:p>
            <w:pPr>
              <w:spacing w:after="0"/>
              <w:rPr>
                <w:sz w:val="10"/>
                <w:szCs w:val="1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3"/>
                <w:szCs w:val="13"/>
                <w:color w:val="auto"/>
              </w:rPr>
              <w:t>Optimal Blue</w:t>
            </w: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1"/>
              </w:rPr>
              <w:t>Optimal Blue</w:t>
            </w:r>
          </w:p>
        </w:tc>
        <w:tc>
          <w:tcPr>
            <w:tcW w:w="240" w:type="dxa"/>
            <w:vAlign w:val="bottom"/>
          </w:tcPr>
          <w:p>
            <w:pPr>
              <w:spacing w:after="0"/>
              <w:rPr>
                <w:sz w:val="10"/>
                <w:szCs w:val="10"/>
                <w:color w:val="auto"/>
              </w:rPr>
            </w:pPr>
          </w:p>
        </w:tc>
        <w:tc>
          <w:tcPr>
            <w:tcW w:w="80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color w:val="auto"/>
                <w:w w:val="94"/>
              </w:rPr>
              <w:t>Elimination</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ind w:left="74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129.4</w:t>
            </w:r>
          </w:p>
        </w:tc>
        <w:tc>
          <w:tcPr>
            <w:tcW w:w="0" w:type="dxa"/>
            <w:vAlign w:val="bottom"/>
          </w:tcPr>
          <w:p>
            <w:pPr>
              <w:spacing w:after="0"/>
              <w:rPr>
                <w:sz w:val="1"/>
                <w:szCs w:val="1"/>
                <w:color w:val="auto"/>
              </w:rPr>
            </w:pPr>
          </w:p>
        </w:tc>
      </w:tr>
      <w:tr>
        <w:trPr>
          <w:trHeight w:val="188"/>
        </w:trPr>
        <w:tc>
          <w:tcPr>
            <w:tcW w:w="424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18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(448.8)</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139.7</w:t>
            </w:r>
          </w:p>
        </w:tc>
        <w:tc>
          <w:tcPr>
            <w:tcW w:w="0" w:type="dxa"/>
            <w:vAlign w:val="bottom"/>
          </w:tcPr>
          <w:p>
            <w:pPr>
              <w:spacing w:after="0"/>
              <w:rPr>
                <w:sz w:val="1"/>
                <w:szCs w:val="1"/>
                <w:color w:val="auto"/>
              </w:rPr>
            </w:pPr>
          </w:p>
        </w:tc>
      </w:tr>
      <w:tr>
        <w:trPr>
          <w:trHeight w:val="135"/>
        </w:trPr>
        <w:tc>
          <w:tcPr>
            <w:tcW w:w="4240" w:type="dxa"/>
            <w:vAlign w:val="bottom"/>
          </w:tcPr>
          <w:p>
            <w:pPr>
              <w:ind w:left="20"/>
              <w:spacing w:after="0" w:line="135" w:lineRule="exact"/>
              <w:rPr>
                <w:sz w:val="20"/>
                <w:szCs w:val="20"/>
                <w:color w:val="auto"/>
              </w:rPr>
            </w:pPr>
            <w:r>
              <w:rPr>
                <w:rFonts w:ascii="Arial" w:cs="Arial" w:eastAsia="Arial" w:hAnsi="Arial"/>
                <w:sz w:val="14"/>
                <w:szCs w:val="14"/>
                <w:color w:val="auto"/>
                <w:w w:val="96"/>
              </w:rPr>
              <w:t>Interest, investment and other income, including recognized gains and</w:t>
            </w:r>
          </w:p>
        </w:tc>
        <w:tc>
          <w:tcPr>
            <w:tcW w:w="3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194.3</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losses, net</w:t>
            </w:r>
          </w:p>
        </w:tc>
        <w:tc>
          <w:tcPr>
            <w:tcW w:w="3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334.0</w:t>
            </w:r>
          </w:p>
        </w:tc>
        <w:tc>
          <w:tcPr>
            <w:tcW w:w="0" w:type="dxa"/>
            <w:vAlign w:val="bottom"/>
          </w:tcPr>
          <w:p>
            <w:pPr>
              <w:spacing w:after="0"/>
              <w:rPr>
                <w:sz w:val="1"/>
                <w:szCs w:val="1"/>
                <w:color w:val="auto"/>
              </w:rPr>
            </w:pPr>
          </w:p>
        </w:tc>
      </w:tr>
      <w:tr>
        <w:trPr>
          <w:trHeight w:val="181"/>
        </w:trPr>
        <w:tc>
          <w:tcPr>
            <w:tcW w:w="42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90"/>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35"/>
        </w:trPr>
        <w:tc>
          <w:tcPr>
            <w:tcW w:w="4240" w:type="dxa"/>
            <w:vAlign w:val="bottom"/>
          </w:tcPr>
          <w:p>
            <w:pPr>
              <w:ind w:left="20"/>
              <w:spacing w:after="0" w:line="135" w:lineRule="exact"/>
              <w:rPr>
                <w:sz w:val="20"/>
                <w:szCs w:val="20"/>
                <w:color w:val="auto"/>
              </w:rPr>
            </w:pPr>
            <w:r>
              <w:rPr>
                <w:rFonts w:ascii="Arial" w:cs="Arial" w:eastAsia="Arial" w:hAnsi="Arial"/>
                <w:sz w:val="14"/>
                <w:szCs w:val="14"/>
                <w:color w:val="auto"/>
                <w:w w:val="96"/>
              </w:rPr>
              <w:t>(Loss) earnings before income taxes and equity in earnings (losses) of</w:t>
            </w:r>
          </w:p>
        </w:tc>
        <w:tc>
          <w:tcPr>
            <w:tcW w:w="3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164.3</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3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35.1</w:t>
            </w:r>
          </w:p>
        </w:tc>
        <w:tc>
          <w:tcPr>
            <w:tcW w:w="0" w:type="dxa"/>
            <w:vAlign w:val="bottom"/>
          </w:tcPr>
          <w:p>
            <w:pPr>
              <w:spacing w:after="0"/>
              <w:rPr>
                <w:sz w:val="1"/>
                <w:szCs w:val="1"/>
                <w:color w:val="auto"/>
              </w:rPr>
            </w:pPr>
          </w:p>
        </w:tc>
      </w:tr>
      <w:tr>
        <w:trPr>
          <w:trHeight w:val="115"/>
        </w:trPr>
        <w:tc>
          <w:tcPr>
            <w:tcW w:w="4240" w:type="dxa"/>
            <w:vAlign w:val="bottom"/>
          </w:tcPr>
          <w:p>
            <w:pPr>
              <w:ind w:left="20"/>
              <w:spacing w:after="0" w:line="115" w:lineRule="exact"/>
              <w:rPr>
                <w:sz w:val="20"/>
                <w:szCs w:val="20"/>
                <w:color w:val="auto"/>
              </w:rPr>
            </w:pPr>
            <w:r>
              <w:rPr>
                <w:rFonts w:ascii="Arial" w:cs="Arial" w:eastAsia="Arial" w:hAnsi="Arial"/>
                <w:sz w:val="13"/>
                <w:szCs w:val="13"/>
                <w:color w:val="auto"/>
              </w:rPr>
              <w:t>(Loss) earnings, before equity in (losses) earnings of unconsolidated</w:t>
            </w:r>
          </w:p>
        </w:tc>
        <w:tc>
          <w:tcPr>
            <w:tcW w:w="3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129.2</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affiliates</w:t>
            </w:r>
          </w:p>
        </w:tc>
        <w:tc>
          <w:tcPr>
            <w:tcW w:w="3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affiliates</w:t>
            </w:r>
          </w:p>
        </w:tc>
        <w:tc>
          <w:tcPr>
            <w:tcW w:w="3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4"/>
        </w:trPr>
        <w:tc>
          <w:tcPr>
            <w:tcW w:w="424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128.0</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(11,185.4)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3,868.6</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2,853.9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1,241.0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(4,094.9)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2019:</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3"/>
                <w:szCs w:val="13"/>
                <w:color w:val="auto"/>
              </w:rPr>
              <w:t>Restaurant Group</w:t>
            </w:r>
          </w:p>
        </w:tc>
        <w:tc>
          <w:tcPr>
            <w:tcW w:w="1120" w:type="dxa"/>
            <w:vAlign w:val="bottom"/>
            <w:gridSpan w:val="3"/>
            <w:vMerge w:val="restart"/>
          </w:tcPr>
          <w:p>
            <w:pPr>
              <w:ind w:left="60"/>
              <w:spacing w:after="0"/>
              <w:rPr>
                <w:sz w:val="20"/>
                <w:szCs w:val="20"/>
                <w:color w:val="auto"/>
              </w:rPr>
            </w:pPr>
            <w:r>
              <w:rPr>
                <w:rFonts w:ascii="Arial" w:cs="Arial" w:eastAsia="Arial" w:hAnsi="Arial"/>
                <w:sz w:val="13"/>
                <w:szCs w:val="13"/>
                <w:color w:val="auto"/>
              </w:rPr>
              <w:t>Dun &amp; Bradstreet</w:t>
            </w:r>
          </w:p>
        </w:tc>
        <w:tc>
          <w:tcPr>
            <w:tcW w:w="140" w:type="dxa"/>
            <w:vAlign w:val="bottom"/>
          </w:tcPr>
          <w:p>
            <w:pPr>
              <w:spacing w:after="0"/>
              <w:rPr>
                <w:sz w:val="13"/>
                <w:szCs w:val="13"/>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Dun &amp; Bradstreet</w:t>
            </w:r>
          </w:p>
        </w:tc>
        <w:tc>
          <w:tcPr>
            <w:tcW w:w="180" w:type="dxa"/>
            <w:vAlign w:val="bottom"/>
          </w:tcPr>
          <w:p>
            <w:pPr>
              <w:spacing w:after="0"/>
              <w:rPr>
                <w:sz w:val="13"/>
                <w:szCs w:val="13"/>
                <w:color w:val="auto"/>
              </w:rPr>
            </w:pPr>
          </w:p>
        </w:tc>
        <w:tc>
          <w:tcPr>
            <w:tcW w:w="64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and Other</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94"/>
              </w:rPr>
              <w:t>Elimination</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247.7</w:t>
            </w:r>
          </w:p>
        </w:tc>
        <w:tc>
          <w:tcPr>
            <w:tcW w:w="0" w:type="dxa"/>
            <w:vAlign w:val="bottom"/>
          </w:tcPr>
          <w:p>
            <w:pPr>
              <w:spacing w:after="0"/>
              <w:rPr>
                <w:sz w:val="1"/>
                <w:szCs w:val="1"/>
                <w:color w:val="auto"/>
              </w:rPr>
            </w:pPr>
          </w:p>
        </w:tc>
      </w:tr>
      <w:tr>
        <w:trPr>
          <w:trHeight w:val="188"/>
        </w:trPr>
        <w:tc>
          <w:tcPr>
            <w:tcW w:w="558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0" w:type="dxa"/>
            <w:vAlign w:val="bottom"/>
          </w:tcPr>
          <w:p>
            <w:pPr>
              <w:spacing w:after="0"/>
              <w:rPr>
                <w:sz w:val="1"/>
                <w:szCs w:val="1"/>
                <w:color w:val="auto"/>
              </w:rPr>
            </w:pPr>
          </w:p>
        </w:tc>
      </w:tr>
      <w:tr>
        <w:trPr>
          <w:trHeight w:val="18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257.0</w:t>
            </w:r>
          </w:p>
        </w:tc>
        <w:tc>
          <w:tcPr>
            <w:tcW w:w="0" w:type="dxa"/>
            <w:vAlign w:val="bottom"/>
          </w:tcPr>
          <w:p>
            <w:pPr>
              <w:spacing w:after="0"/>
              <w:rPr>
                <w:sz w:val="1"/>
                <w:szCs w:val="1"/>
                <w:color w:val="auto"/>
              </w:rPr>
            </w:pPr>
          </w:p>
        </w:tc>
      </w:tr>
      <w:tr>
        <w:trPr>
          <w:trHeight w:val="18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investment and other income, including recognized gains and losses, net</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94.2</w:t>
            </w:r>
          </w:p>
        </w:tc>
        <w:tc>
          <w:tcPr>
            <w:tcW w:w="0" w:type="dxa"/>
            <w:vAlign w:val="bottom"/>
          </w:tcPr>
          <w:p>
            <w:pPr>
              <w:spacing w:after="0"/>
              <w:rPr>
                <w:sz w:val="1"/>
                <w:szCs w:val="1"/>
                <w:color w:val="auto"/>
              </w:rPr>
            </w:pPr>
          </w:p>
        </w:tc>
      </w:tr>
      <w:tr>
        <w:trPr>
          <w:trHeight w:val="184"/>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351.2</w:t>
            </w: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0" w:type="dxa"/>
            <w:vAlign w:val="bottom"/>
          </w:tcPr>
          <w:p>
            <w:pPr>
              <w:spacing w:after="0"/>
              <w:rPr>
                <w:sz w:val="1"/>
                <w:szCs w:val="1"/>
                <w:color w:val="auto"/>
              </w:rPr>
            </w:pPr>
          </w:p>
        </w:tc>
      </w:tr>
      <w:tr>
        <w:trPr>
          <w:trHeight w:val="190"/>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88"/>
        </w:trPr>
        <w:tc>
          <w:tcPr>
            <w:tcW w:w="5580" w:type="dxa"/>
            <w:vAlign w:val="bottom"/>
          </w:tcPr>
          <w:p>
            <w:pPr>
              <w:ind w:left="20"/>
              <w:spacing w:after="0"/>
              <w:rPr>
                <w:sz w:val="20"/>
                <w:szCs w:val="20"/>
                <w:color w:val="auto"/>
              </w:rPr>
            </w:pPr>
            <w:r>
              <w:rPr>
                <w:rFonts w:ascii="Arial" w:cs="Arial" w:eastAsia="Arial" w:hAnsi="Arial"/>
                <w:sz w:val="14"/>
                <w:szCs w:val="14"/>
                <w:color w:val="auto"/>
                <w:w w:val="94"/>
              </w:rPr>
              <w:t>(Loss) earnings before income taxes and equity in earnings (losses) of unconsolidated affiliates</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67.5</w:t>
            </w:r>
          </w:p>
        </w:tc>
        <w:tc>
          <w:tcPr>
            <w:tcW w:w="0" w:type="dxa"/>
            <w:vAlign w:val="bottom"/>
          </w:tcPr>
          <w:p>
            <w:pPr>
              <w:spacing w:after="0"/>
              <w:rPr>
                <w:sz w:val="1"/>
                <w:szCs w:val="1"/>
                <w:color w:val="auto"/>
              </w:rPr>
            </w:pPr>
          </w:p>
        </w:tc>
      </w:tr>
      <w:tr>
        <w:trPr>
          <w:trHeight w:val="190"/>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52.4</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w:t>
            </w:r>
          </w:p>
        </w:tc>
        <w:tc>
          <w:tcPr>
            <w:tcW w:w="0" w:type="dxa"/>
            <w:vAlign w:val="bottom"/>
          </w:tcPr>
          <w:p>
            <w:pPr>
              <w:spacing w:after="0"/>
              <w:rPr>
                <w:sz w:val="1"/>
                <w:szCs w:val="1"/>
                <w:color w:val="auto"/>
              </w:rPr>
            </w:pPr>
          </w:p>
        </w:tc>
      </w:tr>
      <w:tr>
        <w:trPr>
          <w:trHeight w:val="184"/>
        </w:trPr>
        <w:tc>
          <w:tcPr>
            <w:tcW w:w="558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44.1</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1,893.7</w:t>
            </w: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(2,967.4)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76.5</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3"/>
                <w:szCs w:val="13"/>
                <w:color w:val="auto"/>
                <w:w w:val="84"/>
              </w:rPr>
              <w:t>Restaurant</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color w:val="auto"/>
                <w:w w:val="99"/>
              </w:rPr>
              <w:t>Dun &amp;</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w w:val="86"/>
              </w:rPr>
              <w:t>Corporate and</w:t>
            </w:r>
          </w:p>
        </w:tc>
        <w:tc>
          <w:tcPr>
            <w:tcW w:w="1340" w:type="dxa"/>
            <w:vAlign w:val="bottom"/>
            <w:gridSpan w:val="3"/>
          </w:tcPr>
          <w:p>
            <w:pPr>
              <w:jc w:val="center"/>
              <w:ind w:right="100"/>
              <w:spacing w:after="0"/>
              <w:rPr>
                <w:sz w:val="20"/>
                <w:szCs w:val="20"/>
                <w:color w:val="auto"/>
              </w:rPr>
            </w:pPr>
            <w:r>
              <w:rPr>
                <w:rFonts w:ascii="Arial" w:cs="Arial" w:eastAsia="Arial" w:hAnsi="Arial"/>
                <w:sz w:val="13"/>
                <w:szCs w:val="13"/>
                <w:color w:val="auto"/>
                <w:w w:val="89"/>
              </w:rPr>
              <w:t>Dun &amp; Bradstreet and</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13"/>
                <w:szCs w:val="13"/>
                <w:color w:val="auto"/>
              </w:rPr>
              <w:t>Optimal Blue</w:t>
            </w: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280"/>
              <w:spacing w:after="0" w:line="122" w:lineRule="exact"/>
              <w:rPr>
                <w:sz w:val="20"/>
                <w:szCs w:val="20"/>
                <w:color w:val="auto"/>
              </w:rPr>
            </w:pPr>
            <w:r>
              <w:rPr>
                <w:rFonts w:ascii="Arial" w:cs="Arial" w:eastAsia="Arial" w:hAnsi="Arial"/>
                <w:sz w:val="13"/>
                <w:szCs w:val="13"/>
                <w:color w:val="auto"/>
                <w:w w:val="91"/>
              </w:rPr>
              <w:t>Optimal Blue</w:t>
            </w:r>
          </w:p>
        </w:tc>
        <w:tc>
          <w:tcPr>
            <w:tcW w:w="220" w:type="dxa"/>
            <w:vAlign w:val="bottom"/>
          </w:tcPr>
          <w:p>
            <w:pPr>
              <w:spacing w:after="0"/>
              <w:rPr>
                <w:sz w:val="10"/>
                <w:szCs w:val="10"/>
                <w:color w:val="auto"/>
              </w:rPr>
            </w:pPr>
          </w:p>
        </w:tc>
        <w:tc>
          <w:tcPr>
            <w:tcW w:w="72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8"/>
              </w:rPr>
              <w:t>Group</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86"/>
              </w:rPr>
              <w:t>Bradstreet</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color w:val="auto"/>
                <w:w w:val="92"/>
              </w:rPr>
              <w:t>Other</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color w:val="auto"/>
                <w:w w:val="94"/>
              </w:rPr>
              <w:t>Elimination</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tcPr>
          <w:p>
            <w:pPr>
              <w:ind w:left="6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398.7</w:t>
            </w:r>
          </w:p>
        </w:tc>
        <w:tc>
          <w:tcPr>
            <w:tcW w:w="0" w:type="dxa"/>
            <w:vAlign w:val="bottom"/>
          </w:tcPr>
          <w:p>
            <w:pPr>
              <w:spacing w:after="0"/>
              <w:rPr>
                <w:sz w:val="1"/>
                <w:szCs w:val="1"/>
                <w:color w:val="auto"/>
              </w:rPr>
            </w:pPr>
          </w:p>
        </w:tc>
      </w:tr>
      <w:tr>
        <w:trPr>
          <w:trHeight w:val="188"/>
        </w:trPr>
        <w:tc>
          <w:tcPr>
            <w:tcW w:w="486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8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398.7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415.3</w:t>
            </w:r>
          </w:p>
        </w:tc>
        <w:tc>
          <w:tcPr>
            <w:tcW w:w="0" w:type="dxa"/>
            <w:vAlign w:val="bottom"/>
          </w:tcPr>
          <w:p>
            <w:pPr>
              <w:spacing w:after="0"/>
              <w:rPr>
                <w:sz w:val="1"/>
                <w:szCs w:val="1"/>
                <w:color w:val="auto"/>
              </w:rPr>
            </w:pPr>
          </w:p>
        </w:tc>
      </w:tr>
      <w:tr>
        <w:trPr>
          <w:trHeight w:val="188"/>
        </w:trPr>
        <w:tc>
          <w:tcPr>
            <w:tcW w:w="4860" w:type="dxa"/>
            <w:vAlign w:val="bottom"/>
          </w:tcPr>
          <w:p>
            <w:pPr>
              <w:ind w:left="20"/>
              <w:spacing w:after="0"/>
              <w:rPr>
                <w:sz w:val="20"/>
                <w:szCs w:val="20"/>
                <w:color w:val="auto"/>
              </w:rPr>
            </w:pPr>
            <w:r>
              <w:rPr>
                <w:rFonts w:ascii="Arial" w:cs="Arial" w:eastAsia="Arial" w:hAnsi="Arial"/>
                <w:sz w:val="14"/>
                <w:szCs w:val="14"/>
                <w:color w:val="auto"/>
                <w:w w:val="95"/>
              </w:rPr>
              <w:t>Interest, investment and other income, including recognized gains and losses, net</w:t>
            </w:r>
          </w:p>
        </w:tc>
        <w:tc>
          <w:tcPr>
            <w:tcW w:w="1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1,688.8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1,698.0</w:t>
            </w:r>
          </w:p>
        </w:tc>
        <w:tc>
          <w:tcPr>
            <w:tcW w:w="0" w:type="dxa"/>
            <w:vAlign w:val="bottom"/>
          </w:tcPr>
          <w:p>
            <w:pPr>
              <w:spacing w:after="0"/>
              <w:rPr>
                <w:sz w:val="1"/>
                <w:szCs w:val="1"/>
                <w:color w:val="auto"/>
              </w:rPr>
            </w:pPr>
          </w:p>
        </w:tc>
      </w:tr>
      <w:tr>
        <w:trPr>
          <w:trHeight w:val="18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407.9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1,705.4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(1,223.2)</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2,113.3</w:t>
            </w:r>
          </w:p>
        </w:tc>
        <w:tc>
          <w:tcPr>
            <w:tcW w:w="0" w:type="dxa"/>
            <w:vAlign w:val="bottom"/>
          </w:tcPr>
          <w:p>
            <w:pPr>
              <w:spacing w:after="0"/>
              <w:rPr>
                <w:sz w:val="1"/>
                <w:szCs w:val="1"/>
                <w:color w:val="auto"/>
              </w:rPr>
            </w:pPr>
          </w:p>
        </w:tc>
      </w:tr>
      <w:tr>
        <w:trPr>
          <w:trHeight w:val="181"/>
        </w:trPr>
        <w:tc>
          <w:tcPr>
            <w:tcW w:w="4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(406.6)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22.2</w:t>
            </w:r>
          </w:p>
        </w:tc>
        <w:tc>
          <w:tcPr>
            <w:tcW w:w="0" w:type="dxa"/>
            <w:vAlign w:val="bottom"/>
          </w:tcPr>
          <w:p>
            <w:pPr>
              <w:spacing w:after="0"/>
              <w:rPr>
                <w:sz w:val="1"/>
                <w:szCs w:val="1"/>
                <w:color w:val="auto"/>
              </w:rPr>
            </w:pPr>
          </w:p>
        </w:tc>
      </w:tr>
      <w:tr>
        <w:trPr>
          <w:trHeight w:val="19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35"/>
        </w:trPr>
        <w:tc>
          <w:tcPr>
            <w:tcW w:w="4860" w:type="dxa"/>
            <w:vAlign w:val="bottom"/>
          </w:tcPr>
          <w:p>
            <w:pPr>
              <w:ind w:left="20"/>
              <w:spacing w:after="0" w:line="135" w:lineRule="exact"/>
              <w:rPr>
                <w:sz w:val="20"/>
                <w:szCs w:val="20"/>
                <w:color w:val="auto"/>
              </w:rPr>
            </w:pPr>
            <w:r>
              <w:rPr>
                <w:rFonts w:ascii="Arial" w:cs="Arial" w:eastAsia="Arial" w:hAnsi="Arial"/>
                <w:sz w:val="14"/>
                <w:szCs w:val="14"/>
                <w:color w:val="auto"/>
              </w:rPr>
              <w:t>(Loss) earnings before income taxes and equity in earnings (losses) of</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1,623.3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249.5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1,564.2</w:t>
            </w: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unconsolidated affiliates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335.6</w:t>
            </w:r>
          </w:p>
        </w:tc>
        <w:tc>
          <w:tcPr>
            <w:tcW w:w="0" w:type="dxa"/>
            <w:vAlign w:val="bottom"/>
          </w:tcPr>
          <w:p>
            <w:pPr>
              <w:spacing w:after="0"/>
              <w:rPr>
                <w:sz w:val="1"/>
                <w:szCs w:val="1"/>
                <w:color w:val="auto"/>
              </w:rPr>
            </w:pPr>
          </w:p>
        </w:tc>
      </w:tr>
      <w:tr>
        <w:trPr>
          <w:trHeight w:val="181"/>
        </w:trPr>
        <w:tc>
          <w:tcPr>
            <w:tcW w:w="4860" w:type="dxa"/>
            <w:vAlign w:val="bottom"/>
          </w:tcPr>
          <w:p>
            <w:pPr>
              <w:ind w:left="20"/>
              <w:spacing w:after="0"/>
              <w:rPr>
                <w:sz w:val="20"/>
                <w:szCs w:val="20"/>
                <w:color w:val="auto"/>
              </w:rPr>
            </w:pPr>
            <w:r>
              <w:rPr>
                <w:rFonts w:ascii="Arial" w:cs="Arial" w:eastAsia="Arial" w:hAnsi="Arial"/>
                <w:sz w:val="14"/>
                <w:szCs w:val="14"/>
                <w:color w:val="auto"/>
              </w:rPr>
              <w:t>(Loss) earnings, before equity in (losses) earnings of unconsolidated affiliates</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(116.7)</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1,287.7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1,228.6</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(losses) earnings of unconsolidated affiliates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1,359.5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1,232.2</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3,474.5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(11,185.4)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3,868.6</w:t>
            </w:r>
          </w:p>
        </w:tc>
        <w:tc>
          <w:tcPr>
            <w:tcW w:w="0" w:type="dxa"/>
            <w:vAlign w:val="bottom"/>
          </w:tcPr>
          <w:p>
            <w:pPr>
              <w:spacing w:after="0"/>
              <w:rPr>
                <w:sz w:val="1"/>
                <w:szCs w:val="1"/>
                <w:color w:val="auto"/>
              </w:rPr>
            </w:pPr>
          </w:p>
        </w:tc>
      </w:tr>
      <w:tr>
        <w:trPr>
          <w:trHeight w:val="186"/>
        </w:trPr>
        <w:tc>
          <w:tcPr>
            <w:tcW w:w="4860" w:type="dxa"/>
            <w:vAlign w:val="bottom"/>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2,853.9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(4,094.9)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2019:</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3"/>
                <w:szCs w:val="13"/>
                <w:color w:val="auto"/>
              </w:rPr>
              <w:t>Restaurant Group</w:t>
            </w:r>
          </w:p>
        </w:tc>
        <w:tc>
          <w:tcPr>
            <w:tcW w:w="1120" w:type="dxa"/>
            <w:vAlign w:val="bottom"/>
            <w:gridSpan w:val="3"/>
            <w:vMerge w:val="restart"/>
          </w:tcPr>
          <w:p>
            <w:pPr>
              <w:ind w:left="60"/>
              <w:spacing w:after="0"/>
              <w:rPr>
                <w:sz w:val="20"/>
                <w:szCs w:val="20"/>
                <w:color w:val="auto"/>
              </w:rPr>
            </w:pPr>
            <w:r>
              <w:rPr>
                <w:rFonts w:ascii="Arial" w:cs="Arial" w:eastAsia="Arial" w:hAnsi="Arial"/>
                <w:sz w:val="13"/>
                <w:szCs w:val="13"/>
                <w:color w:val="auto"/>
              </w:rPr>
              <w:t>Dun &amp; Bradstreet</w:t>
            </w:r>
          </w:p>
        </w:tc>
        <w:tc>
          <w:tcPr>
            <w:tcW w:w="140" w:type="dxa"/>
            <w:vAlign w:val="bottom"/>
          </w:tcPr>
          <w:p>
            <w:pPr>
              <w:spacing w:after="0"/>
              <w:rPr>
                <w:sz w:val="13"/>
                <w:szCs w:val="13"/>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Dun &amp; Bradstreet</w:t>
            </w:r>
          </w:p>
        </w:tc>
        <w:tc>
          <w:tcPr>
            <w:tcW w:w="180" w:type="dxa"/>
            <w:vAlign w:val="bottom"/>
          </w:tcPr>
          <w:p>
            <w:pPr>
              <w:spacing w:after="0"/>
              <w:rPr>
                <w:sz w:val="13"/>
                <w:szCs w:val="13"/>
                <w:color w:val="auto"/>
              </w:rPr>
            </w:pPr>
          </w:p>
        </w:tc>
        <w:tc>
          <w:tcPr>
            <w:tcW w:w="64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120" w:type="dxa"/>
            <w:vAlign w:val="bottom"/>
            <w:tcBorders>
              <w:bottom w:val="single" w:sz="8" w:color="auto"/>
            </w:tcBorders>
            <w:gridSpan w:val="3"/>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color w:val="auto"/>
              </w:rPr>
              <w:t>and Other</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94"/>
              </w:rPr>
              <w:t>Elimination</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Restaurant revenues</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772.0</w:t>
            </w:r>
          </w:p>
        </w:tc>
        <w:tc>
          <w:tcPr>
            <w:tcW w:w="0" w:type="dxa"/>
            <w:vAlign w:val="bottom"/>
          </w:tcPr>
          <w:p>
            <w:pPr>
              <w:spacing w:after="0"/>
              <w:rPr>
                <w:sz w:val="1"/>
                <w:szCs w:val="1"/>
                <w:color w:val="auto"/>
              </w:rPr>
            </w:pPr>
          </w:p>
        </w:tc>
      </w:tr>
      <w:tr>
        <w:trPr>
          <w:trHeight w:val="188"/>
        </w:trPr>
        <w:tc>
          <w:tcPr>
            <w:tcW w:w="5580" w:type="dxa"/>
            <w:vAlign w:val="bottom"/>
          </w:tcPr>
          <w:p>
            <w:pPr>
              <w:ind w:left="20"/>
              <w:spacing w:after="0"/>
              <w:rPr>
                <w:sz w:val="20"/>
                <w:szCs w:val="20"/>
                <w:color w:val="auto"/>
              </w:rPr>
            </w:pPr>
            <w:r>
              <w:rPr>
                <w:rFonts w:ascii="Arial" w:cs="Arial" w:eastAsia="Arial" w:hAnsi="Arial"/>
                <w:sz w:val="14"/>
                <w:szCs w:val="14"/>
                <w:color w:val="auto"/>
              </w:rPr>
              <w:t>Other operating revenues</w:t>
            </w:r>
          </w:p>
        </w:tc>
        <w:tc>
          <w:tcPr>
            <w:tcW w:w="3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981.2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(981.2)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19.5</w:t>
            </w:r>
          </w:p>
        </w:tc>
        <w:tc>
          <w:tcPr>
            <w:tcW w:w="0" w:type="dxa"/>
            <w:vAlign w:val="bottom"/>
          </w:tcPr>
          <w:p>
            <w:pPr>
              <w:spacing w:after="0"/>
              <w:rPr>
                <w:sz w:val="1"/>
                <w:szCs w:val="1"/>
                <w:color w:val="auto"/>
              </w:rPr>
            </w:pPr>
          </w:p>
        </w:tc>
      </w:tr>
      <w:tr>
        <w:trPr>
          <w:trHeight w:val="184"/>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791.5</w:t>
            </w:r>
          </w:p>
        </w:tc>
        <w:tc>
          <w:tcPr>
            <w:tcW w:w="0" w:type="dxa"/>
            <w:vAlign w:val="bottom"/>
          </w:tcPr>
          <w:p>
            <w:pPr>
              <w:spacing w:after="0"/>
              <w:rPr>
                <w:sz w:val="1"/>
                <w:szCs w:val="1"/>
                <w:color w:val="auto"/>
              </w:rPr>
            </w:pPr>
          </w:p>
        </w:tc>
      </w:tr>
      <w:tr>
        <w:trPr>
          <w:trHeight w:val="188"/>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investment and other income, including recognized gains and losses, net</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183.3</w:t>
            </w:r>
          </w:p>
        </w:tc>
        <w:tc>
          <w:tcPr>
            <w:tcW w:w="0" w:type="dxa"/>
            <w:vAlign w:val="bottom"/>
          </w:tcPr>
          <w:p>
            <w:pPr>
              <w:spacing w:after="0"/>
              <w:rPr>
                <w:sz w:val="1"/>
                <w:szCs w:val="1"/>
                <w:color w:val="auto"/>
              </w:rPr>
            </w:pPr>
          </w:p>
        </w:tc>
      </w:tr>
      <w:tr>
        <w:trPr>
          <w:trHeight w:val="184"/>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 and other income</w:t>
            </w:r>
          </w:p>
        </w:tc>
        <w:tc>
          <w:tcPr>
            <w:tcW w:w="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1,001.9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(1,001.9)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974.8</w:t>
            </w: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29.8</w:t>
            </w:r>
          </w:p>
        </w:tc>
        <w:tc>
          <w:tcPr>
            <w:tcW w:w="0" w:type="dxa"/>
            <w:vAlign w:val="bottom"/>
          </w:tcPr>
          <w:p>
            <w:pPr>
              <w:spacing w:after="0"/>
              <w:rPr>
                <w:sz w:val="1"/>
                <w:szCs w:val="1"/>
                <w:color w:val="auto"/>
              </w:rPr>
            </w:pPr>
          </w:p>
        </w:tc>
      </w:tr>
      <w:tr>
        <w:trPr>
          <w:trHeight w:val="190"/>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r>
        <w:trPr>
          <w:trHeight w:val="188"/>
        </w:trPr>
        <w:tc>
          <w:tcPr>
            <w:tcW w:w="5580" w:type="dxa"/>
            <w:vAlign w:val="bottom"/>
          </w:tcPr>
          <w:p>
            <w:pPr>
              <w:ind w:left="20"/>
              <w:spacing w:after="0"/>
              <w:rPr>
                <w:sz w:val="20"/>
                <w:szCs w:val="20"/>
                <w:color w:val="auto"/>
              </w:rPr>
            </w:pPr>
            <w:r>
              <w:rPr>
                <w:rFonts w:ascii="Arial" w:cs="Arial" w:eastAsia="Arial" w:hAnsi="Arial"/>
                <w:sz w:val="14"/>
                <w:szCs w:val="14"/>
                <w:color w:val="auto"/>
                <w:w w:val="94"/>
              </w:rPr>
              <w:t>(Loss) earnings before income taxes and equity in earnings (losses) of unconsolidated affiliates</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114.9</w:t>
            </w:r>
          </w:p>
        </w:tc>
        <w:tc>
          <w:tcPr>
            <w:tcW w:w="0" w:type="dxa"/>
            <w:vAlign w:val="bottom"/>
          </w:tcPr>
          <w:p>
            <w:pPr>
              <w:spacing w:after="0"/>
              <w:rPr>
                <w:sz w:val="1"/>
                <w:szCs w:val="1"/>
                <w:color w:val="auto"/>
              </w:rPr>
            </w:pPr>
          </w:p>
        </w:tc>
      </w:tr>
      <w:tr>
        <w:trPr>
          <w:trHeight w:val="190"/>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3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81"/>
        </w:trPr>
        <w:tc>
          <w:tcPr>
            <w:tcW w:w="5580" w:type="dxa"/>
            <w:vAlign w:val="bottom"/>
          </w:tcPr>
          <w:p>
            <w:pPr>
              <w:ind w:left="20"/>
              <w:spacing w:after="0"/>
              <w:rPr>
                <w:sz w:val="20"/>
                <w:szCs w:val="20"/>
                <w:color w:val="auto"/>
              </w:rPr>
            </w:pPr>
            <w:r>
              <w:rPr>
                <w:rFonts w:ascii="Arial" w:cs="Arial" w:eastAsia="Arial" w:hAnsi="Arial"/>
                <w:sz w:val="14"/>
                <w:szCs w:val="14"/>
                <w:color w:val="auto"/>
              </w:rPr>
              <w:t>(Loss) earnings before equity in earnings of unconsolidated affiliates</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98.7</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(losses) of unconsolidated affiliates</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(50.8)</w:t>
            </w:r>
          </w:p>
        </w:tc>
        <w:tc>
          <w:tcPr>
            <w:tcW w:w="0" w:type="dxa"/>
            <w:vAlign w:val="bottom"/>
          </w:tcPr>
          <w:p>
            <w:pPr>
              <w:spacing w:after="0"/>
              <w:rPr>
                <w:sz w:val="1"/>
                <w:szCs w:val="1"/>
                <w:color w:val="auto"/>
              </w:rPr>
            </w:pPr>
          </w:p>
        </w:tc>
      </w:tr>
      <w:tr>
        <w:trPr>
          <w:trHeight w:val="184"/>
        </w:trPr>
        <w:tc>
          <w:tcPr>
            <w:tcW w:w="5580" w:type="dxa"/>
            <w:vAlign w:val="bottom"/>
          </w:tcPr>
          <w:p>
            <w:pPr>
              <w:ind w:left="20"/>
              <w:spacing w:after="0"/>
              <w:rPr>
                <w:sz w:val="20"/>
                <w:szCs w:val="20"/>
                <w:color w:val="auto"/>
              </w:rPr>
            </w:pPr>
            <w:r>
              <w:rPr>
                <w:rFonts w:ascii="Arial" w:cs="Arial" w:eastAsia="Arial" w:hAnsi="Arial"/>
                <w:sz w:val="14"/>
                <w:szCs w:val="14"/>
                <w:color w:val="auto"/>
              </w:rPr>
              <w:t>Net (loss) earnings from continuing operations</w:t>
            </w:r>
          </w:p>
        </w:tc>
        <w:tc>
          <w:tcPr>
            <w:tcW w:w="3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(9,075.7)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1,893.7</w:t>
            </w:r>
          </w:p>
        </w:tc>
        <w:tc>
          <w:tcPr>
            <w:tcW w:w="0" w:type="dxa"/>
            <w:vAlign w:val="bottom"/>
          </w:tcPr>
          <w:p>
            <w:pPr>
              <w:spacing w:after="0"/>
              <w:rPr>
                <w:sz w:val="1"/>
                <w:szCs w:val="1"/>
                <w:color w:val="auto"/>
              </w:rPr>
            </w:pPr>
          </w:p>
        </w:tc>
      </w:tr>
      <w:tr>
        <w:trPr>
          <w:trHeight w:val="186"/>
        </w:trPr>
        <w:tc>
          <w:tcPr>
            <w:tcW w:w="5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2,967.4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(2,967.4)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73" w:lineRule="auto"/>
        <w:tabs>
          <w:tab w:leader="none" w:pos="65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This segment consists of the operations of O'Charley's and 99 Restaurants, in which we had 65.4% and 88.5% ownership</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interests, respectively, in all periods presented above and our portion of Blue Ribbon's losses accounted for as an unconsolidated affiliate. The consolidated results of Blue Ribbon are included through January 27, 2020, the date of commencement of the Blue Ribbon Reorganization. O'Charley's and its affiliates are the owners and operators of the O'Charley's restaurant concept. 99 Restaurants and its affiliates are the owners and operators of 99 Restaurants restaurant concept. Blue Ribbon and its affiliates are the owners and operators of the Village Inn and Bakers Square food service and restaurant concepts, as well as the Legendary Baking bakery operation.</w:t>
      </w:r>
    </w:p>
    <w:p>
      <w:pPr>
        <w:spacing w:after="0" w:line="123" w:lineRule="exact"/>
        <w:rPr>
          <w:rFonts w:ascii="Arial" w:cs="Arial" w:eastAsia="Arial" w:hAnsi="Arial"/>
          <w:sz w:val="17"/>
          <w:szCs w:val="17"/>
          <w:i w:val="1"/>
          <w:iCs w:val="1"/>
          <w:color w:val="auto"/>
        </w:rPr>
      </w:pPr>
    </w:p>
    <w:p>
      <w:pPr>
        <w:jc w:val="both"/>
        <w:ind w:left="660" w:hanging="409"/>
        <w:spacing w:after="0" w:line="286" w:lineRule="auto"/>
        <w:tabs>
          <w:tab w:leader="none" w:pos="65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Dun &amp; Bradstreet. </w:t>
      </w:r>
      <w:r>
        <w:rPr>
          <w:rFonts w:ascii="Arial" w:cs="Arial" w:eastAsia="Arial" w:hAnsi="Arial"/>
          <w:sz w:val="16"/>
          <w:szCs w:val="16"/>
          <w:color w:val="auto"/>
        </w:rPr>
        <w:t>This segment consists of our 18.1% ownership interest in Dun &amp; Bradstreet. Dun &amp; Bradstreet is a leading global provider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business decisioning data and analytics. Its mission is to deliver a global network of trust, enabling clients to transform uncertainty into confidence, risk into opportunity and potential into prosperity. Clients embed D&amp;B's trusted, end-to-end solutions into their daily workflows to enhance salesforce productivity, gain visibility into key markets, inform commercial credit decisions and confirm that suppliers are financially viable and compliant with laws and regulations. Dun &amp; Bradstreet's solutions support its clients’ mission critical business operations by providing proprietary and curated data and analytics to help drive informed decisions and improved outcomes. Dun &amp; Bradstreet's global commercial database as of December 31, 2019 contained more than 355 million business records. Dun &amp; Bradstreet exceeds certain of the quantitative thresholds prescribed by ASC 280 Segment Reporting and our chief operating decision maker reviews the financial results of Dun &amp; Bradstreet for purposes of assessing performance and allocating resources. Thus, we consider Dun &amp; Bradstreet a reportable segment and have included the results of operations of Dun &amp; Bradstreet in the tables above. We account for Dun &amp; Bradstreet using the equity method of accounting, and therefore its results do not consolidate into ours. Accordingly, we have presented the elimination of Dun &amp; Bradstreet's results in the </w:t>
      </w:r>
      <w:r>
        <w:rPr>
          <w:rFonts w:ascii="Arial" w:cs="Arial" w:eastAsia="Arial" w:hAnsi="Arial"/>
          <w:sz w:val="16"/>
          <w:szCs w:val="16"/>
          <w:i w:val="1"/>
          <w:iCs w:val="1"/>
          <w:color w:val="auto"/>
        </w:rPr>
        <w:t>Dun &amp;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Bradstreet and Optimal Blue Elimination </w:t>
      </w:r>
      <w:r>
        <w:rPr>
          <w:rFonts w:ascii="Arial" w:cs="Arial" w:eastAsia="Arial" w:hAnsi="Arial"/>
          <w:sz w:val="16"/>
          <w:szCs w:val="16"/>
          <w:color w:val="auto"/>
        </w:rPr>
        <w:t>section of the segment presentation above. Our net earnings for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includes our equity in Dun &amp; Bradstreet’s losses for the period from February 8, 2019, the date we made our initial investment in the D&amp;B Predecessor, to September 30, 2019. See Note D for further discussion of our investment in Dun &amp; Bradstreet and related accounting.</w:t>
      </w:r>
    </w:p>
    <w:p>
      <w:pPr>
        <w:spacing w:after="0" w:line="116" w:lineRule="exact"/>
        <w:rPr>
          <w:rFonts w:ascii="Arial" w:cs="Arial" w:eastAsia="Arial" w:hAnsi="Arial"/>
          <w:sz w:val="16"/>
          <w:szCs w:val="16"/>
          <w:i w:val="1"/>
          <w:iCs w:val="1"/>
          <w:color w:val="auto"/>
        </w:rPr>
      </w:pPr>
    </w:p>
    <w:p>
      <w:pPr>
        <w:jc w:val="both"/>
        <w:ind w:left="660" w:hanging="409"/>
        <w:spacing w:after="0" w:line="259" w:lineRule="auto"/>
        <w:tabs>
          <w:tab w:leader="none" w:pos="65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Optimal Blue</w:t>
      </w:r>
      <w:r>
        <w:rPr>
          <w:rFonts w:ascii="Arial" w:cs="Arial" w:eastAsia="Arial" w:hAnsi="Arial"/>
          <w:sz w:val="18"/>
          <w:szCs w:val="18"/>
          <w:color w:val="auto"/>
        </w:rPr>
        <w:t>. This segment consists of our 20.0% ownership interest in Optimal Blue. Optimal Blue is a leading provider of secondary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and actionable data services. They operate a software-as-a-service, subscription-based mortgage marketplace which supports a network of originators and investors in the residential mortgage market. The marketplace provides a broad set of critical functions utilized by banks, credit unions and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 xml:space="preserve">mortgage brokerage companies throughout the mortgage processing life cycle. Optimal Blue exceeds certain of the quantitative thresholds prescribed by ASC 280 Segment Reporting and our chief operating decision maker reviews the financial results of Optimal Blue for purposes of assessing performance and allocating resources. Thus, we consider Optimal Blue a reportable segment and have included the results of operations of Optimal Blue in the tables above. We account for Optimal Blue using the equity method of accounting, and therefore its results do not consolidate into ours. Accordingly, we have presented the elimination of Optimal Blue's results in the </w:t>
      </w:r>
      <w:r>
        <w:rPr>
          <w:rFonts w:ascii="Arial" w:cs="Arial" w:eastAsia="Arial" w:hAnsi="Arial"/>
          <w:sz w:val="17"/>
          <w:szCs w:val="17"/>
          <w:i w:val="1"/>
          <w:iCs w:val="1"/>
          <w:color w:val="auto"/>
        </w:rPr>
        <w:t>Dun &amp; Bradstreet and Optimal Blue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Elimination </w:t>
      </w:r>
      <w:r>
        <w:rPr>
          <w:rFonts w:ascii="Arial" w:cs="Arial" w:eastAsia="Arial" w:hAnsi="Arial"/>
          <w:sz w:val="17"/>
          <w:szCs w:val="17"/>
          <w:color w:val="auto"/>
        </w:rPr>
        <w:t>section of the segment presentation above. Our net earnings for the three and nine months ended September 30, 2020, includes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 Optimal Blue’s losses for the period from September 15, 2020, the date we made our initial investment in Optimal Blue, to September 30, 2020. See Note D for further discussion of our investment in Optimal Blue and related accounting.</w:t>
      </w:r>
    </w:p>
    <w:p>
      <w:pPr>
        <w:spacing w:after="0" w:line="124" w:lineRule="exact"/>
        <w:rPr>
          <w:sz w:val="20"/>
          <w:szCs w:val="20"/>
          <w:color w:val="auto"/>
        </w:rPr>
      </w:pPr>
    </w:p>
    <w:p>
      <w:pPr>
        <w:ind w:left="660" w:right="20" w:hanging="409"/>
        <w:spacing w:after="0" w:line="277" w:lineRule="auto"/>
        <w:tabs>
          <w:tab w:leader="none" w:pos="65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nonreportable segment consists of our share in the operations of certain controlled portfolio companies and other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activity of the corporate holding company and certain intercompany eliminations and taxes.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10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The following supplemental cash flow information is provided with respect to certain cash payments, as well as certain non-cash investing and financing activities.</w:t>
      </w: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8"/>
          </w:tcPr>
          <w:p>
            <w:pPr>
              <w:jc w:val="right"/>
              <w:ind w:right="358"/>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7"/>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r>
      <w:tr>
        <w:trPr>
          <w:trHeight w:val="183"/>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31"/>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during the period:</w:t>
            </w: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r>
      <w:tr>
        <w:trPr>
          <w:trHeight w:val="229"/>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Interest</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3.4</w:t>
            </w:r>
          </w:p>
        </w:tc>
        <w:tc>
          <w:tcPr>
            <w:tcW w:w="56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taxes</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95.6</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5480" w:type="dxa"/>
            <w:vAlign w:val="bottom"/>
            <w:gridSpan w:val="2"/>
          </w:tcPr>
          <w:p>
            <w:pPr>
              <w:ind w:left="120"/>
              <w:spacing w:after="0"/>
              <w:rPr>
                <w:sz w:val="20"/>
                <w:szCs w:val="20"/>
                <w:color w:val="auto"/>
              </w:rPr>
            </w:pPr>
            <w:r>
              <w:rPr>
                <w:rFonts w:ascii="Arial" w:cs="Arial" w:eastAsia="Arial" w:hAnsi="Arial"/>
                <w:sz w:val="18"/>
                <w:szCs w:val="18"/>
                <w:color w:val="auto"/>
              </w:rPr>
              <w:t>Operating leases</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4"/>
          </w:tcPr>
          <w:p>
            <w:pPr>
              <w:jc w:val="right"/>
              <w:ind w:right="140"/>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56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Note J — Revenue Recognition</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97"/>
        </w:trPr>
        <w:tc>
          <w:tcPr>
            <w:tcW w:w="5480" w:type="dxa"/>
            <w:vAlign w:val="bottom"/>
            <w:gridSpan w:val="2"/>
          </w:tcPr>
          <w:p>
            <w:pPr>
              <w:ind w:left="340"/>
              <w:spacing w:after="0"/>
              <w:rPr>
                <w:sz w:val="20"/>
                <w:szCs w:val="20"/>
                <w:color w:val="auto"/>
              </w:rPr>
            </w:pPr>
            <w:r>
              <w:rPr>
                <w:rFonts w:ascii="Arial" w:cs="Arial" w:eastAsia="Arial" w:hAnsi="Arial"/>
                <w:sz w:val="18"/>
                <w:szCs w:val="18"/>
                <w:color w:val="auto"/>
              </w:rPr>
              <w:t>Our revenue consists of:</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6"/>
        </w:trPr>
        <w:tc>
          <w:tcPr>
            <w:tcW w:w="5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Three months ended September</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gridSpan w:val="4"/>
          </w:tcPr>
          <w:p>
            <w:pPr>
              <w:jc w:val="right"/>
              <w:ind w:right="178"/>
              <w:spacing w:after="0"/>
              <w:rPr>
                <w:sz w:val="20"/>
                <w:szCs w:val="20"/>
                <w:color w:val="auto"/>
              </w:rPr>
            </w:pPr>
            <w:r>
              <w:rPr>
                <w:rFonts w:ascii="Arial" w:cs="Arial" w:eastAsia="Arial" w:hAnsi="Arial"/>
                <w:sz w:val="14"/>
                <w:szCs w:val="14"/>
                <w:b w:val="1"/>
                <w:bCs w:val="1"/>
                <w:color w:val="auto"/>
                <w:w w:val="92"/>
              </w:rPr>
              <w:t>Nine months ended</w:t>
            </w:r>
          </w:p>
        </w:tc>
      </w:tr>
      <w:tr>
        <w:trPr>
          <w:trHeight w:val="188"/>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4"/>
                <w:szCs w:val="14"/>
                <w:b w:val="1"/>
                <w:bCs w:val="1"/>
                <w:color w:val="auto"/>
              </w:rPr>
              <w:t>September 30,</w:t>
            </w:r>
          </w:p>
        </w:tc>
      </w:tr>
      <w:tr>
        <w:trPr>
          <w:trHeight w:val="181"/>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w w:val="89"/>
              </w:rPr>
              <w:t>2019</w:t>
            </w:r>
          </w:p>
        </w:tc>
      </w:tr>
      <w:tr>
        <w:trPr>
          <w:trHeight w:val="184"/>
        </w:trPr>
        <w:tc>
          <w:tcPr>
            <w:tcW w:w="53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Revenue Stream</w:t>
            </w: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Total Revenue</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r>
      <w:tr>
        <w:trPr>
          <w:trHeight w:val="208"/>
        </w:trPr>
        <w:tc>
          <w:tcPr>
            <w:tcW w:w="5480" w:type="dxa"/>
            <w:vAlign w:val="bottom"/>
            <w:gridSpan w:val="2"/>
          </w:tcPr>
          <w:p>
            <w:pPr>
              <w:ind w:left="20"/>
              <w:spacing w:after="0"/>
              <w:rPr>
                <w:sz w:val="20"/>
                <w:szCs w:val="20"/>
                <w:color w:val="auto"/>
              </w:rPr>
            </w:pPr>
            <w:r>
              <w:rPr>
                <w:rFonts w:ascii="Arial" w:cs="Arial" w:eastAsia="Arial" w:hAnsi="Arial"/>
                <w:sz w:val="16"/>
                <w:szCs w:val="16"/>
                <w:color w:val="auto"/>
              </w:rPr>
              <w:t>Restaurant revenue: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4"/>
          </w:tcPr>
          <w:p>
            <w:pPr>
              <w:jc w:val="right"/>
              <w:ind w:right="12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9"/>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Restaurant sales</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Restaurant Group</w:t>
            </w: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721.9</w:t>
            </w:r>
          </w:p>
        </w:tc>
      </w:tr>
      <w:tr>
        <w:trPr>
          <w:trHeight w:val="213"/>
        </w:trPr>
        <w:tc>
          <w:tcPr>
            <w:tcW w:w="5480" w:type="dxa"/>
            <w:vAlign w:val="bottom"/>
            <w:gridSpan w:val="2"/>
          </w:tcPr>
          <w:p>
            <w:pPr>
              <w:ind w:left="120"/>
              <w:spacing w:after="0"/>
              <w:rPr>
                <w:sz w:val="20"/>
                <w:szCs w:val="20"/>
                <w:color w:val="auto"/>
              </w:rPr>
            </w:pPr>
            <w:r>
              <w:rPr>
                <w:rFonts w:ascii="Arial" w:cs="Arial" w:eastAsia="Arial" w:hAnsi="Arial"/>
                <w:sz w:val="16"/>
                <w:szCs w:val="16"/>
                <w:color w:val="auto"/>
              </w:rPr>
              <w:t>Bakery sales</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Restaurant Group</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19"/>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Franchise and other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Restaurant Group</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6"/>
        </w:trPr>
        <w:tc>
          <w:tcPr>
            <w:tcW w:w="5480" w:type="dxa"/>
            <w:vAlign w:val="bottom"/>
            <w:gridSpan w:val="2"/>
          </w:tcPr>
          <w:p>
            <w:pPr>
              <w:ind w:left="220"/>
              <w:spacing w:after="0"/>
              <w:rPr>
                <w:sz w:val="20"/>
                <w:szCs w:val="20"/>
                <w:color w:val="auto"/>
              </w:rPr>
            </w:pPr>
            <w:r>
              <w:rPr>
                <w:rFonts w:ascii="Arial" w:cs="Arial" w:eastAsia="Arial" w:hAnsi="Arial"/>
                <w:sz w:val="16"/>
                <w:szCs w:val="16"/>
                <w:color w:val="auto"/>
              </w:rPr>
              <w:t>Total restaurant revenue</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129.4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398.7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772.0</w:t>
            </w:r>
          </w:p>
        </w:tc>
      </w:tr>
      <w:tr>
        <w:trPr>
          <w:trHeight w:val="21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revenue:</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3"/>
        </w:trPr>
        <w:tc>
          <w:tcPr>
            <w:tcW w:w="5480" w:type="dxa"/>
            <w:vAlign w:val="bottom"/>
            <w:gridSpan w:val="2"/>
          </w:tcPr>
          <w:p>
            <w:pPr>
              <w:ind w:left="120"/>
              <w:spacing w:after="0"/>
              <w:rPr>
                <w:sz w:val="20"/>
                <w:szCs w:val="20"/>
                <w:color w:val="auto"/>
              </w:rPr>
            </w:pPr>
            <w:r>
              <w:rPr>
                <w:rFonts w:ascii="Arial" w:cs="Arial" w:eastAsia="Arial" w:hAnsi="Arial"/>
                <w:sz w:val="16"/>
                <w:szCs w:val="16"/>
                <w:color w:val="auto"/>
              </w:rPr>
              <w:t>Real estate and resort</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Corporate and other</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9"/>
        </w:trPr>
        <w:tc>
          <w:tcPr>
            <w:tcW w:w="5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5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other operating revenue</w:t>
            </w:r>
          </w:p>
        </w:tc>
        <w:tc>
          <w:tcPr>
            <w:tcW w:w="1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r>
      <w:tr>
        <w:trPr>
          <w:trHeight w:val="233"/>
        </w:trPr>
        <w:tc>
          <w:tcPr>
            <w:tcW w:w="5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operating revenues</w:t>
            </w: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Restaurant revenue consists of restaurant sales, bakery operations, and, to a lesser extent, franchise revenue and other revenue.</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Restaurant sales include food and beverage sales and gift card breakage, are net of applicable state and local sales taxes and discounts, and are recognized at a point in time as services are performed and goods are provided. Revenue resulting from the sale of gift cards is recognized in the period in which the gift card is redeemed and is recorded as deferred revenue until recognized.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3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from bakery operations is recognized at a point in time in the period during which the products are shipped and control transfers to the customer. Bakery sales represent revenue from subsidiaries of Blue Ribbon through January 27, 2020.</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Franchise and other revenue consists of development fees and royalties on sales by franchised units. Initial franchise fees are recognized as income upon commencement of the franchise operation and completion of all material services and conditions by the Company. Royalties are calculated as a percentage of the franchisee sales and recognized in the period in which the sales are generated.</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revenue consists primarily of income generated by our resort operations, which includes sales of real estate, lodging rentals, food and beverage sales, and other income from various resort services offered. Such revenue is recognized upon closing of the sale of real estate or once goods and services have been provided and billed to the customer.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receivables and deferred revenue:</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81"/>
              <w:spacing w:after="0"/>
              <w:rPr>
                <w:sz w:val="20"/>
                <w:szCs w:val="20"/>
                <w:color w:val="auto"/>
              </w:rPr>
            </w:pPr>
            <w:r>
              <w:rPr>
                <w:rFonts w:ascii="Arial" w:cs="Arial" w:eastAsia="Arial" w:hAnsi="Arial"/>
                <w:sz w:val="14"/>
                <w:szCs w:val="14"/>
                <w:b w:val="1"/>
                <w:bCs w:val="1"/>
                <w:color w:val="auto"/>
                <w:w w:val="93"/>
              </w:rPr>
              <w:t>September 30,</w:t>
            </w:r>
          </w:p>
        </w:tc>
        <w:tc>
          <w:tcPr>
            <w:tcW w:w="260" w:type="dxa"/>
            <w:vAlign w:val="bottom"/>
          </w:tcPr>
          <w:p>
            <w:pPr>
              <w:spacing w:after="0"/>
              <w:rPr>
                <w:sz w:val="16"/>
                <w:szCs w:val="16"/>
                <w:color w:val="auto"/>
              </w:rPr>
            </w:pPr>
          </w:p>
        </w:tc>
        <w:tc>
          <w:tcPr>
            <w:tcW w:w="114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w:t>
            </w:r>
          </w:p>
        </w:tc>
      </w:tr>
      <w:tr>
        <w:trPr>
          <w:trHeight w:val="195"/>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187"/>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3"/>
          </w:tcPr>
          <w:p>
            <w:pPr>
              <w:jc w:val="right"/>
              <w:ind w:right="919"/>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Deferred revenue (contract liabilities)</w:t>
            </w:r>
          </w:p>
        </w:tc>
        <w:tc>
          <w:tcPr>
            <w:tcW w:w="1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r>
    </w:tbl>
    <w:p>
      <w:pPr>
        <w:spacing w:after="0" w:line="200" w:lineRule="exact"/>
        <w:rPr>
          <w:sz w:val="20"/>
          <w:szCs w:val="20"/>
          <w:color w:val="auto"/>
        </w:rPr>
      </w:pPr>
    </w:p>
    <w:p>
      <w:pPr>
        <w:spacing w:after="0" w:line="2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Deferred revenue is recorded primarily for restaurant gift card sales. The unrecognized portion of such revenue is recorded as Deferred revenue in the Condensed Consolidated Balance Sheets. Revenue of $4.0 million and $17.3 million was recognized in the three and nine months ended September 30, 2020, respectively, that was included in Deferred revenue at the beginning of the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impairment related to contract balances.</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K.</w:t>
      </w:r>
      <w:r>
        <w:rPr>
          <w:sz w:val="20"/>
          <w:szCs w:val="20"/>
          <w:color w:val="auto"/>
        </w:rPr>
        <w:tab/>
      </w:r>
      <w:r>
        <w:rPr>
          <w:rFonts w:ascii="Arial" w:cs="Arial" w:eastAsia="Arial" w:hAnsi="Arial"/>
          <w:sz w:val="16"/>
          <w:szCs w:val="16"/>
          <w:b w:val="1"/>
          <w:bCs w:val="1"/>
          <w:color w:val="auto"/>
        </w:rPr>
        <w:t>Goodwill and Other Intangible Assets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consists of the following:</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Restaurant Group</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4"/>
                <w:szCs w:val="14"/>
                <w:color w:val="auto"/>
              </w:rPr>
            </w:pP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44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and Other</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Impairments</w:t>
            </w:r>
          </w:p>
        </w:tc>
        <w:tc>
          <w:tcPr>
            <w:tcW w:w="440" w:type="dxa"/>
            <w:vAlign w:val="bottom"/>
          </w:tcPr>
          <w:p>
            <w:pPr>
              <w:spacing w:after="0"/>
              <w:rPr>
                <w:sz w:val="19"/>
                <w:szCs w:val="19"/>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w w:val="91"/>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w w:val="97"/>
              </w:rPr>
              <w:t>(7.7)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Deconsolidation of Blue Ribbon</w:t>
            </w: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(4.9)</w:t>
            </w:r>
          </w:p>
        </w:tc>
        <w:tc>
          <w:tcPr>
            <w:tcW w:w="0" w:type="dxa"/>
            <w:vAlign w:val="bottom"/>
          </w:tcPr>
          <w:p>
            <w:pPr>
              <w:spacing w:after="0"/>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Balance, September 30, 2020</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nine months ended September 30, 2020, we recorded $7.7 million of impairment to goodwill in our Restaurant Group segment. The impairment recorded was calculated as the deficit between the carrying value of our O'Charley's reporting unit of our Restaurant Group compared to the fair value of the reporting unit determined by performing a combination of discounted cash flow and market approaches.</w:t>
      </w:r>
    </w:p>
    <w:p>
      <w:pPr>
        <w:spacing w:after="0" w:line="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nine months ended September 30, 2020, we recorded $4.5 million of impairment to tradenames in our Restaurant Group segment which is included in Other operating expenses on the Condensed Consolidated Statement of Operations for the nine months ended September 30, 2020.</w:t>
      </w:r>
    </w:p>
    <w:p>
      <w:pPr>
        <w:spacing w:after="0" w:line="3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Both impairment charges are a result of a decrease in forecasted revenue and cash flows and increased uncertainty in future revenue and cash flow projections resulting from government imposed social restrictions and other mitigation measures in response to the COVID-19 pandemic.</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A for further discussion of our deconsolidation of Blue Ribbon as a result of the Blue Ribbon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CANNAE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CONDENSED CONSOLIDATED FINANCIAL STATEMENTS (UNAUDITED) — </w:t>
      </w: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T-System</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31, 2019, we completed the contribution (the "T-System Contribution") of T-System Holdings, Inc. ("T-System") to a new joint venture, Coding Solutions Topco, Inc ("CorroHealth"). As a result of the T-System Contribution, T-System was deconsolidated and the results of operations of T-System have been reclassified to discontinued operations in our Condensed Consolidated Statement of Operations for the three and nine months ended September 30, 2019. We retained a 22.7% equity interest in CorroHealth.</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operations of T-System to the Condensed Consolidated Statement of Operations is shown below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Three Months Ended</w:t>
            </w:r>
          </w:p>
        </w:tc>
      </w:tr>
      <w:tr>
        <w:trPr>
          <w:trHeight w:val="213"/>
        </w:trPr>
        <w:tc>
          <w:tcPr>
            <w:tcW w:w="9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September 30, 2019</w:t>
            </w:r>
          </w:p>
        </w:tc>
      </w:tr>
      <w:tr>
        <w:trPr>
          <w:trHeight w:val="207"/>
        </w:trPr>
        <w:tc>
          <w:tcPr>
            <w:tcW w:w="9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(Unaudited)</w:t>
            </w:r>
          </w:p>
        </w:tc>
      </w:tr>
      <w:tr>
        <w:trPr>
          <w:trHeight w:val="219"/>
        </w:trPr>
        <w:tc>
          <w:tcPr>
            <w:tcW w:w="926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9"/>
        </w:trPr>
        <w:tc>
          <w:tcPr>
            <w:tcW w:w="9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07"/>
        </w:trPr>
        <w:tc>
          <w:tcPr>
            <w:tcW w:w="926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9"/>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13"/>
        </w:trPr>
        <w:tc>
          <w:tcPr>
            <w:tcW w:w="926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9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9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13"/>
        </w:trPr>
        <w:tc>
          <w:tcPr>
            <w:tcW w:w="9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07"/>
        </w:trPr>
        <w:tc>
          <w:tcPr>
            <w:tcW w:w="92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2"/>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 before income taxes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3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from discontinued operations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9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September 30, 2019</w:t>
            </w:r>
          </w:p>
        </w:tc>
      </w:tr>
      <w:tr>
        <w:trPr>
          <w:trHeight w:val="207"/>
        </w:trPr>
        <w:tc>
          <w:tcPr>
            <w:tcW w:w="9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(Unaudited)</w:t>
            </w:r>
          </w:p>
        </w:tc>
      </w:tr>
      <w:tr>
        <w:trPr>
          <w:trHeight w:val="219"/>
        </w:trPr>
        <w:tc>
          <w:tcPr>
            <w:tcW w:w="9260" w:type="dxa"/>
            <w:vAlign w:val="bottom"/>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9"/>
        </w:trPr>
        <w:tc>
          <w:tcPr>
            <w:tcW w:w="9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6"/>
                <w:szCs w:val="16"/>
                <w:color w:val="auto"/>
              </w:rPr>
              <w:t>38.5</w:t>
            </w:r>
          </w:p>
        </w:tc>
      </w:tr>
      <w:tr>
        <w:trPr>
          <w:trHeight w:val="206"/>
        </w:trPr>
        <w:tc>
          <w:tcPr>
            <w:tcW w:w="926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200" w:type="dxa"/>
            <w:vAlign w:val="bottom"/>
          </w:tcPr>
          <w:p>
            <w:pPr>
              <w:spacing w:after="0"/>
              <w:rPr>
                <w:sz w:val="17"/>
                <w:szCs w:val="17"/>
                <w:color w:val="auto"/>
              </w:rPr>
            </w:pPr>
          </w:p>
        </w:tc>
        <w:tc>
          <w:tcPr>
            <w:tcW w:w="1780" w:type="dxa"/>
            <w:vAlign w:val="bottom"/>
          </w:tcPr>
          <w:p>
            <w:pPr>
              <w:ind w:left="1420"/>
              <w:spacing w:after="0"/>
              <w:rPr>
                <w:sz w:val="20"/>
                <w:szCs w:val="20"/>
                <w:color w:val="auto"/>
              </w:rPr>
            </w:pPr>
            <w:r>
              <w:rPr>
                <w:rFonts w:ascii="Arial" w:cs="Arial" w:eastAsia="Arial" w:hAnsi="Arial"/>
                <w:sz w:val="16"/>
                <w:szCs w:val="16"/>
                <w:color w:val="auto"/>
              </w:rPr>
              <w:t>38.5</w:t>
            </w:r>
          </w:p>
        </w:tc>
      </w:tr>
      <w:tr>
        <w:trPr>
          <w:trHeight w:val="219"/>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926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200" w:type="dxa"/>
            <w:vAlign w:val="bottom"/>
          </w:tcPr>
          <w:p>
            <w:pPr>
              <w:spacing w:after="0"/>
              <w:rPr>
                <w:sz w:val="18"/>
                <w:szCs w:val="18"/>
                <w:color w:val="auto"/>
              </w:rPr>
            </w:pPr>
          </w:p>
        </w:tc>
        <w:tc>
          <w:tcPr>
            <w:tcW w:w="1780" w:type="dxa"/>
            <w:vAlign w:val="bottom"/>
          </w:tcPr>
          <w:p>
            <w:pPr>
              <w:ind w:left="1420"/>
              <w:spacing w:after="0"/>
              <w:rPr>
                <w:sz w:val="20"/>
                <w:szCs w:val="20"/>
                <w:color w:val="auto"/>
              </w:rPr>
            </w:pPr>
            <w:r>
              <w:rPr>
                <w:rFonts w:ascii="Arial" w:cs="Arial" w:eastAsia="Arial" w:hAnsi="Arial"/>
                <w:sz w:val="16"/>
                <w:szCs w:val="16"/>
                <w:color w:val="auto"/>
              </w:rPr>
              <w:t>24.3</w:t>
            </w:r>
          </w:p>
        </w:tc>
      </w:tr>
      <w:tr>
        <w:trPr>
          <w:trHeight w:val="219"/>
        </w:trPr>
        <w:tc>
          <w:tcPr>
            <w:tcW w:w="9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10.3</w:t>
            </w:r>
          </w:p>
        </w:tc>
      </w:tr>
      <w:tr>
        <w:trPr>
          <w:trHeight w:val="213"/>
        </w:trPr>
        <w:tc>
          <w:tcPr>
            <w:tcW w:w="9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12.6</w:t>
            </w:r>
          </w:p>
        </w:tc>
      </w:tr>
      <w:tr>
        <w:trPr>
          <w:trHeight w:val="213"/>
        </w:trPr>
        <w:tc>
          <w:tcPr>
            <w:tcW w:w="9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6"/>
                <w:szCs w:val="16"/>
                <w:color w:val="auto"/>
              </w:rPr>
              <w:t>47.2</w:t>
            </w:r>
          </w:p>
        </w:tc>
      </w:tr>
      <w:tr>
        <w:trPr>
          <w:trHeight w:val="206"/>
        </w:trPr>
        <w:tc>
          <w:tcPr>
            <w:tcW w:w="92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w w:val="97"/>
              </w:rPr>
              <w:t>(8.7)</w:t>
            </w:r>
          </w:p>
        </w:tc>
      </w:tr>
      <w:tr>
        <w:trPr>
          <w:trHeight w:val="199"/>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13"/>
        </w:trPr>
        <w:tc>
          <w:tcPr>
            <w:tcW w:w="92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loss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w w:val="97"/>
              </w:rPr>
              <w:t>(0.5)</w:t>
            </w:r>
          </w:p>
        </w:tc>
      </w:tr>
      <w:tr>
        <w:trPr>
          <w:trHeight w:val="213"/>
        </w:trPr>
        <w:tc>
          <w:tcPr>
            <w:tcW w:w="92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w w:val="97"/>
              </w:rPr>
              <w:t>(0.5)</w:t>
            </w:r>
          </w:p>
        </w:tc>
      </w:tr>
      <w:tr>
        <w:trPr>
          <w:trHeight w:val="207"/>
        </w:trPr>
        <w:tc>
          <w:tcPr>
            <w:tcW w:w="9260" w:type="dxa"/>
            <w:vAlign w:val="bottom"/>
          </w:tcPr>
          <w:p>
            <w:pPr>
              <w:ind w:left="20"/>
              <w:spacing w:after="0"/>
              <w:rPr>
                <w:sz w:val="20"/>
                <w:szCs w:val="20"/>
                <w:color w:val="auto"/>
              </w:rPr>
            </w:pPr>
            <w:r>
              <w:rPr>
                <w:rFonts w:ascii="Arial" w:cs="Arial" w:eastAsia="Arial" w:hAnsi="Arial"/>
                <w:sz w:val="16"/>
                <w:szCs w:val="16"/>
                <w:color w:val="auto"/>
              </w:rPr>
              <w:t>Loss from discontinued operations before income taxes</w:t>
            </w:r>
          </w:p>
        </w:tc>
        <w:tc>
          <w:tcPr>
            <w:tcW w:w="200" w:type="dxa"/>
            <w:vAlign w:val="bottom"/>
          </w:tcPr>
          <w:p>
            <w:pPr>
              <w:spacing w:after="0"/>
              <w:rPr>
                <w:sz w:val="17"/>
                <w:szCs w:val="17"/>
                <w:color w:val="auto"/>
              </w:rPr>
            </w:pPr>
          </w:p>
        </w:tc>
        <w:tc>
          <w:tcPr>
            <w:tcW w:w="1780" w:type="dxa"/>
            <w:vAlign w:val="bottom"/>
          </w:tcPr>
          <w:p>
            <w:pPr>
              <w:ind w:left="1440"/>
              <w:spacing w:after="0"/>
              <w:rPr>
                <w:sz w:val="20"/>
                <w:szCs w:val="20"/>
                <w:color w:val="auto"/>
              </w:rPr>
            </w:pPr>
            <w:r>
              <w:rPr>
                <w:rFonts w:ascii="Arial" w:cs="Arial" w:eastAsia="Arial" w:hAnsi="Arial"/>
                <w:sz w:val="16"/>
                <w:szCs w:val="16"/>
                <w:color w:val="auto"/>
                <w:w w:val="97"/>
              </w:rPr>
              <w:t>(9.2)</w:t>
            </w:r>
          </w:p>
        </w:tc>
      </w:tr>
      <w:tr>
        <w:trPr>
          <w:trHeight w:val="216"/>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6"/>
                <w:szCs w:val="16"/>
                <w:color w:val="auto"/>
                <w:w w:val="97"/>
              </w:rPr>
              <w:t>(1.9)</w:t>
            </w:r>
          </w:p>
        </w:tc>
      </w:tr>
      <w:tr>
        <w:trPr>
          <w:trHeight w:val="213"/>
        </w:trPr>
        <w:tc>
          <w:tcPr>
            <w:tcW w:w="9260" w:type="dxa"/>
            <w:vAlign w:val="bottom"/>
          </w:tcPr>
          <w:p>
            <w:pPr>
              <w:ind w:left="20"/>
              <w:spacing w:after="0"/>
              <w:rPr>
                <w:sz w:val="20"/>
                <w:szCs w:val="20"/>
                <w:color w:val="auto"/>
              </w:rPr>
            </w:pPr>
            <w:r>
              <w:rPr>
                <w:rFonts w:ascii="Arial" w:cs="Arial" w:eastAsia="Arial" w:hAnsi="Arial"/>
                <w:sz w:val="16"/>
                <w:szCs w:val="16"/>
                <w:color w:val="auto"/>
              </w:rPr>
              <w:t>Loss from discontinued operations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ind w:left="1440"/>
              <w:spacing w:after="0"/>
              <w:rPr>
                <w:sz w:val="20"/>
                <w:szCs w:val="20"/>
                <w:color w:val="auto"/>
              </w:rPr>
            </w:pPr>
            <w:r>
              <w:rPr>
                <w:rFonts w:ascii="Arial" w:cs="Arial" w:eastAsia="Arial" w:hAnsi="Arial"/>
                <w:sz w:val="16"/>
                <w:szCs w:val="16"/>
                <w:color w:val="auto"/>
                <w:w w:val="97"/>
              </w:rPr>
              <w:t>(7.3)</w:t>
            </w:r>
          </w:p>
        </w:tc>
      </w:tr>
      <w:tr>
        <w:trPr>
          <w:trHeight w:val="20"/>
        </w:trPr>
        <w:tc>
          <w:tcPr>
            <w:tcW w:w="9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and changes in conditions resulting from the outbreak of a pandemic such as the novel coronavirus COVID-19 ("COVID-19"); the overall impact of the outbreak of COVID-19 and measures to curb its spread, including the effect of governmental or voluntary mitigation measures such as business shutdowns, social distancing, and stay-at-home orders;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associated with our Split-Off from FNF, including limitations on our strategic and operating flexibility related to the tax-free nature of the Split-Off and the Investment Company Act of 1940; risks related to our Externalization; the ultimate outcome of any possible transaction between us and CoreLogic, including uncertainties as to whether CoreLogic will cooperate with us regarding a proposed acquisition of CoreLogic; the ultimate result of the proxy contest initiated by Senator and Cannae for election of directors to CoreLogic’s board of directors; our ability to consummate a proposed acquisition of CoreLogic; and other risks detailed in the “Statement Regarding Forward-Looking Information,” “Risk Factors” and other sections of our Annual Report on Form 10-K for the year ended December 31, 2019 (our "Annual Report") and other filings with the SEC.</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Quarterly Report, which is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into this Part I, Item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Dun &amp; Bradstreet</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Businesses rely on business-to-business data and analytics providers to extract data-driven insights and make better decisions. For example, in commercial lending and trade credit, the scarcity of readily available credit history makes the extension of credit a time-consuming and imprecise process. In procurement, businesses face increasingly complex and global supply chains, making the assessment of compliance and viability of all suppliers prohibitively difficult and expensive if not conducted effectively. In sales and marketing, businesses have benefited from the proliferation of CRM, Marketing Automation and Sales Acceleration tools designed to help identify, track and improve both customer management and prospecting growth activities. While these tools are helping to fill sales funnels and improve the progression of opportunities, key challenges remain in salesforce productivity, effective client segmentation and marketing campaign activation. Common stumbling blocks include incorrect, or outdated, contact information, duplicated or inaccurate firmographic data and a lack of synchronization between the various platforms in the marketing technology ecosystem.</w:t>
      </w:r>
    </w:p>
    <w:p>
      <w:pPr>
        <w:spacing w:after="0" w:line="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D&amp;B helps its clients solve these mission critical business problems. D&amp;B believes the total addressable market (‘‘TAM’’) in which it operates is large, growing and significantly underpenetrated. IDC estimated worldwide revenues of big data and analytics software to be approximately $67 billion in 2019. Within the broader market of data and analytics solutions, D&amp;B serves a number of different markets, including the commercial credit data, sales and marketing data and Governance, Risk and Compliance markets. As D&amp;B continues to drive innovation in its solutions, it expects to address a greater portion of this TAM as new use cases for its data assets and analytical capabilities are introduced.</w:t>
      </w:r>
    </w:p>
    <w:p>
      <w:pPr>
        <w:spacing w:after="0" w:line="6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D&amp;B believes there are several key trends in the global macroeconomic environment generating additional growth in D&amp;B's TAM and increasing the demand for its solutions, including, growing recognition by business of the value of analytics and data-informed business decisioning, growth in data creation and applications driven by the proliferation of new technologies with new data sets and applications, advances in analytical capabilities that are unlocking the value of data, and heightened compliance requirements in the regulatory environment for business driven by the growth of new technologies.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A for discussion of the D&amp;B IPO and D&amp;B Private Placement.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418"/>
        <w:spacing w:after="0" w:line="263" w:lineRule="auto"/>
        <w:rPr>
          <w:sz w:val="20"/>
          <w:szCs w:val="20"/>
          <w:color w:val="auto"/>
        </w:rPr>
      </w:pPr>
      <w:r>
        <w:rPr>
          <w:rFonts w:ascii="Arial" w:cs="Arial" w:eastAsia="Arial" w:hAnsi="Arial"/>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Higher labor costs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due to state and local minimum wage increases and shopping pattern shifts to e-commerce and “ready to eat” grocery and convenience stores have had a negative impact on restaurant performance, particularly in the casual and family dining restaurants in which the company operates.</w:t>
      </w:r>
    </w:p>
    <w:p>
      <w:pPr>
        <w:spacing w:after="0" w:line="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approximately half of our overall cost of food and beverage in the past. Generally, temporary increases in these costs are not passed on to guests; however, in the past, we have adjusted menu prices to compensate for increased costs of a more permanent nature.</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76" w:lineRule="exact"/>
        <w:rPr>
          <w:sz w:val="20"/>
          <w:szCs w:val="20"/>
          <w:color w:val="auto"/>
        </w:rPr>
      </w:pPr>
    </w:p>
    <w:p>
      <w:pPr>
        <w:ind w:left="340" w:right="140"/>
        <w:spacing w:after="0" w:line="375" w:lineRule="auto"/>
        <w:rPr>
          <w:sz w:val="20"/>
          <w:szCs w:val="20"/>
          <w:color w:val="auto"/>
        </w:rPr>
      </w:pPr>
      <w:r>
        <w:rPr>
          <w:rFonts w:ascii="Arial" w:cs="Arial" w:eastAsia="Arial" w:hAnsi="Arial"/>
          <w:sz w:val="18"/>
          <w:szCs w:val="18"/>
          <w:color w:val="auto"/>
        </w:rPr>
        <w:t xml:space="preserve">Our revenues in future periods will continue to be subject to these and other factors that are beyond our control and, as a result, are likely to fluctuate. </w:t>
      </w:r>
      <w:r>
        <w:rPr>
          <w:rFonts w:ascii="Arial" w:cs="Arial" w:eastAsia="Arial" w:hAnsi="Arial"/>
          <w:sz w:val="18"/>
          <w:szCs w:val="18"/>
          <w:i w:val="1"/>
          <w:iCs w:val="1"/>
          <w:color w:val="auto"/>
        </w:rPr>
        <w:t>Optimal Blue</w:t>
      </w:r>
    </w:p>
    <w:p>
      <w:pPr>
        <w:spacing w:after="0" w:line="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Optimal Blue is a leading provider of secondary market solutions and actionable data services. They operate a software-as-a-service, subscription-based mortgage marketplace which supports a network of originators and investors in the residential mortgage market. The marketplace provides a broad set of critical functions utilized by banks, credit unions and mortgage brokerage companies throughout the mortgage processing life cycle.</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COVID-19</w:t>
      </w:r>
    </w:p>
    <w:p>
      <w:pPr>
        <w:spacing w:after="0" w:line="10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March 2020, the outbreak of COVID-19 was declared a national health emergency in the United States. The ongoing COVID-19 global and national health emergency has caused significant disruption in the international and United States economies and financial markets. The Company has been closely monitoring developments related to COVID-19 and its impacts to our portfolio of investments and financial markets. We are working with management of our subsidiaries to evaluate business-specific risks and respond to any financial and operational disruptions. At the holding company level, we believe our operating model, low financial leverage and access to capital uniquely positions us to weather economic disruptions. See further discussion of our financial resources in the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subsection below.</w:t>
      </w:r>
    </w:p>
    <w:p>
      <w:pPr>
        <w:spacing w:after="0" w:line="4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unprecedented social restrictions related to COVID-19, our Restaurant Group brands experienced a significant reduction in guest counts beginning in the last two weeks of March 2020. In response to the outbreak and these changing conditions, our Restaurant Group brands closed the dining rooms in substantially all of our restaurants in late March 2020 with substantially all remaining closed through early May 2020.</w:t>
      </w:r>
    </w:p>
    <w:p>
      <w:pPr>
        <w:spacing w:after="0" w:line="2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Beginning in March 2020 and lasting into May 2020, in most of our restaurants we were solely operating to-go and delivery services in the jurisdictions where government regulations permit restaurants to continue to operate and where the guest demand makes such operations sustainable. We temporarily closed certain restaurants, modified work hours for our Restaurant Group employees and identified and implemented cost savings measures throughout our Restaurant Group operations. Timing of reopening stores and resulting guest traffic has varied by jurisdiction. In the third quarter of 2020, our Restaurant Group experienced a gradual increase in guest traffic and revenues compared to the second quarter of 2020.</w:t>
      </w:r>
    </w:p>
    <w:p>
      <w:pPr>
        <w:spacing w:after="0" w:line="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been in discussions with our Restaurant Group businesses’ major suppliers, and during the COVID-19 outbreak we have not experienced and do not currently expect to experience material disruptions in our supply chain.</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COVID-19 outbreak and these responses have affected and are projected to continue to adversely affect our Restaurant Group brands' guest traffic, sales and operating costs.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further discussion of the impact of COVID-19 on our Restaurant Group in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subsection below.</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1A of Part II of this Quarterly Report for further discussion of risk factors related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00" w:type="dxa"/>
            <w:vAlign w:val="bottom"/>
          </w:tcPr>
          <w:p>
            <w:pPr>
              <w:spacing w:after="0"/>
              <w:rPr>
                <w:sz w:val="16"/>
                <w:szCs w:val="16"/>
                <w:color w:val="auto"/>
              </w:rPr>
            </w:pPr>
          </w:p>
        </w:tc>
        <w:tc>
          <w:tcPr>
            <w:tcW w:w="2500" w:type="dxa"/>
            <w:vAlign w:val="bottom"/>
            <w:gridSpan w:val="6"/>
          </w:tcPr>
          <w:p>
            <w:pPr>
              <w:ind w:left="120"/>
              <w:spacing w:after="0"/>
              <w:rPr>
                <w:sz w:val="20"/>
                <w:szCs w:val="20"/>
                <w:color w:val="auto"/>
              </w:rPr>
            </w:pPr>
            <w:r>
              <w:rPr>
                <w:rFonts w:ascii="Arial" w:cs="Arial" w:eastAsia="Arial" w:hAnsi="Arial"/>
                <w:sz w:val="14"/>
                <w:szCs w:val="14"/>
                <w:b w:val="1"/>
                <w:bCs w:val="1"/>
                <w:color w:val="auto"/>
                <w:w w:val="99"/>
              </w:rPr>
              <w:t>Three months ended September 30,</w:t>
            </w:r>
          </w:p>
        </w:tc>
        <w:tc>
          <w:tcPr>
            <w:tcW w:w="214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83"/>
        </w:trPr>
        <w:tc>
          <w:tcPr>
            <w:tcW w:w="660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r>
      <w:tr>
        <w:trPr>
          <w:trHeight w:val="183"/>
        </w:trPr>
        <w:tc>
          <w:tcPr>
            <w:tcW w:w="6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31"/>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Restaurant revenue</w:t>
            </w:r>
          </w:p>
        </w:tc>
        <w:tc>
          <w:tcPr>
            <w:tcW w:w="780" w:type="dxa"/>
            <w:vAlign w:val="bottom"/>
          </w:tcPr>
          <w:p>
            <w:pPr>
              <w:jc w:val="right"/>
              <w:ind w:right="60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129.4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398.7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772.0</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revenue</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07"/>
        </w:trPr>
        <w:tc>
          <w:tcPr>
            <w:tcW w:w="6600" w:type="dxa"/>
            <w:vAlign w:val="bottom"/>
          </w:tcPr>
          <w:p>
            <w:pPr>
              <w:ind w:left="460"/>
              <w:spacing w:after="0"/>
              <w:rPr>
                <w:sz w:val="20"/>
                <w:szCs w:val="20"/>
                <w:color w:val="auto"/>
              </w:rPr>
            </w:pPr>
            <w:r>
              <w:rPr>
                <w:rFonts w:ascii="Arial" w:cs="Arial" w:eastAsia="Arial" w:hAnsi="Arial"/>
                <w:sz w:val="16"/>
                <w:szCs w:val="16"/>
                <w:color w:val="auto"/>
              </w:rPr>
              <w:t>Total operating revenues</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139.7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257.0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791.5</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Cost of restaurant revenue</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678.7</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7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845.5</w:t>
            </w:r>
          </w:p>
        </w:tc>
      </w:tr>
      <w:tr>
        <w:trPr>
          <w:trHeight w:val="207"/>
        </w:trPr>
        <w:tc>
          <w:tcPr>
            <w:tcW w:w="66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r>
      <w:tr>
        <w:trPr>
          <w:trHeight w:val="19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660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9"/>
        </w:trPr>
        <w:tc>
          <w:tcPr>
            <w:tcW w:w="6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189.6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w:t>
            </w:r>
          </w:p>
        </w:tc>
      </w:tr>
      <w:tr>
        <w:trPr>
          <w:trHeight w:val="213"/>
        </w:trPr>
        <w:tc>
          <w:tcPr>
            <w:tcW w:w="6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192.7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w:t>
            </w:r>
          </w:p>
        </w:tc>
      </w:tr>
      <w:tr>
        <w:trPr>
          <w:trHeight w:val="206"/>
        </w:trPr>
        <w:tc>
          <w:tcPr>
            <w:tcW w:w="6600" w:type="dxa"/>
            <w:vAlign w:val="bottom"/>
          </w:tcPr>
          <w:p>
            <w:pPr>
              <w:ind w:left="20"/>
              <w:spacing w:after="0"/>
              <w:rPr>
                <w:sz w:val="20"/>
                <w:szCs w:val="20"/>
                <w:color w:val="auto"/>
              </w:rPr>
            </w:pPr>
            <w:r>
              <w:rPr>
                <w:rFonts w:ascii="Arial" w:cs="Arial" w:eastAsia="Arial" w:hAnsi="Arial"/>
                <w:sz w:val="16"/>
                <w:szCs w:val="16"/>
                <w:color w:val="auto"/>
              </w:rPr>
              <w:t>Earnings before income taxes and equity in losses of unconsolidated affiliates</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164.3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1,564.2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114.9</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6"/>
        </w:trPr>
        <w:tc>
          <w:tcPr>
            <w:tcW w:w="6600" w:type="dxa"/>
            <w:vAlign w:val="bottom"/>
          </w:tcPr>
          <w:p>
            <w:pPr>
              <w:ind w:left="20"/>
              <w:spacing w:after="0"/>
              <w:rPr>
                <w:sz w:val="20"/>
                <w:szCs w:val="20"/>
                <w:color w:val="auto"/>
              </w:rPr>
            </w:pPr>
            <w:r>
              <w:rPr>
                <w:rFonts w:ascii="Arial" w:cs="Arial" w:eastAsia="Arial" w:hAnsi="Arial"/>
                <w:sz w:val="16"/>
                <w:szCs w:val="16"/>
                <w:color w:val="auto"/>
              </w:rPr>
              <w:t>Earnings before equity in earnings (losses) of unconsolidated affiliates</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129.2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affiliates</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r>
      <w:tr>
        <w:trPr>
          <w:trHeight w:val="207"/>
        </w:trPr>
        <w:tc>
          <w:tcPr>
            <w:tcW w:w="6600" w:type="dxa"/>
            <w:vAlign w:val="bottom"/>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128.0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losses from discontinued operations, net of tax</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6"/>
        </w:trPr>
        <w:tc>
          <w:tcPr>
            <w:tcW w:w="660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7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128.0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1,232.2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attributable to non-controlling interests</w:t>
            </w: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earnings attributable to Cannae Holdings, Inc. common shareholders</w:t>
            </w:r>
          </w:p>
        </w:tc>
        <w:tc>
          <w:tcPr>
            <w:tcW w:w="780" w:type="dxa"/>
            <w:vAlign w:val="bottom"/>
            <w:tcBorders>
              <w:bottom w:val="single" w:sz="8" w:color="auto"/>
            </w:tcBorders>
          </w:tcPr>
          <w:p>
            <w:pPr>
              <w:jc w:val="right"/>
              <w:ind w:right="60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131.9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r>
      <w:tr>
        <w:trPr>
          <w:trHeight w:val="20"/>
        </w:trPr>
        <w:tc>
          <w:tcPr>
            <w:tcW w:w="6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decreased $117.3 million, or 45.6%, in the three months ended September 30, 2020 and decreased $376.2 million, or 47.5%, in the nine months ended September 30, 2020 compared to the corresponding periods in 2019.</w:t>
      </w:r>
    </w:p>
    <w:p>
      <w:pPr>
        <w:spacing w:after="0" w:line="8"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6"/>
          <w:szCs w:val="16"/>
          <w:color w:val="auto"/>
        </w:rPr>
        <w:t>Net earnings attributable to Cannae Holdings, Inc. common shareholders increased $85.7 million, or 185.5%, in the three months ended September 30, 2020, and increased $1,202.1 million, or 2,276.7%, in the nine months ended September 30, 2020 compared to the corresponding periods in 2019.</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(loss) is discussed in further detail at the segment level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operating expenses consist primarily of personnel costs, cost of restaurant revenue, other operating expenses, and depreciation and amortization.</w:t>
      </w:r>
    </w:p>
    <w:p>
      <w:pPr>
        <w:spacing w:after="0" w:line="14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the Restaurant Group are included in Cost of restaurant revenue.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operating expenses include rent, professional fees, advertising costs, travel expenses and impairments of operating assets.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consists of our depreciation related to investments in property and equipment as well as amortization of intangible assets.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our segments is discussed in further detail at the segment level below.</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 expense was $35.1 million and $15.1 million in the three-month periods ended September 30, 2020 and 2019, respectively, and $335.6 million and $16.2 million in the nine-month periods ended September 30, 2020 and 2019, respectively. Our effective tax rate was 21.4% and 22.4% in the three months ended September 30, 2020 and 2019, respectively, and 21.5% and 14.1% in the nine months ended September 30, 2020 and 2019, respectively. Our effective tax rate fluctuates depending on our estimate of ultimate income tax liability and changes in the characteristics of net earnings, such as the weighting of operating income versus investment income or earnings of unconsolidated affiliates. The increase in the effective tax rate in the nine-month period ended September 30, 2020 was primarily attributable to the reduced impact of equity in earnings of unconsolidated affiliates on pretax earnings in 2020 compared to the impact of equity in losses of unconsolidated affiliates on pretax earnings in the corresponding period in the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Equity in earnings (losses) of unconsolidated affiliates for the three and nine months ended September 30, 2020 and 2019 consisted of the following (in millions):</w:t>
      </w:r>
    </w:p>
    <w:tbl>
      <w:tblPr>
        <w:tblLayout w:type="fixed"/>
        <w:tblInd w:w="0" w:type="dxa"/>
        <w:tblCellMar>
          <w:top w:w="0" w:type="dxa"/>
          <w:left w:w="0" w:type="dxa"/>
          <w:bottom w:w="0" w:type="dxa"/>
          <w:right w:w="0" w:type="dxa"/>
        </w:tblCellMar>
      </w:tblPr>
      <w:tr>
        <w:trPr>
          <w:trHeight w:val="144"/>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2"/>
                <w:szCs w:val="12"/>
                <w:color w:val="auto"/>
              </w:rPr>
            </w:pPr>
          </w:p>
        </w:tc>
        <w:tc>
          <w:tcPr>
            <w:tcW w:w="17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2"/>
                <w:szCs w:val="12"/>
                <w:color w:val="auto"/>
              </w:rPr>
            </w:pPr>
          </w:p>
        </w:tc>
        <w:tc>
          <w:tcPr>
            <w:tcW w:w="168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2"/>
                <w:szCs w:val="12"/>
                <w:color w:val="auto"/>
              </w:rPr>
            </w:pPr>
          </w:p>
        </w:tc>
        <w:tc>
          <w:tcPr>
            <w:tcW w:w="1580" w:type="dxa"/>
            <w:vAlign w:val="bottom"/>
          </w:tcPr>
          <w:p>
            <w:pPr>
              <w:jc w:val="right"/>
              <w:ind w:right="214"/>
              <w:spacing w:after="0" w:line="145" w:lineRule="exact"/>
              <w:rPr>
                <w:sz w:val="20"/>
                <w:szCs w:val="20"/>
                <w:color w:val="auto"/>
              </w:rPr>
            </w:pPr>
            <w:r>
              <w:rPr>
                <w:rFonts w:ascii="Arial" w:cs="Arial" w:eastAsia="Arial" w:hAnsi="Arial"/>
                <w:sz w:val="14"/>
                <w:szCs w:val="14"/>
                <w:b w:val="1"/>
                <w:bCs w:val="1"/>
                <w:color w:val="auto"/>
                <w:w w:val="96"/>
              </w:rPr>
              <w:t>Nine months ended</w:t>
            </w:r>
          </w:p>
        </w:tc>
      </w:tr>
      <w:tr>
        <w:trPr>
          <w:trHeight w:val="188"/>
        </w:trPr>
        <w:tc>
          <w:tcPr>
            <w:tcW w:w="3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2020</w:t>
            </w:r>
          </w:p>
        </w:tc>
        <w:tc>
          <w:tcPr>
            <w:tcW w:w="18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2020</w:t>
            </w:r>
          </w:p>
        </w:tc>
        <w:tc>
          <w:tcPr>
            <w:tcW w:w="180" w:type="dxa"/>
            <w:vAlign w:val="bottom"/>
          </w:tcPr>
          <w:p>
            <w:pPr>
              <w:spacing w:after="0"/>
              <w:rPr>
                <w:sz w:val="16"/>
                <w:szCs w:val="16"/>
                <w:color w:val="auto"/>
              </w:rPr>
            </w:pPr>
          </w:p>
        </w:tc>
        <w:tc>
          <w:tcPr>
            <w:tcW w:w="158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September 30, 2019</w:t>
            </w:r>
          </w:p>
        </w:tc>
      </w:tr>
      <w:tr>
        <w:trPr>
          <w:trHeight w:val="224"/>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Dun &amp; Bradstreet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Ceridian (1)</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Optimal Blue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Senator Focused Strategies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AmeriLife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ind w:right="200" w:firstLine="8"/>
        <w:spacing w:after="0" w:line="260"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for the nine months ended September 30, 2020 represents the Company's equity in earnings of Ceridian in the three months ended March 31, 2020 prior to the change in accounting for the investment as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Group</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Restaurant Group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87"/>
        </w:trPr>
        <w:tc>
          <w:tcPr>
            <w:tcW w:w="4900" w:type="dxa"/>
            <w:vAlign w:val="bottom"/>
          </w:tcPr>
          <w:p>
            <w:pPr>
              <w:spacing w:after="0"/>
              <w:rPr>
                <w:sz w:val="16"/>
                <w:szCs w:val="16"/>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r>
      <w:tr>
        <w:trPr>
          <w:trHeight w:val="183"/>
        </w:trPr>
        <w:tc>
          <w:tcPr>
            <w:tcW w:w="4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7"/>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3"/>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Restaurant revenue</w:t>
            </w:r>
          </w:p>
        </w:tc>
        <w:tc>
          <w:tcPr>
            <w:tcW w:w="980" w:type="dxa"/>
            <w:vAlign w:val="bottom"/>
            <w:tcBorders>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247.7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772.0</w:t>
            </w:r>
          </w:p>
        </w:tc>
      </w:tr>
      <w:tr>
        <w:trPr>
          <w:trHeight w:val="212"/>
        </w:trPr>
        <w:tc>
          <w:tcPr>
            <w:tcW w:w="4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revenues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772.0</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restaurant revenue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w:t>
            </w:r>
          </w:p>
        </w:tc>
      </w:tr>
      <w:tr>
        <w:trPr>
          <w:trHeight w:val="213"/>
        </w:trPr>
        <w:tc>
          <w:tcPr>
            <w:tcW w:w="490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13"/>
        </w:trPr>
        <w:tc>
          <w:tcPr>
            <w:tcW w:w="4900" w:type="dxa"/>
            <w:vAlign w:val="bottom"/>
          </w:tcPr>
          <w:p>
            <w:pPr>
              <w:ind w:left="220"/>
              <w:spacing w:after="0"/>
              <w:rPr>
                <w:sz w:val="20"/>
                <w:szCs w:val="20"/>
                <w:color w:val="auto"/>
              </w:rPr>
            </w:pPr>
            <w:r>
              <w:rPr>
                <w:rFonts w:ascii="Arial" w:cs="Arial" w:eastAsia="Arial" w:hAnsi="Arial"/>
                <w:sz w:val="16"/>
                <w:szCs w:val="16"/>
                <w:color w:val="auto"/>
              </w:rPr>
              <w:t>Other operating expenses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 impairment</w:t>
            </w: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4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143.4</w:t>
            </w:r>
          </w:p>
        </w:tc>
        <w:tc>
          <w:tcPr>
            <w:tcW w:w="10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260.5</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805.5</w:t>
            </w:r>
          </w:p>
        </w:tc>
      </w:tr>
      <w:tr>
        <w:trPr>
          <w:trHeight w:val="213"/>
        </w:trPr>
        <w:tc>
          <w:tcPr>
            <w:tcW w:w="49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loss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(12.8)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193"/>
        </w:trPr>
        <w:tc>
          <w:tcPr>
            <w:tcW w:w="49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4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expense</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w w:val="93"/>
              </w:rPr>
              <w:t>Loss before income taxes and equity in losses of unconsolidated affiliates</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7"/>
                <w:szCs w:val="17"/>
                <w:color w:val="auto"/>
              </w:rPr>
            </w:pPr>
          </w:p>
        </w:tc>
        <w:tc>
          <w:tcPr>
            <w:tcW w:w="1060" w:type="dxa"/>
            <w:vAlign w:val="bottom"/>
          </w:tcPr>
          <w:p>
            <w:pPr>
              <w:jc w:val="right"/>
              <w:ind w:right="882"/>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5"/>
              </w:rPr>
              <w:t>(13.2)</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(32.9)</w:t>
            </w:r>
          </w:p>
        </w:tc>
      </w:tr>
    </w:tbl>
    <w:p>
      <w:pPr>
        <w:spacing w:after="0" w:line="1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Total revenues for the Restaurant group segment decreased $118.3 million, or 47.8%, in the three months ended September 30, 2020, and decreased $373.3 million, or 48.4%, in the nine months ended September 30, 2020 compared to the corresponding periods in 2019. The decrease was primarily driven by: (1) decreased revenue related to the Blue Ribbon Reorganization, which resulted in the deconsolidation of Blue Ribbon as of January 27, 2020, (2) the closing or sale of company-owned restaurants primarily associated with our O'Charley's, Village Inn and Baker's Square concepts subsequent to the prior year periods and (3) a decrease in comparable store sales driven by social restrictions imposed by state and local governments in connection with COVID-19 in March 2020, which resulted in the closing of dining rooms for substantially all of our restaurants from late March 2020 and into May 2020. The decrease was partially offset by an overall increase in the average guest check in the 2020 periods compared to the corresponding 2019 periods.</w:t>
      </w:r>
    </w:p>
    <w:p>
      <w:pPr>
        <w:spacing w:after="0" w:line="13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of $38.1 million and $118.1 million is recorded in the three and nine months ended September 30, 2019, respectively, associated with stores closed subsequent to September 30, 2019. Revenue associated with our Blue Ribbon brands was $65.6 million and $202.0 million, respectively, in the three and nine months ended September 30, 2019. Revenue for Blue Ribbon in the nine months ended September 30, 2020 was $17.8 million and represents Blue Ribbon's revenue for the period from January 1, 2020 through January 27, 2020, the date of Blue Ribbon's filing for bankruptcy.</w:t>
      </w:r>
    </w:p>
    <w:p>
      <w:pPr>
        <w:spacing w:after="0" w:line="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Comparable Store Sales. </w:t>
      </w:r>
      <w:r>
        <w:rPr>
          <w:rFonts w:ascii="Arial" w:cs="Arial" w:eastAsia="Arial" w:hAnsi="Arial"/>
          <w:sz w:val="18"/>
          <w:szCs w:val="18"/>
          <w:color w:val="auto"/>
        </w:rPr>
        <w:t>One method we use in evaluating the performance of our restaurants is to compare sales results for restaurants period over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99 Restaurants and O'Charley's brands decreased 29.5% and 19.4%, respectively, in the three months ended September 30, 2020 and decreased 33.8% and 23.8%, respectively in the nine months ended September 30, 2020, compared to the comparable periods in 2019. The decrease is primarily attributable to the impact of COVID-19.</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restaurant revenue decreased directionally consistent with Restaurant revenues. Cost of restaurant revenue as a percentage of restaurant revenue was 94.0% and 88.9% in the three months ended September 30, 2020 and 2019, respectively, and 94.2% and 87.9% in the nine months ended September 30, 2020 and 2019, respectively. The increase in cost of restaurant revenue as a percentage of restaurant revenue in the three and nine months ended September 30, 2020 compared to the comparable periods in 2019 is primarily attributable to the impact of unavoidable costs on the substantial decrease in revenue discussed above.</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 decreased $10.9 million, or 57.4%, in the three months ended September 30, 2020, and decreased $24.8 million, or 42.0%, in the nine months ended September 30, 2020 from the corresponding periods in 2019. The decrease is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primarily attributable to the exclusion of Blue Ribbon from our gross results of operations as a result of the Blue Ribbon Reorganization and a decrease in spending on advertising at O'Charley's and 99 Restaurants.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K to our Condensed Consolidated Financial Statements included in Item 1 of Part I of this Quarterly Report for discussion of our impairment of goodwill for the O'Charley's reporting unit of our Restaurant Group.</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Recognized gains and losses, net for the nine months ended September 30, 2020 includes a gain of $26.5 million as a result of the deconsolidation of Blue Ribbon on January 27, 2020 and an other-than-temporary impairment loss on our recorded investment in Blue Ribbon of $18.6 million. See Note A to our Condensed Consolidated Financial Statements included in Item 1 of Part I of this Quarterly Report for further discussion.</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Loss before income taxes decreased by $1.0 million, or 7.6%, in the three months ended September 30, 2020 and decreased $26.2 million, or 79.6%, in the nine months ended September 30, 2020 from the corresponding periods in 2019. The decrease in loss was primarily attributable to the factors discussed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Dun &amp; Bradstreet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2020, we own approximately 18.1% of the outstanding common stock of Dun &amp; Bradstreet. We account for our investment in Dun &amp; Bradstreet under the equity method of accounting; therefore, its results of operations do not consolidate into ours.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financial information for the Dun &amp; Bradstreet and the D&amp;B Predecessor for the relevant dates and time periods included in Equity in earnings (losses) of unconsolidated affiliates in our Statements of Operations is presented below. Our net earnings for the nine-month period ended September 30, 2019 includes our equity in the D&amp;B Predecessor's losses for the period from February 8, 2019, the date we acquired our initial interest in the D&amp;B Predecessor, through September 30, 2019.</w:t>
      </w:r>
    </w:p>
    <w:p>
      <w:pPr>
        <w:sectPr>
          <w:pgSz w:w="11900" w:h="16838" w:orient="portrait"/>
          <w:cols w:equalWidth="0" w:num="1">
            <w:col w:w="11240"/>
          </w:cols>
          <w:pgMar w:left="320" w:top="121" w:right="339" w:bottom="1440" w:gutter="0" w:footer="0" w:header="0"/>
        </w:sectPr>
      </w:pPr>
    </w:p>
    <w:p>
      <w:pPr>
        <w:spacing w:after="0" w:line="236" w:lineRule="exact"/>
        <w:rPr>
          <w:sz w:val="20"/>
          <w:szCs w:val="20"/>
          <w:color w:val="auto"/>
        </w:rPr>
      </w:pPr>
    </w:p>
    <w:p>
      <w:pPr>
        <w:ind w:left="5420"/>
        <w:spacing w:after="0"/>
        <w:tabs>
          <w:tab w:leader="none" w:pos="69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2"/>
          <w:szCs w:val="12"/>
          <w:b w:val="1"/>
          <w:bCs w:val="1"/>
          <w:color w:val="auto"/>
        </w:rPr>
        <w:t>Three months ended</w:t>
      </w:r>
    </w:p>
    <w:p>
      <w:pPr>
        <w:ind w:left="5460"/>
        <w:spacing w:after="0"/>
        <w:tabs>
          <w:tab w:leader="none" w:pos="692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13335</wp:posOffset>
            </wp:positionV>
            <wp:extent cx="18256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6"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1340" w:type="dxa"/>
            <w:vAlign w:val="bottom"/>
          </w:tcPr>
          <w:p>
            <w:pPr>
              <w:jc w:val="center"/>
              <w:ind w:left="68"/>
              <w:spacing w:after="0" w:line="135" w:lineRule="exact"/>
              <w:rPr>
                <w:sz w:val="20"/>
                <w:szCs w:val="20"/>
                <w:color w:val="auto"/>
              </w:rPr>
            </w:pPr>
            <w:r>
              <w:rPr>
                <w:rFonts w:ascii="Arial" w:cs="Arial" w:eastAsia="Arial" w:hAnsi="Arial"/>
                <w:sz w:val="14"/>
                <w:szCs w:val="14"/>
                <w:b w:val="1"/>
                <w:bCs w:val="1"/>
                <w:color w:val="auto"/>
                <w:w w:val="94"/>
              </w:rPr>
              <w:t>February 8, 2019 to</w:t>
            </w:r>
          </w:p>
        </w:tc>
        <w:tc>
          <w:tcPr>
            <w:tcW w:w="0" w:type="dxa"/>
            <w:vAlign w:val="bottom"/>
          </w:tcPr>
          <w:p>
            <w:pPr>
              <w:spacing w:after="0"/>
              <w:rPr>
                <w:sz w:val="1"/>
                <w:szCs w:val="1"/>
                <w:color w:val="auto"/>
              </w:rPr>
            </w:pPr>
          </w:p>
        </w:tc>
      </w:tr>
      <w:tr>
        <w:trPr>
          <w:trHeight w:val="186"/>
        </w:trPr>
        <w:tc>
          <w:tcPr>
            <w:tcW w:w="1360" w:type="dxa"/>
            <w:vAlign w:val="bottom"/>
          </w:tcPr>
          <w:p>
            <w:pPr>
              <w:spacing w:after="0"/>
              <w:rPr>
                <w:sz w:val="20"/>
                <w:szCs w:val="20"/>
                <w:color w:val="auto"/>
              </w:rPr>
            </w:pPr>
            <w:r>
              <w:rPr>
                <w:rFonts w:ascii="Arial" w:cs="Arial" w:eastAsia="Arial" w:hAnsi="Arial"/>
                <w:sz w:val="14"/>
                <w:szCs w:val="14"/>
                <w:b w:val="1"/>
                <w:bCs w:val="1"/>
                <w:color w:val="auto"/>
              </w:rPr>
              <w:t>September 30, 2020</w:t>
            </w:r>
          </w:p>
        </w:tc>
        <w:tc>
          <w:tcPr>
            <w:tcW w:w="134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1905</wp:posOffset>
            </wp:positionV>
            <wp:extent cx="1834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p>
      <w:pPr>
        <w:sectPr>
          <w:pgSz w:w="11900" w:h="16838" w:orient="portrait"/>
          <w:cols w:equalWidth="0" w:num="2">
            <w:col w:w="8180" w:space="260"/>
            <w:col w:w="28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442.1</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408.2</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1,258.0</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w:t>
            </w:r>
          </w:p>
        </w:tc>
        <w:tc>
          <w:tcPr>
            <w:tcW w:w="560" w:type="dxa"/>
            <w:vAlign w:val="bottom"/>
          </w:tcPr>
          <w:p>
            <w:pPr>
              <w:spacing w:after="0"/>
              <w:rPr>
                <w:sz w:val="19"/>
                <w:szCs w:val="19"/>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rPr>
              <w:t>(79.8)</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(227.8)</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(55.3)</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w w:val="95"/>
              </w:rPr>
              <w:t>Dividends attributable to preferred equity and noncontrolling interest</w:t>
            </w:r>
          </w:p>
        </w:tc>
        <w:tc>
          <w:tcPr>
            <w:tcW w:w="6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5"/>
                <w:szCs w:val="15"/>
                <w:color w:val="auto"/>
              </w:rPr>
            </w:pPr>
          </w:p>
        </w:tc>
        <w:tc>
          <w:tcPr>
            <w:tcW w:w="940" w:type="dxa"/>
            <w:vAlign w:val="bottom"/>
            <w:vMerge w:val="restart"/>
          </w:tcPr>
          <w:p>
            <w:pPr>
              <w:ind w:left="420"/>
              <w:spacing w:after="0"/>
              <w:rPr>
                <w:sz w:val="20"/>
                <w:szCs w:val="20"/>
                <w:color w:val="auto"/>
              </w:rPr>
            </w:pPr>
            <w:r>
              <w:rPr>
                <w:rFonts w:ascii="Arial" w:cs="Arial" w:eastAsia="Arial" w:hAnsi="Arial"/>
                <w:sz w:val="18"/>
                <w:szCs w:val="18"/>
                <w:color w:val="auto"/>
              </w:rPr>
              <w:t>(33.5)</w:t>
            </w:r>
          </w:p>
        </w:tc>
        <w:tc>
          <w:tcPr>
            <w:tcW w:w="5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(67.8)</w:t>
            </w: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expense</w:t>
            </w:r>
          </w:p>
        </w:tc>
        <w:tc>
          <w:tcPr>
            <w:tcW w:w="6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Dun &amp; Bradstreet</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(88.8)</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D&amp;B IPO was completed on July 6, 2020. Details relating to the results of operations of Dun &amp; Bradstreet (NYSE: "DNB") can be found in its periodic reports filed with the SEC.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Optimal Blue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September 15, 2020, we completed our investment in Optimal Blue. We account for our investment in Optimal Blue under the equity method of accounting; therefore, its results of operations do not consolidate into ours.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financial information for Optimal Blue for the relevant dates and time periods included in Equity in earnings (losses) of unconsolidated affiliates in our Statements of Operations is presented below. Our net earnings for the three and nine-month periods ended September 30, 2020 include our equity in the Optimal Blue's losses for the period from September 15, 2020, the date we made our investment in Optimal Blue, through September 30, 2020.</w:t>
      </w:r>
    </w:p>
    <w:tbl>
      <w:tblPr>
        <w:tblLayout w:type="fixed"/>
        <w:tblInd w:w="0" w:type="dxa"/>
        <w:tblCellMar>
          <w:top w:w="0" w:type="dxa"/>
          <w:left w:w="0" w:type="dxa"/>
          <w:bottom w:w="0" w:type="dxa"/>
          <w:right w:w="0" w:type="dxa"/>
        </w:tblCellMar>
      </w:tblPr>
      <w:tr>
        <w:trPr>
          <w:trHeight w:val="147"/>
        </w:trPr>
        <w:tc>
          <w:tcPr>
            <w:tcW w:w="410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3"/>
              </w:rPr>
              <w:t>Period from September 15,</w:t>
            </w:r>
          </w:p>
        </w:tc>
      </w:tr>
      <w:tr>
        <w:trPr>
          <w:trHeight w:val="188"/>
        </w:trPr>
        <w:tc>
          <w:tcPr>
            <w:tcW w:w="41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2020 to September 30, 2020</w:t>
            </w:r>
          </w:p>
        </w:tc>
      </w:tr>
      <w:tr>
        <w:trPr>
          <w:trHeight w:val="183"/>
        </w:trPr>
        <w:tc>
          <w:tcPr>
            <w:tcW w:w="410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jc w:val="center"/>
              <w:ind w:right="235"/>
              <w:spacing w:after="0"/>
              <w:rPr>
                <w:sz w:val="20"/>
                <w:szCs w:val="20"/>
                <w:color w:val="auto"/>
              </w:rPr>
            </w:pPr>
            <w:r>
              <w:rPr>
                <w:rFonts w:ascii="Arial" w:cs="Arial" w:eastAsia="Arial" w:hAnsi="Arial"/>
                <w:sz w:val="14"/>
                <w:szCs w:val="14"/>
                <w:b w:val="1"/>
                <w:bCs w:val="1"/>
                <w:color w:val="auto"/>
                <w:w w:val="94"/>
              </w:rPr>
              <w:t>(In millions)</w:t>
            </w:r>
          </w:p>
        </w:tc>
      </w:tr>
      <w:tr>
        <w:trPr>
          <w:trHeight w:val="231"/>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6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5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Optimal Blue</w:t>
            </w:r>
          </w:p>
        </w:tc>
        <w:tc>
          <w:tcPr>
            <w:tcW w:w="5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877"/>
        </w:trPr>
        <w:tc>
          <w:tcPr>
            <w:tcW w:w="4100" w:type="dxa"/>
            <w:vAlign w:val="bottom"/>
          </w:tcPr>
          <w:p>
            <w:pPr>
              <w:spacing w:after="0"/>
              <w:rPr>
                <w:sz w:val="24"/>
                <w:szCs w:val="24"/>
                <w:color w:val="auto"/>
              </w:rPr>
            </w:pPr>
          </w:p>
        </w:tc>
        <w:tc>
          <w:tcPr>
            <w:tcW w:w="5280" w:type="dxa"/>
            <w:vAlign w:val="bottom"/>
          </w:tcPr>
          <w:p>
            <w:pPr>
              <w:jc w:val="right"/>
              <w:ind w:right="357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Corporate and Other segment consists of our share in the operations of certain controlled portfolio companies and other equity investments, activity of the corporate holding company and certain intercompany eliminations and taxes.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non-reportable Corporate and other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62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79"/>
        </w:trPr>
        <w:tc>
          <w:tcPr>
            <w:tcW w:w="610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r>
      <w:tr>
        <w:trPr>
          <w:trHeight w:val="192"/>
        </w:trPr>
        <w:tc>
          <w:tcPr>
            <w:tcW w:w="6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r>
      <w:tr>
        <w:trPr>
          <w:trHeight w:val="222"/>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6100" w:type="dxa"/>
            <w:vAlign w:val="bottom"/>
          </w:tcPr>
          <w:p>
            <w:pPr>
              <w:ind w:left="220"/>
              <w:spacing w:after="0"/>
              <w:rPr>
                <w:sz w:val="20"/>
                <w:szCs w:val="20"/>
                <w:color w:val="auto"/>
              </w:rPr>
            </w:pPr>
            <w:r>
              <w:rPr>
                <w:rFonts w:ascii="Arial" w:cs="Arial" w:eastAsia="Arial" w:hAnsi="Arial"/>
                <w:sz w:val="16"/>
                <w:szCs w:val="16"/>
                <w:color w:val="auto"/>
              </w:rPr>
              <w:t>Other operating revenue</w:t>
            </w:r>
          </w:p>
        </w:tc>
        <w:tc>
          <w:tcPr>
            <w:tcW w:w="760" w:type="dxa"/>
            <w:vAlign w:val="bottom"/>
          </w:tcPr>
          <w:p>
            <w:pPr>
              <w:jc w:val="right"/>
              <w:ind w:right="58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3"/>
        </w:trPr>
        <w:tc>
          <w:tcPr>
            <w:tcW w:w="6100" w:type="dxa"/>
            <w:vAlign w:val="bottom"/>
          </w:tcPr>
          <w:p>
            <w:pPr>
              <w:ind w:left="220"/>
              <w:spacing w:after="0"/>
              <w:rPr>
                <w:sz w:val="20"/>
                <w:szCs w:val="20"/>
                <w:color w:val="auto"/>
              </w:rPr>
            </w:pPr>
            <w:r>
              <w:rPr>
                <w:rFonts w:ascii="Arial" w:cs="Arial" w:eastAsia="Arial" w:hAnsi="Arial"/>
                <w:sz w:val="16"/>
                <w:szCs w:val="16"/>
                <w:color w:val="auto"/>
              </w:rPr>
              <w:t>Personnel costs</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expenses</w:t>
            </w: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212"/>
        </w:trPr>
        <w:tc>
          <w:tcPr>
            <w:tcW w:w="6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07"/>
        </w:trPr>
        <w:tc>
          <w:tcPr>
            <w:tcW w:w="61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Operating loss</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(14.4)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r>
      <w:tr>
        <w:trPr>
          <w:trHeight w:val="19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3"/>
        </w:trPr>
        <w:tc>
          <w:tcPr>
            <w:tcW w:w="6100" w:type="dxa"/>
            <w:vAlign w:val="bottom"/>
          </w:tcPr>
          <w:p>
            <w:pPr>
              <w:ind w:left="220"/>
              <w:spacing w:after="0"/>
              <w:rPr>
                <w:sz w:val="20"/>
                <w:szCs w:val="20"/>
                <w:color w:val="auto"/>
              </w:rPr>
            </w:pPr>
            <w:r>
              <w:rPr>
                <w:rFonts w:ascii="Arial" w:cs="Arial" w:eastAsia="Arial" w:hAnsi="Arial"/>
                <w:sz w:val="16"/>
                <w:szCs w:val="16"/>
                <w:color w:val="auto"/>
              </w:rPr>
              <w:t>Interest, investment and other income</w:t>
            </w: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9"/>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3"/>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188.1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1,673.6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w:t>
            </w:r>
          </w:p>
        </w:tc>
      </w:tr>
      <w:tr>
        <w:trPr>
          <w:trHeight w:val="213"/>
        </w:trPr>
        <w:tc>
          <w:tcPr>
            <w:tcW w:w="6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other income</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192.9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1,688.3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r>
      <w:tr>
        <w:trPr>
          <w:trHeight w:val="203"/>
        </w:trPr>
        <w:tc>
          <w:tcPr>
            <w:tcW w:w="6100" w:type="dxa"/>
            <w:vAlign w:val="bottom"/>
          </w:tcPr>
          <w:p>
            <w:pPr>
              <w:ind w:left="20"/>
              <w:spacing w:after="0"/>
              <w:rPr>
                <w:sz w:val="20"/>
                <w:szCs w:val="20"/>
                <w:color w:val="auto"/>
              </w:rPr>
            </w:pPr>
            <w:r>
              <w:rPr>
                <w:rFonts w:ascii="Arial" w:cs="Arial" w:eastAsia="Arial" w:hAnsi="Arial"/>
                <w:sz w:val="16"/>
                <w:szCs w:val="16"/>
                <w:color w:val="auto"/>
              </w:rPr>
              <w:t>Earnings before income taxes and equity in losses of unconsolidated affiliates</w:t>
            </w:r>
          </w:p>
        </w:tc>
        <w:tc>
          <w:tcPr>
            <w:tcW w:w="760" w:type="dxa"/>
            <w:vAlign w:val="bottom"/>
          </w:tcPr>
          <w:p>
            <w:pPr>
              <w:jc w:val="right"/>
              <w:ind w:right="584"/>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178.5</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1,623.3</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147.8</w:t>
            </w:r>
          </w:p>
        </w:tc>
      </w:tr>
    </w:tbl>
    <w:p>
      <w:pPr>
        <w:spacing w:after="0" w:line="1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Personnel costs increased $23.2 million in the nine months ended September 30, 2020 compared to the corresponding period in 2019. The increase was primarily driven by a net increase of $20.3 million in investment success bonuses paid related to our sales of shares of Ceridian.</w:t>
      </w:r>
    </w:p>
    <w:p>
      <w:pPr>
        <w:spacing w:after="0" w:line="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operating expenses increased by $17.9 million in the nine months ended September 30, 2020 compared to the corresponding period in 2019. The increase was primarily driven by an increase in professional fees, including $15.1 million for our quarterly management fees to our Manager, in the 2020 period.</w:t>
      </w:r>
    </w:p>
    <w:p>
      <w:pPr>
        <w:spacing w:after="0" w:line="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Interest, investment and other income for the three and nine months ended September 30, 2020 includes $2.2 million and $9.1 million, respectively, of income related to transaction fees earned by the Manager and allocable to us pursuant to the Management Services Agreement.</w:t>
      </w:r>
    </w:p>
    <w:p>
      <w:pPr>
        <w:spacing w:after="0" w:line="3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Recognized gains and losses, net, increased $96.3 million in the three months ended September 30, 2020 and increased $1,508.6 million in the nine months ended September 30, 2020, compared to the corresponding periods in 2019. The increase in the three months ended September 30, 2020 is primarily attributable to our recognized gain on the D&amp;B IPO of $117.0 million and unrealized gains on equity securities of $69.5 million in the 2020 period, partially offset by a gain on sale of Ceridian stock of $82.2 million in the corresponding 2019 period. The increase in the nine months ended September 30, 2020 is attributable to the gain on the D&amp;B IPO, a gain of $223.1 million on the sale of a portion of our holdings of Ceridian stock in February 2020 and a gain of $684.9 million on our change in accounting for our investment in Ceridian, and recognized gains on equity securities other than the aforementioned gain on change in accounting for Ceridian of $648.4 million in the 2020 period, partially offset by gains of $153.3 million on sales of Ceridian shares in the corresponding 2019 period. See Note D for further information on recognized gains on equity securities.</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Earnings before income taxes increased $97.8 million in the three months ended September 30, 2020, and increased $1,475.5 million in the nine months ended September 30, 2020, compared to the corresponding periods in 2019. The increased earnings was primarily attributable to the factors noted above.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taxes, payments of interest and principal on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expenditures, and business acquisitions. There are no restrictions on our retained earnings regarding our ability to pay dividends to stockholders, although there are limits on the ability of certain subsidiaries to pay dividends to us, as a result of provisions in certain debt agreements. The declaration of any future dividends is at the discretion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of our Board of Directors. Additional uses of cash flow are expected to include additional investments, business acquisitions or stock repurchases.</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September 30, 2020, we had cash and cash equivalents of $405.9 million and $100.0 million of capacity under our existing holding company credit facilities. We continually assess our capital allocation strategy, including decisions relating to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borrowings on existing credit facilities or by additional capital raised through debt or equity markets.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focused on evaluating our assets and investments as potential vehicles for creating liquidity. Our intent is to use that liquidity for general corporate purposes, including, future investments, potentially reducing debt, repurchasing shares of our stock, other strategic initiatives and/or conserving cash.</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used in operations for the nine months ended September 30, 2020 and 2019 totaled $190.9 million and $39.1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in cash provided by (increase in cash used in) operations of $151.8 million is primarily attributable to increased payments for income taxes of $68.0 million, losses in our Restaurant Group and timing of payment and receipt of cash associated with operating assets and liabilities.</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flows used in investing activities for the nine months ended September 30, 2020 and 2019 were $323.9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$289.9 million, respectively. The increase in cash used in investing activities of $34.0 million in the 2020 period from the 2019 period is primarily attributable to a net increase in new investments in unconsolidated affiliates of $274.3 million in the 2020 period compared to the 2019 period and aggregate proceeds from maturities of short term investment and sales of property and equipment of $49.8 million in the 2019 period, partially offset by an increase in proceeds from sales of Ceridian stock of $309.5 million in the 2020 period compared to the 2019 period.</w:t>
      </w:r>
    </w:p>
    <w:p>
      <w:pPr>
        <w:spacing w:after="0" w:line="6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and other intangible assets were $18.3 million and $19.0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nine-month periods ended September 30, 2020 and 2019, respectively. Capital expenditures in the nine months ended September 30, 2020 include the Company's purchase of our corporate headquarters for $9.3 million. The balance of expenditures in 2020 and all of the expenditures in the nine months ended September 30, 2019 primarily consisted of purchases of property and equipment in our Restaurant Group segment.</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provided by financing activities for the nine months ended September 30, 2020 and 2019 were $387.0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$159.2 million, respectively. The increase in cash provided by financing activities of $227.8 million is primarily attributable to $455.0 million of net proceeds from the Offering, partially offset by a net decrease in debt proceeds net of service payments of $207.8 million in the 2020 period compared to the 2019 period and $14.4 million of cash paid for purchases of Treasury stock in the 2020 period.</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F included in Item 1 of Part 1 of this Quarterly Report,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into this Item 2 of Part I.</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There have been no material changes to the seasonality experienced in our businesses from those described for the period as of 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2019 included in our Annual Report on Form 10-K.</w:t>
      </w:r>
    </w:p>
    <w:p>
      <w:pPr>
        <w:spacing w:after="0" w:line="6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Our long term contractual obligations generally include our credit agreements and other debt facilities, lease payments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financing obligations on certain of our premises and equipment, purchase obligations of the Restaurant Group and payments to our Manager.</w:t>
      </w:r>
    </w:p>
    <w:p>
      <w:pPr>
        <w:spacing w:after="0" w:line="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B to our Condensed Consolidated Financial Statements included in Item 1 of Part I of this Quarterly Report for further discussion of our leasing arrangements.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regards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September 30, 2020 to determine the amount of these obligations.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Pursuant to the terms of the Management Services Agreement between Cannae LLC and our Manager, Cannae LLC is obligated to pay our Manager a quarterly management fee equal to 0.375% (1.5% annualized) of the Company’s cost of invested capital (as defined in the Management Services Agreement) as of the last day of each fiscal quarter, payable in arrears in cash, as may be adjusted pursuant to the terms of the Management Services Agreement. Management fees payable to our Manager are included for the initial 5-year term of the Management Services Agreement that began in September 2019 and are based on our cost of invested capital of $1,727.0 million as of September 30, 2020.</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Restaurant Group financing obligations include its agreements to lease its corporate office and certain O'Charley's restaurant locations which are accounted for as failed sale and leaseback transactions.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2020, our required annual payments relating to these contractual obligations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187"/>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1"/>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payments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Management fees payable to Manager</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101.6</w:t>
            </w: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Restaurant Group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r>
      <w:tr>
        <w:trPr>
          <w:trHeight w:val="20"/>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Capital Stock Transactions</w:t>
      </w:r>
      <w:r>
        <w:rPr>
          <w:rFonts w:ascii="Arial" w:cs="Arial" w:eastAsia="Arial" w:hAnsi="Arial"/>
          <w:sz w:val="16"/>
          <w:szCs w:val="16"/>
          <w:color w:val="auto"/>
        </w:rPr>
        <w:t>. On September 19, 2019, our Board of Directors approved a new three-year stock repurchase program effective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19, 2019 (the "2019 Repurchase Program") under which we may purchase up to 5 million shares of our CNNE common stock through September 30, 2022. We may make repurchases from time to time in the open market, in block purchases or in privately negotiated transactions, depending on market conditions and other factors. We repurchased 510,109 shares of CNNE common stock during the nine months ended September 30, 2020 for approximately $14.4 million in the aggregate, or an average of $28.31 per share. Since the original commencement of the 2019 Repurchase Program through market close on November 6, 2020, we repurchased a total of 688,416 common shares for approximately $19.3 million in the aggregate, or an average of $28.06 per share.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There have been no significant changes to our off-balance sheet arrangements since our Annual Report.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2019.</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2020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G.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risk factors disclosed in "Item 1A. Risk Factors" included in our Annual Report on Form 10-K for the year ended December 31, 2019, are hereby incorporated by reference. In addition, we identified the following additional risks as a result of the outbreak of COVID-19 and our recent investment in Optimal Blue.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Restaurant Group</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The COVID-19 outbreak has disrupted and is expected to continue to disrupt the business of our Restaurant Group, which has and could continue to materially affect our Restaurant Group's operations, financial condition and results of operations for an extended period of time.</w:t>
      </w:r>
    </w:p>
    <w:p>
      <w:pPr>
        <w:spacing w:after="0" w:line="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outbreak, the federal, state and local government responses to COVID-19 and our responses to the outbreak have all disrupted and will continue to disrupt our Restaurant Group businesses. In the United States, individuals are being encouraged to practice social distancing, in most places are restricted from gathering in groups and in many cases, placed on complete restriction from non-essential movements outside of their homes. In response to the COVID-19 outbreak and these changing conditions, we closed the dining rooms in substantially all of our restaurants in late March 2020 with substantially all remaining closed through early May 2020. Beginning in March 2020 and lasting into May 2020, in most of our restaurants we were solely operating to-go and delivery services in the jurisdictions where government regulations permit restaurants to continue to operate and where the guest demand makes such operations sustainable. We temporarily closed certain restaurants, modified work hours for our Restaurant Group employees and identified and implemented cost savings measures throughout our Restaurant Group operations. If the COVID-19 outbreak deteriorates again, we may again be required to close the dining rooms in substantially all of our restaurants and solely operate to-go and delivery services, which would further adversely affect the results of operations of our Restaurant Group.</w:t>
      </w:r>
    </w:p>
    <w:p>
      <w:pPr>
        <w:spacing w:after="0" w:line="7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COVID-19 outbreak and these responses have affected and will continue to adversely affect our Restaurant Group brands' guest traffic, sales and operating costs and we cannot predict how long the outbreak will last or what other government responses may occur.</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Suppliers of our Restaurant Group could be adversely impacted by the COVID-19 outbreak. If our Restaurant Group's suppliers’ access to resources is constrained or their employees are unable to work, whether because of illness, quarantine, limitations on travel or other government restrictions in connection with COVID-19, our Restaurant Group businesses could face shortages of food items or other restaurant supplies and our Restaurant Group's operations and sales could be adversely impacted by such supply interruptions.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the COVID-19 pandemic to negatively impact the financial results of our Restaurant Group and depending on the duration and scope, such impact could be material.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Investment in Dun &amp; Bradstreet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An outbreak of disease, global or localized health pandemic or epidemic or a similar public health threat, or the fear of such an event, could have a material adverse effect on Dun &amp; Bradstreet's business, financial condition and results operations.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significant outbreak of contagious diseases in the human population, such as COVID-19, could result in a widespread health crisis that could adversely affect the economies and financial markets of many countries, resulting in an economic downturn that could have an adverse effect on demand for Dun &amp; Bradstreet's solutions and access to its data sources. Disruptions in the financial markets could limit the ability or willingness of D&amp;B's clients to extend credit to their customers or cause its clients to constrain budgets, which could adversely impact demand for D&amp;B's data and analytics solutions. The U.S. and other governments abroad have implemented enhanced screening, broad shelter-in-place orders and social distancing requirements, business closures, quarantine requirements and travel restrictions in connection with the COVID-19 global pandemic. In addition to governmental measures, companies, including Dun &amp; Bradstreet, are imposing, or may impose, temporary precautionary measures intended to help minimize the risk of the virus to employees, customers and communities, including requiring that employees work remotely and restricting non-essential travel. Additionally, many businesses permanently reduced employee headcount and many others have permanently ceased operations as a result of the pandemic. Given the breadth of Dun &amp; Bradstreet's data, the large number of countries the data is sourced from and system requirements necessary to process and analyze such data, many of D&amp;B's employees and employees of its partners may be limited or unable to effectively work remotely. Further, D&amp;B's employees travel frequently to maintain relationships with and sell solutions to its clients. Continued mandates that employees work remotely, prolonged travel restrictions or general economic uncertainty could negatively impact D&amp;B's suppliers’ ability to provide it with data and services, D&amp;B's ability to deliver or market its solutions and client demand for D&amp;B's solutions. The extent of the impact of COVID-19 on D&amp;B's operational and financial performance will depend on future developments, including the duration and spread of the global pandemic, related travel advisories, business closures and quarantine or social distancing restrictions, the speed of recovery once the pandemic subsides, the impact of any resurgence of the pandemic once measures to slow the spread of the virus have been lifted and impacts to the global markets, all of which are highly uncertain and cannot be predicted. Preventing the effects from and responding to this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market disruption or any other public health threat, related or otherwise, could further impact demand for D&amp;B's solutions and could have a material adverse effect on its business, financial condition and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Investment in Optimal Blue</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If Optimal Blue is unable to protect its information systems against data corruption, cyber-based attacks or network security breaches; are unable to provide adequate security in the electronic transmission of sensitive data; or are unable to prevent system failures or service interruptions, it could have a material adverse effect on its business, financial condition and results of operations and ultimately, our investment.</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Optimal Blue is highly dependent on information technology networks and systems, including the Internet, to securely process, transmit and store electronic information. Optimal Blue depends heavily upon its computer systems and cloud computing and system interruptions or events beyond its control could interrupt or terminate the delivery of its solutions and services to its clients and may interfere with its suppliers' ability to provide necessary data to it and its employees' ability to perform their responsibilities.</w:t>
      </w:r>
    </w:p>
    <w:p>
      <w:pPr>
        <w:spacing w:after="0" w:line="7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Security breaches of Optimal Blue’s infrastructure, including physical or electronic break-ins, computer viruses, attacks by hackers and similar breaches, and the evolving threat landscape can create system disruptions, shutdowns or unauthorized disclosure of confidential information, including non-public personal information, consumer data and proprietary business information. Cyber-based attacks, including those to extort payment in return for the release of sensitive information, are increasing. Unauthorized access, including through use of fraudulent schemes such as "phishing" schemes, could jeopardize the security of information stored in Optimal Blue’s systems. In addition, malware or viruses could jeopardize the security of information stored or used in a user's computer. If Optimal Blue is unable to prevent or detect such security or privacy breaches, its operations could be disrupted, or it may suffer loss of reputation, financial loss, lawsuits and regulatory-imposed restrictions and penalties because of lost or misappropriated information, including sensitive consumer data, which could have a material adverse effect on its business, financial condition and results of operations and ultimately the value of our investment.</w:t>
      </w:r>
    </w:p>
    <w:p>
      <w:pPr>
        <w:spacing w:after="0" w:line="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Optimal Blue fails to adapt its solutions to technological changes or evolving industry standards and regulations, or if its ongoing efforts to upgrade, modernize or innovate its technology are not successful, Optimal Blue may not be able to achieve its growth strategies and could lose clients and have difficulty attracting new clients for its solutions.</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markets for Optimal Blue’s solutions are characterized by constant technological changes, frequent introductions of new products and services and evolving industry standards and regulations. Optimal Blue’s growth strategies and future success will be significantly affected by its ability to successfully enhance its current solutions, and to develop and introduce new solutions and services that address the increasingly sophisticated needs of its clients and their customers. These initiatives carry the risks associated with any new product or service development effort, including cost overruns, delays in delivery and performance issues. There can be no assurance that Optimal Blue will be successful in developing, marketing and selling new solutions and services that meet these changing demands, that it will not experience difficulties that could delay or prevent the successful development, introduction and marketing of these solutions and services or that Optimal Blue’s new solutions and services and their enhancements will adequately meet the demands of the marketplace and achieve market acceptance. If Optimal Blue’s efforts are unsuccessful, it could have a material adverse effect on its business, financial condition and results of operations and ultimately, the value of our investment.</w:t>
      </w:r>
    </w:p>
    <w:p>
      <w:pPr>
        <w:spacing w:after="0" w:line="73"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b w:val="1"/>
          <w:bCs w:val="1"/>
          <w:i w:val="1"/>
          <w:iCs w:val="1"/>
          <w:color w:val="auto"/>
        </w:rPr>
        <w:t>Optimal Blue relies upon proprietary technology and information rights, and if it is unable to protect its rights, it could have a material adverse effect on it and ultimately our investment value. Similarly, if Optimal Blue’s applications, solutions, including those that contain "open source" software, or services are found to infringe the proprietary rights of others or fail to comply with the terms of one or more of these open source licenses, Optimal Blue may be required to change its business practices and may also become subject to significant costs and monetary penalties.</w:t>
      </w:r>
    </w:p>
    <w:p>
      <w:pPr>
        <w:spacing w:after="0" w:line="3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Optimal Blue’s success depends, in part, upon its intellectual property rights. Optimal Blue relies primarily on a combination of patents, copyrights, trade secrets, trademark laws, nondisclosure and other contractual restrictions on copying, distribution and creation of derivative products to protect its proprietary technology and information. This protection is limited, and its intellectual property could be used by others without Optimal Blue’s consent. Any infringement, disclosure, loss, invalidity of or failure to protect its intellectual property could have a material adverse effect on Optimal Blue’s business, financial condition and results of operations and ultimately, the value of our investment. Moreover, litigation may be necessary to enforce or protect its intellectual property rights, to protect its trade secrets or to determine the validity and scope of the proprietary rights of others. Such litigation could be time-consuming, result in substantial costs and diversion of resources and could have a material adverse effect on our business, financial condition and results of operations and ultimately, the value of our investment.</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Optimal Blue’s information technology applications and services develop, it may become increasingly subject to infringement claims. Any such claims, whether with or without merit, could be expensive and time-consuming to defend, cause Optimal Blue to cease providing solutions that incorporate the challenged intellectual property, require Optimal blue to redesign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its solutions, if feasible, divert management's attention and resources; or require Optimal Blue to enter into royalty or licensing agreements in order to obtain the right to use necessary technologies. Any one or more of the foregoing outcomes could have a material adverse effect on Optimal Blue’s business, financial condition and results of operations and ultimately, the value of our investment.</w:t>
      </w:r>
    </w:p>
    <w:p>
      <w:pPr>
        <w:spacing w:after="0" w:line="7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Optimal Blue’s reliance on third parties subjects it to risk and may disrupt or adversely affect its operations. In addition, it may not realize the full benefit of its third-party arrangements, which may result in increased costs, or may adversely affect the service levels Optimal Blue is able to provide its clients.</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Optimal Blue relies upon third parties for various business process and technology-related products and services, including cloud-based providers. Although Optimal Blue has contractual provisions with its providers that specify performance requirements, Optimal Blue does not ultimately control their performance, which may make its operations vulnerable to third-party performance failures. In addition, Optimal Blue’s failure to adequately monitor and regulate the performance of its third-party vendors could subject it to additional risk. Reliance on third parties also makes Optimal blue vulnerable to changes in its vendors' businesses, financial condition and other matters outside of Optimal Blue’s control, including their violations of laws or regulations, which could increase Optimal Blue’s exposure to liability or otherwise increase the costs associated with the operation of its business. If for any reason Optimal Blue’s relationship with any of these third parties, including cloud-based providers, were to end unexpectedly, it could require a significant amount of cost and time to transition to new third-party service providers. The failure of Optimal Blue’s providers to perform as expected or as contractually required could result in significant disruptions and costs to Optimal Blue’s operations and to the services it provides to its clients, or could result in loss of revenues, which could have a material adverse effect on its business, financial condition and results of operations and ultimately, the value of our investment.</w:t>
      </w:r>
    </w:p>
    <w:p>
      <w:pPr>
        <w:spacing w:after="0" w:line="84"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b w:val="1"/>
          <w:bCs w:val="1"/>
          <w:i w:val="1"/>
          <w:iCs w:val="1"/>
          <w:color w:val="auto"/>
        </w:rPr>
        <w:t>Optimal Blue and its clients are subject to various governmental regulations, including regulations over the mortgage loan industry or which address the mortgage loan market, and a failure to comply with governmental regulations or changes in these regulations, including changes that may result from changes in the political landscape or the use of consumer data and public records, could result in penalties, restrict or limit Optimal Blue or its clients' operations or make it more burdensome to conduct such operations.</w:t>
      </w:r>
    </w:p>
    <w:p>
      <w:pPr>
        <w:spacing w:after="0" w:line="6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Many of Optimal Blue’s clients' and its businesses are subject to various federal, state, local and foreign laws and regulations. Optimal Blue’s failure to comply with applicable laws and regulations could restrict its ability to provide certain services or result in imposition of civil fines and criminal penalties, substantial regulatory and compliance costs, litigation expense, adverse publicity and loss of revenues. As a provider of electronic data processing to financial institutions, such as banks and credit unions, Optimal Blue is subject to regulatory oversight and examination by the FFIEC.</w:t>
      </w:r>
    </w:p>
    <w:p>
      <w:pPr>
        <w:spacing w:after="0" w:line="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portion of Optimal Blue’s Compass Analytics, LLC ("Compass Analytics") business provides risk management, loan sales (best execution) and general secondary marketing advisory and hedge execution services in concert with licensing Compass Analytics’ mortgage loan valuation and risk management analytics to its clients. Through this business, Compass Analytics may advise clients regarding their best practices, strategic relationships and workflow, but earns no commission or compensation for any trade execution or volume and does not have custody of any client funds or securities. Compass Analytics offers these advisory services to mortgage loan originators and servicers, including mortgage banks, community and commercial banks, credit unions, mortgage loan insurers, government agencies, investors, Federal Home Loan Banks and real estate investment trusts. As a result, Compass Analytics is registered with and regulated by the SEC as an investment adviser under the Investment Advisers Act of 1940, as amended ("Investment Advisers Act"). The failure by Compass Analytics to comply with applicable laws or regulations could result in fines, suspensions of individual employees or other sanctions, any of which could have a negative impact on Compass Analytic’s business, financial condition and results of operations and ultimately, the value of our investment. Even if an investigation or proceeding did not result in a fine or sanction or the fine or sanction imposed against Compass Analytics or its employees by a regulator were small in monetary amount, the adverse publicity relating to an investigation, proceeding or imposition of these fines or sanctions could harm Compass Analytic’s reputation and cause it to lose existing clients.</w:t>
      </w:r>
    </w:p>
    <w:p>
      <w:pPr>
        <w:spacing w:after="0" w:line="6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Optimal Blue’s businesses are subject to an increased degree of compliance oversight by regulators and by its clients. Specifically, the CFPB has authority to write rules affecting the business of, supervise, conduct examinations of and enforce compliance with federal consumer financial laws and regulations with respect to certain "non-depository covered persons" determined by the CFPB to be "larger participants" that offer consumer financial products and services. The CFPB and the prudential financial institution regulators such as the OCC also have the authority to examine Optimal Blue in its role as a service provider to large financial institutions. In addition, we believe some of Optimal Blue’s largest bank clients' regulators are requiring the banks to exercise greater oversight and perform more rigorous audits of their key service providers such as Optimal Blue.</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Changes to laws and regulations and regulatory oversight of Optimal Blue and its clients, including those that may result from changes in the political landscape, may cause Optimal Blue to increase its prices in certain situations or decrease its prices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other situations, may restrict its ability to implement price increases or otherwise limit the manner in which Optimal Blue conducts its business. Optimal Blue may also incur additional expense in keeping its software solutions services up to date as laws and regulations change, and it may not be able to pass those additional costs on to its clients. In addition, in response to increased regulatory oversight, participants in the mortgage lending industry may develop policies pursuant to which they limit the extent to which they can rely on any one vendor or service provider. Conversely, in an environment with less stringent regulatory oversight, prospective clients may choose to retain their in-house platforms, or current service providers, or seek alternative service providers who provide services that are less compliance and quality oriented at a lower price point. If Optimal Blue is unable to adapt its products and services to conform to increased or evolving laws and regulations, or if these laws and regulations have a negative effect on its clients, Optimal Blue may experience client losses or increased operating costs, which could have a material adverse effect on its business, financial condition and results of operations and ultimately, the value of our investment.</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Because Optimal Blue’s databases include certain public and non-public personal information concerning consumers, it is subject to government regulation and potential adverse publicity concerning our use of consumer data. Optimal Blue acquires, stores and uses many types of consumer data and related services that are subject to regulation under the Gramm-Leach-Bliley Act and, to a lesser extent, various other federal, state and local laws and regulations. These laws and regulations are designed to protect the privacy of consumers and to prevent security breaches, cyber-based attacks, other unauthorized access and misuse of personal information in the marketplace. Optimal Blue’s failure to comply with these laws, or any future laws or regulations of a similar nature, could result in substantial regulatory penalties, litigation expense or loss of revenues, which could have a material adverse effect on its business, financial condition and results of operations and ultimately, the value of our investment.</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mortgage loan industry is heavily regulated and continues to be subject to review by governmental authorities. Inquiries may include federal and state governmental review of all aspects of the mortgage lending business. Such efforts may include actions to address the housing market and the economy in general and to maintain rigorous mortgage loan servicing standards. Additional state and federal government actions directed at housing and the mortgage loan industry may occur and could have a material adverse effect on Optimal Blue’s business, financial condition and results of operations and ultimately, the value of our investment.</w:t>
      </w:r>
    </w:p>
    <w:p>
      <w:pPr>
        <w:spacing w:after="0" w:line="80"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Because Optimal Blue’s revenues from clients in the mortgage lending industry are affected by the strength of the economy and the housing market generally, including the volume of real estate transactions, a change in any of these conditions could have a material adverse effect on it.</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Optimal Blue’s revenues are primarily generated from software and hosting solutions and professional services it provides to the mortgage loan industry and, as a result, a weak economy or housing market may have a material adverse effect on its business, financial condition and results of operations and ultimately, the value of our investment. The volume of mortgage loan origination and residential real estate transactions is highly variable and reductions in these transaction volumes could have a direct effect on the revenues of Optimal Blue.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Company's Corporate and Other Businesses</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The outbreak of COVID-19 and resulting government response have negatively affected the global economy, the United States economy and the global financial markets, and may disrupt our operations, which could have an adverse effect on our Corporate and Other businesses, financial condition and results of operations.</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ongoing COVID-19 global and national health emergency has caused significant disruption in the international and United States economies and financial markets. The spread of COVID-19 and resulting government imposed restrictions on many activities has resulted in an overarching reduction in business activity and financial transactions, an increase in unemployment, supply chain interruptions and overall economic and financial market instability. If such disruption persists for an extended period of time, the businesses comprising our Corporate and Other segment and our ability to consummate new investments could be adversely affected, which could result in an adverse effect on our financial condition and results of operations.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1680" w:type="dxa"/>
            <w:vAlign w:val="bottom"/>
          </w:tcPr>
          <w:p>
            <w:pPr>
              <w:jc w:val="center"/>
              <w:ind w:right="230"/>
              <w:spacing w:after="0"/>
              <w:rPr>
                <w:rFonts w:ascii="Arial" w:cs="Arial" w:eastAsia="Arial" w:hAnsi="Arial"/>
                <w:sz w:val="18"/>
                <w:szCs w:val="18"/>
                <w:b w:val="1"/>
                <w:bCs w:val="1"/>
                <w:u w:val="single" w:color="auto"/>
                <w:color w:val="0000FF"/>
                <w:w w:val="89"/>
              </w:rPr>
            </w:pPr>
            <w:hyperlink w:anchor="page1">
              <w:r>
                <w:rPr>
                  <w:rFonts w:ascii="Arial" w:cs="Arial" w:eastAsia="Arial" w:hAnsi="Arial"/>
                  <w:sz w:val="18"/>
                  <w:szCs w:val="18"/>
                  <w:b w:val="1"/>
                  <w:bCs w:val="1"/>
                  <w:u w:val="single" w:color="auto"/>
                  <w:color w:val="0000FF"/>
                  <w:w w:val="89"/>
                </w:rPr>
                <w:t>Table of Contents</w:t>
              </w:r>
            </w:hyperlink>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168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Item 6. Exhibits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80" w:type="dxa"/>
            <w:vAlign w:val="bottom"/>
          </w:tcPr>
          <w:p>
            <w:pPr>
              <w:jc w:val="center"/>
              <w:ind w:right="230"/>
              <w:spacing w:after="0"/>
              <w:rPr>
                <w:sz w:val="20"/>
                <w:szCs w:val="20"/>
                <w:color w:val="auto"/>
              </w:rPr>
            </w:pPr>
            <w:r>
              <w:rPr>
                <w:rFonts w:ascii="Arial" w:cs="Arial" w:eastAsia="Arial" w:hAnsi="Arial"/>
                <w:sz w:val="18"/>
                <w:szCs w:val="18"/>
                <w:color w:val="auto"/>
                <w:w w:val="92"/>
              </w:rPr>
              <w:t>(a) Exhibits:</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520" w:type="dxa"/>
            <w:vAlign w:val="bottom"/>
            <w:gridSpan w:val="9"/>
            <w:vMerge w:val="restart"/>
          </w:tcPr>
          <w:p>
            <w:pPr>
              <w:ind w:left="2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5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91"/>
              </w:rPr>
              <w:t>10.1</w:t>
            </w:r>
          </w:p>
        </w:tc>
        <w:tc>
          <w:tcPr>
            <w:tcW w:w="9560" w:type="dxa"/>
            <w:vAlign w:val="bottom"/>
            <w:gridSpan w:val="12"/>
          </w:tcPr>
          <w:p>
            <w:pPr>
              <w:spacing w:after="0"/>
              <w:rPr>
                <w:rFonts w:ascii="Arial" w:cs="Arial" w:eastAsia="Arial" w:hAnsi="Arial"/>
                <w:sz w:val="18"/>
                <w:szCs w:val="18"/>
                <w:color w:val="0000FF"/>
                <w:w w:val="95"/>
              </w:rPr>
            </w:pPr>
            <w:hyperlink r:id="rId62">
              <w:r>
                <w:rPr>
                  <w:rFonts w:ascii="Arial" w:cs="Arial" w:eastAsia="Arial" w:hAnsi="Arial"/>
                  <w:sz w:val="18"/>
                  <w:szCs w:val="18"/>
                  <w:u w:val="single" w:color="auto"/>
                  <w:color w:val="0000FF"/>
                  <w:w w:val="95"/>
                </w:rPr>
                <w:t>Forward Purchase Agreement entered into as of July 26,</w:t>
              </w:r>
              <w:r>
                <w:rPr>
                  <w:rFonts w:ascii="Arial" w:cs="Arial" w:eastAsia="Arial" w:hAnsi="Arial"/>
                  <w:sz w:val="18"/>
                  <w:szCs w:val="18"/>
                  <w:color w:val="0000FF"/>
                  <w:w w:val="95"/>
                </w:rPr>
                <w:t xml:space="preserve"> 2020, </w:t>
              </w:r>
              <w:r>
                <w:rPr>
                  <w:rFonts w:ascii="Arial" w:cs="Arial" w:eastAsia="Arial" w:hAnsi="Arial"/>
                  <w:sz w:val="18"/>
                  <w:szCs w:val="18"/>
                  <w:u w:val="single" w:color="auto"/>
                  <w:color w:val="0000FF"/>
                  <w:w w:val="95"/>
                </w:rPr>
                <w:t>by and between Black Knight, Inc. and Cannae Holdings, LLC</w:t>
              </w:r>
            </w:hyperlink>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9560" w:type="dxa"/>
            <w:vAlign w:val="bottom"/>
            <w:gridSpan w:val="12"/>
          </w:tcPr>
          <w:p>
            <w:pPr>
              <w:spacing w:after="0" w:line="189" w:lineRule="exact"/>
              <w:rPr>
                <w:rFonts w:ascii="Arial" w:cs="Arial" w:eastAsia="Arial" w:hAnsi="Arial"/>
                <w:sz w:val="18"/>
                <w:szCs w:val="18"/>
                <w:color w:val="0000FF"/>
                <w:w w:val="92"/>
              </w:rPr>
            </w:pPr>
            <w:hyperlink r:id="rId62">
              <w:r>
                <w:rPr>
                  <w:rFonts w:ascii="Arial" w:cs="Arial" w:eastAsia="Arial" w:hAnsi="Arial"/>
                  <w:sz w:val="18"/>
                  <w:szCs w:val="18"/>
                  <w:u w:val="single" w:color="auto"/>
                  <w:color w:val="0000FF"/>
                  <w:w w:val="92"/>
                </w:rPr>
                <w:t>(incorporated by reference to Exhibit 10.2 to the</w:t>
              </w:r>
              <w:r>
                <w:rPr>
                  <w:rFonts w:ascii="Arial" w:cs="Arial" w:eastAsia="Arial" w:hAnsi="Arial"/>
                  <w:sz w:val="18"/>
                  <w:szCs w:val="18"/>
                  <w:color w:val="0000FF"/>
                  <w:w w:val="92"/>
                </w:rPr>
                <w:t xml:space="preserve"> Company's </w:t>
              </w:r>
              <w:r>
                <w:rPr>
                  <w:rFonts w:ascii="Arial" w:cs="Arial" w:eastAsia="Arial" w:hAnsi="Arial"/>
                  <w:sz w:val="18"/>
                  <w:szCs w:val="18"/>
                  <w:u w:val="single" w:color="auto"/>
                  <w:color w:val="0000FF"/>
                  <w:w w:val="92"/>
                </w:rPr>
                <w:t>Quarterly Report on Form 10-Q</w:t>
              </w:r>
              <w:r>
                <w:rPr>
                  <w:rFonts w:ascii="Arial" w:cs="Arial" w:eastAsia="Arial" w:hAnsi="Arial"/>
                  <w:sz w:val="18"/>
                  <w:szCs w:val="18"/>
                  <w:color w:val="0000FF"/>
                  <w:w w:val="92"/>
                </w:rPr>
                <w:t xml:space="preserve"> for </w:t>
              </w:r>
              <w:r>
                <w:rPr>
                  <w:rFonts w:ascii="Arial" w:cs="Arial" w:eastAsia="Arial" w:hAnsi="Arial"/>
                  <w:sz w:val="18"/>
                  <w:szCs w:val="18"/>
                  <w:u w:val="single" w:color="auto"/>
                  <w:color w:val="0000FF"/>
                  <w:w w:val="92"/>
                </w:rPr>
                <w:t>the</w:t>
              </w:r>
              <w:r>
                <w:rPr>
                  <w:rFonts w:ascii="Arial" w:cs="Arial" w:eastAsia="Arial" w:hAnsi="Arial"/>
                  <w:sz w:val="18"/>
                  <w:szCs w:val="18"/>
                  <w:color w:val="0000FF"/>
                  <w:w w:val="92"/>
                </w:rPr>
                <w:t xml:space="preserve"> quarter ended June 30, 2020,</w:t>
              </w:r>
            </w:hyperlink>
          </w:p>
        </w:tc>
        <w:tc>
          <w:tcPr>
            <w:tcW w:w="0" w:type="dxa"/>
            <w:vAlign w:val="bottom"/>
          </w:tcPr>
          <w:p>
            <w:pPr>
              <w:spacing w:after="0"/>
              <w:rPr>
                <w:sz w:val="1"/>
                <w:szCs w:val="1"/>
                <w:color w:val="auto"/>
              </w:rPr>
            </w:pPr>
          </w:p>
        </w:tc>
      </w:tr>
      <w:tr>
        <w:trPr>
          <w:trHeight w:val="156"/>
        </w:trPr>
        <w:tc>
          <w:tcPr>
            <w:tcW w:w="1680" w:type="dxa"/>
            <w:vAlign w:val="bottom"/>
            <w:vMerge w:val="restart"/>
          </w:tcPr>
          <w:p>
            <w:pPr>
              <w:jc w:val="center"/>
              <w:ind w:right="310"/>
              <w:spacing w:after="0"/>
              <w:rPr>
                <w:sz w:val="20"/>
                <w:szCs w:val="20"/>
                <w:color w:val="auto"/>
              </w:rPr>
            </w:pPr>
            <w:r>
              <w:rPr>
                <w:rFonts w:ascii="Arial" w:cs="Arial" w:eastAsia="Arial" w:hAnsi="Arial"/>
                <w:sz w:val="18"/>
                <w:szCs w:val="18"/>
                <w:color w:val="auto"/>
                <w:w w:val="95"/>
              </w:rPr>
              <w:t>10.2*</w:t>
            </w:r>
          </w:p>
        </w:tc>
        <w:tc>
          <w:tcPr>
            <w:tcW w:w="7380" w:type="dxa"/>
            <w:vAlign w:val="bottom"/>
            <w:gridSpan w:val="4"/>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filed August 7, 2020)</w:t>
              </w:r>
              <w:r>
                <w:rPr>
                  <w:rFonts w:ascii="Arial" w:cs="Arial" w:eastAsia="Arial" w:hAnsi="Arial"/>
                  <w:sz w:val="18"/>
                  <w:szCs w:val="18"/>
                  <w:u w:val="single" w:color="auto"/>
                  <w:color w:val="0000FF"/>
                </w:rPr>
                <w:t>.</w:t>
              </w:r>
            </w:hyperlink>
          </w:p>
        </w:tc>
        <w:tc>
          <w:tcPr>
            <w:tcW w:w="19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80" w:type="dxa"/>
            <w:vAlign w:val="bottom"/>
            <w:vMerge w:val="continue"/>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80" w:type="dxa"/>
            <w:vAlign w:val="bottom"/>
            <w:vMerge w:val="continue"/>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Amended and Restated Limited Liability Company Agreement of Optimal Blue Holdco, LLC, dated September 15, 2020, by and</w:t>
              </w:r>
            </w:hyperlink>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93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among Optimal Blue Holdco, LLC, THL Optimal Blue Blocker Corp., Black Knight Technologies, LLC, Cannae Holdings, LLC,</w:t>
              </w:r>
            </w:hyperlink>
          </w:p>
        </w:tc>
        <w:tc>
          <w:tcPr>
            <w:tcW w:w="4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9340" w:type="dxa"/>
            <w:vAlign w:val="bottom"/>
            <w:tcBorders>
              <w:bottom w:val="single" w:sz="8" w:color="0000FF"/>
            </w:tcBorders>
            <w:gridSpan w:val="6"/>
          </w:tcPr>
          <w:p>
            <w:pPr>
              <w:spacing w:after="0" w:line="182"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Black Knight, Inc. (solely for the limited purposes listed therein) and the other Persons who may from time to time become parties</w:t>
              </w:r>
            </w:hyperlink>
          </w:p>
        </w:tc>
        <w:tc>
          <w:tcPr>
            <w:tcW w:w="6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80" w:type="dxa"/>
            <w:vAlign w:val="bottom"/>
          </w:tcPr>
          <w:p>
            <w:pPr>
              <w:spacing w:after="0"/>
              <w:rPr>
                <w:sz w:val="16"/>
                <w:szCs w:val="16"/>
                <w:color w:val="auto"/>
              </w:rPr>
            </w:pPr>
          </w:p>
        </w:tc>
        <w:tc>
          <w:tcPr>
            <w:tcW w:w="9400" w:type="dxa"/>
            <w:vAlign w:val="bottom"/>
            <w:gridSpan w:val="7"/>
          </w:tcPr>
          <w:p>
            <w:pPr>
              <w:spacing w:after="0" w:line="195" w:lineRule="exact"/>
              <w:rPr>
                <w:rFonts w:ascii="Arial" w:cs="Arial" w:eastAsia="Arial" w:hAnsi="Arial"/>
                <w:sz w:val="18"/>
                <w:szCs w:val="18"/>
                <w:u w:val="single" w:color="auto"/>
                <w:color w:val="0000FF"/>
                <w:w w:val="91"/>
              </w:rPr>
            </w:pPr>
            <w:hyperlink r:id="rId63">
              <w:r>
                <w:rPr>
                  <w:rFonts w:ascii="Arial" w:cs="Arial" w:eastAsia="Arial" w:hAnsi="Arial"/>
                  <w:sz w:val="18"/>
                  <w:szCs w:val="18"/>
                  <w:u w:val="single" w:color="auto"/>
                  <w:color w:val="0000FF"/>
                  <w:w w:val="91"/>
                </w:rPr>
                <w:t>thereto in accordance with the terms therein (incorporated by reference to Exhibit 10.1 to the Company's Current Report on Form</w:t>
              </w:r>
            </w:hyperlink>
          </w:p>
        </w:tc>
        <w:tc>
          <w:tcPr>
            <w:tcW w:w="8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9560" w:type="dxa"/>
            <w:vAlign w:val="bottom"/>
            <w:gridSpan w:val="12"/>
          </w:tcPr>
          <w:p>
            <w:pPr>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8-K, filed September 17, 2020)</w:t>
              </w:r>
            </w:hyperlink>
          </w:p>
        </w:tc>
        <w:tc>
          <w:tcPr>
            <w:tcW w:w="0" w:type="dxa"/>
            <w:vAlign w:val="bottom"/>
          </w:tcPr>
          <w:p>
            <w:pPr>
              <w:spacing w:after="0"/>
              <w:rPr>
                <w:sz w:val="1"/>
                <w:szCs w:val="1"/>
                <w:color w:val="auto"/>
              </w:rPr>
            </w:pPr>
          </w:p>
        </w:tc>
      </w:tr>
      <w:tr>
        <w:trPr>
          <w:trHeight w:val="256"/>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91"/>
              </w:rPr>
              <w:t>10.3</w:t>
            </w:r>
          </w:p>
        </w:tc>
        <w:tc>
          <w:tcPr>
            <w:tcW w:w="9560" w:type="dxa"/>
            <w:vAlign w:val="bottom"/>
            <w:gridSpan w:val="12"/>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Extension of Corporate Services Agreement, dated October 1, 2020 (executed October 7, 2020), by and between Fidelity National</w:t>
              </w:r>
            </w:hyperlink>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95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48">
              <w:r>
                <w:rPr>
                  <w:rFonts w:ascii="Arial" w:cs="Arial" w:eastAsia="Arial" w:hAnsi="Arial"/>
                  <w:sz w:val="18"/>
                  <w:szCs w:val="18"/>
                  <w:color w:val="0000FF"/>
                </w:rPr>
                <w:t>Financial, Inc., and Cannae Holdings, Inc.</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91"/>
              </w:rPr>
              <w:t>31.1</w:t>
            </w:r>
          </w:p>
        </w:tc>
        <w:tc>
          <w:tcPr>
            <w:tcW w:w="9560" w:type="dxa"/>
            <w:vAlign w:val="bottom"/>
            <w:gridSpan w:val="12"/>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59"/>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91"/>
              </w:rPr>
              <w:t>31.2</w:t>
            </w:r>
          </w:p>
        </w:tc>
        <w:tc>
          <w:tcPr>
            <w:tcW w:w="9560" w:type="dxa"/>
            <w:vAlign w:val="bottom"/>
            <w:gridSpan w:val="12"/>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418"/>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91"/>
              </w:rPr>
              <w:t>32.1</w:t>
            </w:r>
          </w:p>
        </w:tc>
        <w:tc>
          <w:tcPr>
            <w:tcW w:w="9560" w:type="dxa"/>
            <w:vAlign w:val="bottom"/>
            <w:gridSpan w:val="12"/>
          </w:tcPr>
          <w:p>
            <w:pPr>
              <w:spacing w:after="0"/>
              <w:rPr>
                <w:rFonts w:ascii="Arial" w:cs="Arial" w:eastAsia="Arial" w:hAnsi="Arial"/>
                <w:sz w:val="18"/>
                <w:szCs w:val="18"/>
                <w:color w:val="0000FF"/>
                <w:w w:val="93"/>
              </w:rPr>
            </w:pPr>
            <w:hyperlink w:anchor="page53">
              <w:r>
                <w:rPr>
                  <w:rFonts w:ascii="Arial" w:cs="Arial" w:eastAsia="Arial" w:hAnsi="Arial"/>
                  <w:sz w:val="18"/>
                  <w:szCs w:val="18"/>
                  <w:color w:val="0000FF"/>
                  <w:w w:val="93"/>
                </w:rPr>
                <w:t>Certification by Chief Executive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3">
              <w:r>
                <w:rPr>
                  <w:rFonts w:ascii="Arial" w:cs="Arial" w:eastAsia="Arial" w:hAnsi="Arial"/>
                  <w:sz w:val="18"/>
                  <w:szCs w:val="18"/>
                  <w:color w:val="0000FF"/>
                  <w:w w:val="90"/>
                </w:rPr>
                <w:t>18 U.S.C. Section 1350.</w:t>
              </w:r>
            </w:hyperlink>
          </w:p>
        </w:tc>
        <w:tc>
          <w:tcPr>
            <w:tcW w:w="7720" w:type="dxa"/>
            <w:vAlign w:val="bottom"/>
            <w:tcBorders>
              <w:top w:val="single" w:sz="8" w:color="0000FF"/>
            </w:tcBorders>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91"/>
              </w:rPr>
              <w:t>32.2</w:t>
            </w:r>
          </w:p>
        </w:tc>
        <w:tc>
          <w:tcPr>
            <w:tcW w:w="9560" w:type="dxa"/>
            <w:vAlign w:val="bottom"/>
            <w:gridSpan w:val="12"/>
          </w:tcPr>
          <w:p>
            <w:pPr>
              <w:spacing w:after="0"/>
              <w:rPr>
                <w:rFonts w:ascii="Arial" w:cs="Arial" w:eastAsia="Arial" w:hAnsi="Arial"/>
                <w:sz w:val="18"/>
                <w:szCs w:val="18"/>
                <w:color w:val="0000FF"/>
                <w:w w:val="93"/>
              </w:rPr>
            </w:pPr>
            <w:hyperlink w:anchor="page54">
              <w:r>
                <w:rPr>
                  <w:rFonts w:ascii="Arial" w:cs="Arial" w:eastAsia="Arial" w:hAnsi="Arial"/>
                  <w:sz w:val="18"/>
                  <w:szCs w:val="18"/>
                  <w:color w:val="0000FF"/>
                  <w:w w:val="93"/>
                </w:rPr>
                <w:t>Certification by Chief Financial Officer of Periodic Financial Reports pursuant to Section 906 of the Sarbanes-Oxley Act of 2002,</w:t>
              </w:r>
            </w:hyperlink>
          </w:p>
        </w:tc>
        <w:tc>
          <w:tcPr>
            <w:tcW w:w="0" w:type="dxa"/>
            <w:vAlign w:val="bottom"/>
          </w:tcPr>
          <w:p>
            <w:pPr>
              <w:spacing w:after="0"/>
              <w:rPr>
                <w:sz w:val="1"/>
                <w:szCs w:val="1"/>
                <w:color w:val="auto"/>
              </w:rPr>
            </w:pPr>
          </w:p>
        </w:tc>
      </w:tr>
      <w:tr>
        <w:trPr>
          <w:trHeight w:val="156"/>
        </w:trPr>
        <w:tc>
          <w:tcPr>
            <w:tcW w:w="1680" w:type="dxa"/>
            <w:vAlign w:val="bottom"/>
          </w:tcPr>
          <w:p>
            <w:pPr>
              <w:spacing w:after="0"/>
              <w:rPr>
                <w:sz w:val="13"/>
                <w:szCs w:val="13"/>
                <w:color w:val="auto"/>
              </w:rPr>
            </w:pPr>
          </w:p>
        </w:tc>
        <w:tc>
          <w:tcPr>
            <w:tcW w:w="17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18 U.S.C. Section 1350.</w:t>
              </w:r>
            </w:hyperlink>
          </w:p>
        </w:tc>
        <w:tc>
          <w:tcPr>
            <w:tcW w:w="776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92"/>
              </w:rPr>
              <w:t>101.INS</w:t>
            </w:r>
          </w:p>
        </w:tc>
        <w:tc>
          <w:tcPr>
            <w:tcW w:w="9560" w:type="dxa"/>
            <w:vAlign w:val="bottom"/>
            <w:gridSpan w:val="12"/>
          </w:tcPr>
          <w:p>
            <w:pPr>
              <w:spacing w:after="0"/>
              <w:rPr>
                <w:sz w:val="20"/>
                <w:szCs w:val="20"/>
                <w:color w:val="auto"/>
              </w:rPr>
            </w:pPr>
            <w:r>
              <w:rPr>
                <w:rFonts w:ascii="Arial" w:cs="Arial" w:eastAsia="Arial" w:hAnsi="Arial"/>
                <w:sz w:val="18"/>
                <w:szCs w:val="18"/>
                <w:color w:val="auto"/>
              </w:rPr>
              <w:t>Inline XBRL Instance Document **</w:t>
            </w:r>
          </w:p>
        </w:tc>
        <w:tc>
          <w:tcPr>
            <w:tcW w:w="0" w:type="dxa"/>
            <w:vAlign w:val="bottom"/>
          </w:tcPr>
          <w:p>
            <w:pPr>
              <w:spacing w:after="0"/>
              <w:rPr>
                <w:sz w:val="1"/>
                <w:szCs w:val="1"/>
                <w:color w:val="auto"/>
              </w:rPr>
            </w:pPr>
          </w:p>
        </w:tc>
      </w:tr>
      <w:tr>
        <w:trPr>
          <w:trHeight w:val="324"/>
        </w:trPr>
        <w:tc>
          <w:tcPr>
            <w:tcW w:w="1680" w:type="dxa"/>
            <w:vAlign w:val="bottom"/>
          </w:tcPr>
          <w:p>
            <w:pPr>
              <w:jc w:val="center"/>
              <w:ind w:right="330"/>
              <w:spacing w:after="0"/>
              <w:rPr>
                <w:sz w:val="20"/>
                <w:szCs w:val="20"/>
                <w:color w:val="auto"/>
              </w:rPr>
            </w:pPr>
            <w:r>
              <w:rPr>
                <w:rFonts w:ascii="Arial" w:cs="Arial" w:eastAsia="Arial" w:hAnsi="Arial"/>
                <w:sz w:val="18"/>
                <w:szCs w:val="18"/>
                <w:color w:val="auto"/>
                <w:w w:val="90"/>
              </w:rPr>
              <w:t>101.SCH</w:t>
            </w:r>
          </w:p>
        </w:tc>
        <w:tc>
          <w:tcPr>
            <w:tcW w:w="95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97"/>
              </w:rPr>
              <w:t>101.CAL</w:t>
            </w:r>
          </w:p>
        </w:tc>
        <w:tc>
          <w:tcPr>
            <w:tcW w:w="95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680" w:type="dxa"/>
            <w:vAlign w:val="bottom"/>
          </w:tcPr>
          <w:p>
            <w:pPr>
              <w:jc w:val="center"/>
              <w:ind w:right="330"/>
              <w:spacing w:after="0"/>
              <w:rPr>
                <w:sz w:val="20"/>
                <w:szCs w:val="20"/>
                <w:color w:val="auto"/>
              </w:rPr>
            </w:pPr>
            <w:r>
              <w:rPr>
                <w:rFonts w:ascii="Arial" w:cs="Arial" w:eastAsia="Arial" w:hAnsi="Arial"/>
                <w:sz w:val="18"/>
                <w:szCs w:val="18"/>
                <w:color w:val="auto"/>
                <w:w w:val="92"/>
              </w:rPr>
              <w:t>101.DEF</w:t>
            </w:r>
          </w:p>
        </w:tc>
        <w:tc>
          <w:tcPr>
            <w:tcW w:w="95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88"/>
              </w:rPr>
              <w:t>101.PRE</w:t>
            </w:r>
          </w:p>
        </w:tc>
        <w:tc>
          <w:tcPr>
            <w:tcW w:w="95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680" w:type="dxa"/>
            <w:vAlign w:val="bottom"/>
          </w:tcPr>
          <w:p>
            <w:pPr>
              <w:jc w:val="center"/>
              <w:ind w:right="310"/>
              <w:spacing w:after="0"/>
              <w:rPr>
                <w:sz w:val="20"/>
                <w:szCs w:val="20"/>
                <w:color w:val="auto"/>
              </w:rPr>
            </w:pPr>
            <w:r>
              <w:rPr>
                <w:rFonts w:ascii="Arial" w:cs="Arial" w:eastAsia="Arial" w:hAnsi="Arial"/>
                <w:sz w:val="18"/>
                <w:szCs w:val="18"/>
                <w:color w:val="auto"/>
                <w:w w:val="98"/>
              </w:rPr>
              <w:t>101.LAB</w:t>
            </w:r>
          </w:p>
        </w:tc>
        <w:tc>
          <w:tcPr>
            <w:tcW w:w="95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680" w:hanging="1179"/>
        <w:spacing w:after="0"/>
        <w:tabs>
          <w:tab w:leader="none" w:pos="1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117" w:lineRule="exact"/>
        <w:rPr>
          <w:rFonts w:ascii="Arial" w:cs="Arial" w:eastAsia="Arial" w:hAnsi="Arial"/>
          <w:sz w:val="18"/>
          <w:szCs w:val="18"/>
          <w:color w:val="auto"/>
        </w:rPr>
      </w:pPr>
    </w:p>
    <w:p>
      <w:pPr>
        <w:ind w:right="240"/>
        <w:spacing w:after="0" w:line="258" w:lineRule="auto"/>
        <w:rPr>
          <w:rFonts w:ascii="Arial" w:cs="Arial" w:eastAsia="Arial" w:hAnsi="Arial"/>
          <w:sz w:val="18"/>
          <w:szCs w:val="18"/>
          <w:color w:val="auto"/>
        </w:rPr>
      </w:pPr>
      <w:r>
        <w:rPr>
          <w:rFonts w:ascii="Arial" w:cs="Arial" w:eastAsia="Arial" w:hAnsi="Arial"/>
          <w:sz w:val="18"/>
          <w:szCs w:val="18"/>
          <w:color w:val="auto"/>
        </w:rPr>
        <w:t>* Certain schedules have been omitted pursuant to Item 601(a)(5) of Regulation S-K. A copy of any omitted schedule will be furnished to the Securities and Exchange Commission upon request.</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instance document does not appear in the interactive data file because its XBRL tags are embedded within the inline XBRL document.</w:t>
      </w: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72"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Arial" w:cs="Arial" w:eastAsia="Arial" w:hAnsi="Arial"/>
                <w:sz w:val="18"/>
                <w:szCs w:val="18"/>
                <w:color w:val="auto"/>
              </w:rPr>
              <w:t>Date: November 9, 2020</w:t>
            </w:r>
          </w:p>
        </w:tc>
        <w:tc>
          <w:tcPr>
            <w:tcW w:w="6560" w:type="dxa"/>
            <w:vAlign w:val="bottom"/>
            <w:gridSpan w:val="2"/>
          </w:tcPr>
          <w:p>
            <w:pPr>
              <w:ind w:left="1400"/>
              <w:spacing w:after="0"/>
              <w:rPr>
                <w:sz w:val="20"/>
                <w:szCs w:val="20"/>
                <w:color w:val="auto"/>
              </w:rPr>
            </w:pPr>
            <w:r>
              <w:rPr>
                <w:rFonts w:ascii="Arial" w:cs="Arial" w:eastAsia="Arial" w:hAnsi="Arial"/>
                <w:sz w:val="18"/>
                <w:szCs w:val="18"/>
                <w:color w:val="auto"/>
              </w:rPr>
              <w:t>CANNAE HOLDINGS, INC.</w:t>
            </w:r>
          </w:p>
        </w:tc>
      </w:tr>
      <w:tr>
        <w:trPr>
          <w:trHeight w:val="230"/>
        </w:trPr>
        <w:tc>
          <w:tcPr>
            <w:tcW w:w="3160" w:type="dxa"/>
            <w:vAlign w:val="bottom"/>
          </w:tcPr>
          <w:p>
            <w:pPr>
              <w:spacing w:after="0"/>
              <w:rPr>
                <w:sz w:val="20"/>
                <w:szCs w:val="20"/>
                <w:color w:val="auto"/>
              </w:rPr>
            </w:pPr>
          </w:p>
        </w:tc>
        <w:tc>
          <w:tcPr>
            <w:tcW w:w="6560" w:type="dxa"/>
            <w:vAlign w:val="bottom"/>
            <w:gridSpan w:val="2"/>
          </w:tcPr>
          <w:p>
            <w:pPr>
              <w:ind w:left="1400"/>
              <w:spacing w:after="0"/>
              <w:rPr>
                <w:sz w:val="20"/>
                <w:szCs w:val="20"/>
                <w:color w:val="auto"/>
              </w:rPr>
            </w:pPr>
            <w:r>
              <w:rPr>
                <w:rFonts w:ascii="Arial" w:cs="Arial" w:eastAsia="Arial" w:hAnsi="Arial"/>
                <w:sz w:val="18"/>
                <w:szCs w:val="18"/>
                <w:color w:val="auto"/>
              </w:rPr>
              <w:t>(registrant)</w:t>
            </w:r>
          </w:p>
        </w:tc>
      </w:tr>
      <w:tr>
        <w:trPr>
          <w:trHeight w:val="404"/>
        </w:trPr>
        <w:tc>
          <w:tcPr>
            <w:tcW w:w="3160" w:type="dxa"/>
            <w:vAlign w:val="bottom"/>
          </w:tcPr>
          <w:p>
            <w:pPr>
              <w:spacing w:after="0"/>
              <w:rPr>
                <w:sz w:val="24"/>
                <w:szCs w:val="24"/>
                <w:color w:val="auto"/>
              </w:rPr>
            </w:pPr>
          </w:p>
        </w:tc>
        <w:tc>
          <w:tcPr>
            <w:tcW w:w="6560" w:type="dxa"/>
            <w:vAlign w:val="bottom"/>
            <w:gridSpan w:val="2"/>
          </w:tcPr>
          <w:p>
            <w:pPr>
              <w:ind w:left="1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D. Coy</w:t>
            </w:r>
          </w:p>
        </w:tc>
      </w:tr>
      <w:tr>
        <w:trPr>
          <w:trHeight w:val="222"/>
        </w:trPr>
        <w:tc>
          <w:tcPr>
            <w:tcW w:w="3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D. Coy</w:t>
            </w:r>
          </w:p>
        </w:tc>
      </w:tr>
      <w:tr>
        <w:trPr>
          <w:trHeight w:val="176"/>
        </w:trPr>
        <w:tc>
          <w:tcPr>
            <w:tcW w:w="31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7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77"/>
        </w:trPr>
        <w:tc>
          <w:tcPr>
            <w:tcW w:w="3160" w:type="dxa"/>
            <w:vAlign w:val="bottom"/>
          </w:tcPr>
          <w:p>
            <w:pPr>
              <w:spacing w:after="0"/>
              <w:rPr>
                <w:sz w:val="24"/>
                <w:szCs w:val="24"/>
                <w:color w:val="auto"/>
              </w:rPr>
            </w:pPr>
          </w:p>
        </w:tc>
        <w:tc>
          <w:tcPr>
            <w:tcW w:w="6560" w:type="dxa"/>
            <w:vAlign w:val="bottom"/>
            <w:gridSpan w:val="2"/>
          </w:tcPr>
          <w:p>
            <w:pPr>
              <w:jc w:val="right"/>
              <w:ind w:right="437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120"/>
          </w:cols>
          <w:pgMar w:left="320" w:top="121" w:right="45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EXTENSION OF CORPORATE SERVICES AGREEMENT</w:t>
      </w:r>
    </w:p>
    <w:p>
      <w:pPr>
        <w:spacing w:after="0" w:line="22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Extension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dated October 1, 2020 (the “Extension Date”) by and between Fidelity National Financial, Inc., a Delaware corporation (“</w:t>
      </w:r>
      <w:r>
        <w:rPr>
          <w:rFonts w:ascii="Arial" w:cs="Arial" w:eastAsia="Arial" w:hAnsi="Arial"/>
          <w:sz w:val="22"/>
          <w:szCs w:val="22"/>
          <w:u w:val="single" w:color="auto"/>
          <w:color w:val="auto"/>
        </w:rPr>
        <w:t>PROVIDING PARTY</w:t>
      </w:r>
      <w:r>
        <w:rPr>
          <w:rFonts w:ascii="Arial" w:cs="Arial" w:eastAsia="Arial" w:hAnsi="Arial"/>
          <w:sz w:val="22"/>
          <w:szCs w:val="22"/>
          <w:color w:val="auto"/>
        </w:rPr>
        <w:t>”) and Cannae Holdings, Inc., a Delaware corporation (“</w:t>
      </w:r>
      <w:r>
        <w:rPr>
          <w:rFonts w:ascii="Arial" w:cs="Arial" w:eastAsia="Arial" w:hAnsi="Arial"/>
          <w:sz w:val="22"/>
          <w:szCs w:val="22"/>
          <w:u w:val="single" w:color="auto"/>
          <w:color w:val="auto"/>
        </w:rPr>
        <w:t>RECEIVING PARTY</w:t>
      </w:r>
      <w:r>
        <w:rPr>
          <w:rFonts w:ascii="Arial" w:cs="Arial" w:eastAsia="Arial" w:hAnsi="Arial"/>
          <w:sz w:val="22"/>
          <w:szCs w:val="22"/>
          <w:color w:val="auto"/>
        </w:rPr>
        <w:t>”). PROVIDING PARTY and RECEIVING PARTY shall be referred to collectively in this Agreement as the “</w:t>
      </w:r>
      <w:r>
        <w:rPr>
          <w:rFonts w:ascii="Arial" w:cs="Arial" w:eastAsia="Arial" w:hAnsi="Arial"/>
          <w:sz w:val="22"/>
          <w:szCs w:val="22"/>
          <w:u w:val="single" w:color="auto"/>
          <w:color w:val="auto"/>
        </w:rPr>
        <w:t>Parties</w:t>
      </w:r>
      <w:r>
        <w:rPr>
          <w:rFonts w:ascii="Arial" w:cs="Arial" w:eastAsia="Arial" w:hAnsi="Arial"/>
          <w:sz w:val="22"/>
          <w:szCs w:val="22"/>
          <w:color w:val="auto"/>
        </w:rPr>
        <w:t>” and individually as a “</w:t>
      </w:r>
      <w:r>
        <w:rPr>
          <w:rFonts w:ascii="Arial" w:cs="Arial" w:eastAsia="Arial" w:hAnsi="Arial"/>
          <w:sz w:val="22"/>
          <w:szCs w:val="22"/>
          <w:u w:val="single" w:color="auto"/>
          <w:color w:val="auto"/>
        </w:rPr>
        <w:t>Party.</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PROVIDING PARTY and RECEIVING PARTY entered into that certain Corporate Services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dated November 17, 2017 (the “</w:t>
      </w:r>
      <w:r>
        <w:rPr>
          <w:rFonts w:ascii="Arial" w:cs="Arial" w:eastAsia="Arial" w:hAnsi="Arial"/>
          <w:sz w:val="19"/>
          <w:szCs w:val="19"/>
          <w:u w:val="single" w:color="auto"/>
          <w:color w:val="auto"/>
        </w:rPr>
        <w:t>CSA</w:t>
      </w:r>
      <w:r>
        <w:rPr>
          <w:rFonts w:ascii="Arial" w:cs="Arial" w:eastAsia="Arial" w:hAnsi="Arial"/>
          <w:sz w:val="19"/>
          <w:szCs w:val="19"/>
          <w:color w:val="auto"/>
        </w:rPr>
        <w:t>”), pursuant to which the PROVIDING PARTY provided various corporate services to RECEIVING PARTY. All capitalized terms not defined in this Agreement refer to the definition presented in the CSA; and</w:t>
      </w:r>
    </w:p>
    <w:p>
      <w:pPr>
        <w:spacing w:after="0" w:line="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CSA provides for a term from November 17, 2017 until the third anniversary thereof (the “Initial</w:t>
      </w:r>
      <w:r>
        <w:rPr>
          <w:rFonts w:ascii="Arial" w:cs="Arial" w:eastAsia="Arial" w:hAnsi="Arial"/>
          <w:sz w:val="22"/>
          <w:szCs w:val="22"/>
          <w:b w:val="1"/>
          <w:bCs w:val="1"/>
          <w:color w:val="auto"/>
        </w:rPr>
        <w:t xml:space="preserve"> </w:t>
      </w:r>
      <w:r>
        <w:rPr>
          <w:rFonts w:ascii="Arial" w:cs="Arial" w:eastAsia="Arial" w:hAnsi="Arial"/>
          <w:sz w:val="22"/>
          <w:szCs w:val="22"/>
          <w:color w:val="auto"/>
        </w:rPr>
        <w:t>Term”), and provides automatic renewal of the CSA for successive one (1) year terms under mutually agreeable arm’s length terms.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hereto agree as follows:</w:t>
      </w:r>
    </w:p>
    <w:p>
      <w:pPr>
        <w:spacing w:after="0" w:line="239" w:lineRule="exact"/>
        <w:rPr>
          <w:sz w:val="20"/>
          <w:szCs w:val="20"/>
          <w:color w:val="auto"/>
        </w:rPr>
      </w:pPr>
    </w:p>
    <w:p>
      <w:pPr>
        <w:jc w:val="both"/>
        <w:ind w:left="660" w:hanging="328"/>
        <w:spacing w:after="0"/>
        <w:tabs>
          <w:tab w:leader="none" w:pos="651"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the CSA will extended for a period of two (2) years following the expiration of the Initial Term until November 17, 2022 (the “</w:t>
      </w:r>
      <w:r>
        <w:rPr>
          <w:rFonts w:ascii="Arial" w:cs="Arial" w:eastAsia="Arial" w:hAnsi="Arial"/>
          <w:sz w:val="22"/>
          <w:szCs w:val="22"/>
          <w:u w:val="single" w:color="auto"/>
          <w:color w:val="auto"/>
        </w:rPr>
        <w:t>Extended Term</w:t>
      </w:r>
      <w:r>
        <w:rPr>
          <w:rFonts w:ascii="Arial" w:cs="Arial" w:eastAsia="Arial" w:hAnsi="Arial"/>
          <w:sz w:val="22"/>
          <w:szCs w:val="22"/>
          <w:color w:val="auto"/>
        </w:rPr>
        <w:t>”). Upon the expiration of the Extended Term, the Renewal provisions of Section 2.1(b) shall apply.</w:t>
      </w:r>
    </w:p>
    <w:p>
      <w:pPr>
        <w:spacing w:after="0" w:line="213" w:lineRule="exact"/>
        <w:rPr>
          <w:rFonts w:ascii="Arial" w:cs="Arial" w:eastAsia="Arial" w:hAnsi="Arial"/>
          <w:sz w:val="22"/>
          <w:szCs w:val="22"/>
          <w:color w:val="auto"/>
        </w:rPr>
      </w:pPr>
    </w:p>
    <w:p>
      <w:pPr>
        <w:jc w:val="both"/>
        <w:ind w:left="660" w:hanging="328"/>
        <w:spacing w:after="0" w:line="282" w:lineRule="auto"/>
        <w:tabs>
          <w:tab w:leader="none" w:pos="651"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 During the Extended Term, the PROVIDING PARTY agrees to provide each Corporate Service outlined in the CSA to the RECEIVING PARTY at PROVIDING PARTY’S Standard Allocation, as such term is defined in in the CSA plus ten percent (10%), and the RECEIVING PARTY agrees to pay or reimburse the PROVIDING PARTY for all fees, costs or other expenses paid by PROVIDING PARTY to third parties that are not Affiliates or employees of PROVIDING PARTY in connection with providing such Corporate Services or Transition Assistance, as the case may be.</w:t>
      </w:r>
    </w:p>
    <w:p>
      <w:pPr>
        <w:spacing w:after="0" w:line="174" w:lineRule="exact"/>
        <w:rPr>
          <w:rFonts w:ascii="Arial" w:cs="Arial" w:eastAsia="Arial" w:hAnsi="Arial"/>
          <w:sz w:val="19"/>
          <w:szCs w:val="19"/>
          <w:color w:val="auto"/>
        </w:rPr>
      </w:pPr>
    </w:p>
    <w:p>
      <w:pPr>
        <w:ind w:left="640" w:hanging="308"/>
        <w:spacing w:after="0"/>
        <w:tabs>
          <w:tab w:leader="none" w:pos="6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All other terms and conditions of the CSA are unchanged and remain in full force and effect.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240"/>
          </w:cols>
          <w:pgMar w:left="320" w:top="1422" w:right="339" w:bottom="1440" w:gutter="0" w:footer="0" w:header="0"/>
        </w:sectPr>
      </w:pPr>
    </w:p>
    <w:bookmarkStart w:id="48" w:name="page49"/>
    <w:bookmarkEnd w:id="48"/>
    <w:p>
      <w:pPr>
        <w:ind w:firstLine="648"/>
        <w:spacing w:after="0" w:line="250" w:lineRule="auto"/>
        <w:rPr>
          <w:sz w:val="20"/>
          <w:szCs w:val="20"/>
          <w:color w:val="auto"/>
        </w:rPr>
      </w:pPr>
      <w:r>
        <w:rPr>
          <w:rFonts w:ascii="Arial" w:cs="Arial" w:eastAsia="Arial" w:hAnsi="Arial"/>
          <w:sz w:val="22"/>
          <w:szCs w:val="22"/>
          <w:color w:val="auto"/>
        </w:rPr>
        <w:t>IN WITNESS WHEREOF, the Parties, acting through their authorized officers, have caused this Corporate Services Agreement to be duly executed and delivered as of the date first above written.</w:t>
      </w:r>
    </w:p>
    <w:p>
      <w:pPr>
        <w:spacing w:after="0" w:line="19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PROVIDING PARTY:</w:t>
      </w:r>
    </w:p>
    <w:p>
      <w:pPr>
        <w:spacing w:after="0" w:line="23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FIDELITY NATIONAL FINANCIAL, INC.</w:t>
      </w:r>
    </w:p>
    <w:p>
      <w:pPr>
        <w:spacing w:after="0" w:line="23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w:t>
      </w:r>
      <w:r>
        <w:rPr>
          <w:rFonts w:ascii="Arial" w:cs="Arial" w:eastAsia="Arial" w:hAnsi="Arial"/>
          <w:sz w:val="22"/>
          <w:szCs w:val="22"/>
          <w:i w:val="1"/>
          <w:iCs w:val="1"/>
          <w:u w:val="single" w:color="auto"/>
          <w:color w:val="auto"/>
        </w:rPr>
        <w:t>/s/Anthony J. Park</w:t>
      </w:r>
      <w:r>
        <w:rPr>
          <w:rFonts w:ascii="Arial" w:cs="Arial" w:eastAsia="Arial" w:hAnsi="Arial"/>
          <w:sz w:val="22"/>
          <w:szCs w:val="22"/>
          <w:u w:val="single" w:color="auto"/>
          <w:color w:val="auto"/>
        </w:rPr>
        <w:t>_____________</w:t>
      </w:r>
    </w:p>
    <w:p>
      <w:pPr>
        <w:ind w:left="4140"/>
        <w:spacing w:after="0" w:line="238" w:lineRule="auto"/>
        <w:rPr>
          <w:sz w:val="20"/>
          <w:szCs w:val="20"/>
          <w:color w:val="auto"/>
        </w:rPr>
      </w:pPr>
      <w:r>
        <w:rPr>
          <w:rFonts w:ascii="Arial" w:cs="Arial" w:eastAsia="Arial" w:hAnsi="Arial"/>
          <w:sz w:val="22"/>
          <w:szCs w:val="22"/>
          <w:color w:val="auto"/>
        </w:rPr>
        <w:t>Name: Anthony J. Park</w:t>
      </w:r>
    </w:p>
    <w:p>
      <w:pPr>
        <w:ind w:left="4140"/>
        <w:spacing w:after="0"/>
        <w:rPr>
          <w:sz w:val="20"/>
          <w:szCs w:val="20"/>
          <w:color w:val="auto"/>
        </w:rPr>
      </w:pPr>
      <w:r>
        <w:rPr>
          <w:rFonts w:ascii="Arial" w:cs="Arial" w:eastAsia="Arial" w:hAnsi="Arial"/>
          <w:sz w:val="22"/>
          <w:szCs w:val="22"/>
          <w:color w:val="auto"/>
        </w:rPr>
        <w:t>Title: Executive Vice President, Chief Financial Officer</w:t>
      </w:r>
    </w:p>
    <w:p>
      <w:pPr>
        <w:sectPr>
          <w:pgSz w:w="11900" w:h="16838" w:orient="portrait"/>
          <w:cols w:equalWidth="0" w:num="1">
            <w:col w:w="11240"/>
          </w:cols>
          <w:pgMar w:left="320" w:top="1414" w:right="339" w:bottom="1440" w:gutter="0" w:footer="0" w:header="0"/>
        </w:sectPr>
      </w:pPr>
    </w:p>
    <w:bookmarkStart w:id="49" w:name="page50"/>
    <w:bookmarkEnd w:id="49"/>
    <w:p>
      <w:pPr>
        <w:ind w:left="2780"/>
        <w:spacing w:after="0"/>
        <w:rPr>
          <w:sz w:val="20"/>
          <w:szCs w:val="20"/>
          <w:color w:val="auto"/>
        </w:rPr>
      </w:pPr>
      <w:r>
        <w:rPr>
          <w:rFonts w:ascii="Arial" w:cs="Arial" w:eastAsia="Arial" w:hAnsi="Arial"/>
          <w:sz w:val="22"/>
          <w:szCs w:val="22"/>
          <w:b w:val="1"/>
          <w:bCs w:val="1"/>
          <w:color w:val="auto"/>
        </w:rPr>
        <w:t>RECEIVING PARTY:</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CANNAE HOLDINGS, INC.</w:t>
      </w:r>
    </w:p>
    <w:p>
      <w:pPr>
        <w:spacing w:after="0" w:line="200" w:lineRule="exact"/>
        <w:rPr>
          <w:sz w:val="20"/>
          <w:szCs w:val="20"/>
          <w:color w:val="auto"/>
        </w:rPr>
      </w:pPr>
    </w:p>
    <w:p>
      <w:pPr>
        <w:spacing w:after="0" w:line="276"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i w:val="1"/>
          <w:iCs w:val="1"/>
          <w:u w:val="single" w:color="auto"/>
          <w:color w:val="auto"/>
        </w:rPr>
        <w:t>_/s/Bryan D. Coy_____________</w:t>
      </w:r>
    </w:p>
    <w:p>
      <w:pPr>
        <w:spacing w:after="0" w:line="33"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Bryan D. Coy</w:t>
      </w:r>
    </w:p>
    <w:p>
      <w:pPr>
        <w:ind w:left="3100"/>
        <w:spacing w:after="0" w:line="230" w:lineRule="auto"/>
        <w:rPr>
          <w:sz w:val="20"/>
          <w:szCs w:val="20"/>
          <w:color w:val="auto"/>
        </w:rPr>
      </w:pPr>
      <w:r>
        <w:rPr>
          <w:rFonts w:ascii="Arial" w:cs="Arial" w:eastAsia="Arial" w:hAnsi="Arial"/>
          <w:sz w:val="22"/>
          <w:szCs w:val="22"/>
          <w:color w:val="auto"/>
        </w:rPr>
        <w:t>Title: Executive Vice President,</w:t>
      </w:r>
    </w:p>
    <w:p>
      <w:pPr>
        <w:spacing w:after="0" w:line="1"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Chief Financial Officer</w:t>
      </w:r>
    </w:p>
    <w:p>
      <w:pPr>
        <w:sectPr>
          <w:pgSz w:w="11900" w:h="16838" w:orient="portrait"/>
          <w:cols w:equalWidth="0" w:num="1">
            <w:col w:w="9019"/>
          </w:cols>
          <w:pgMar w:left="1440" w:top="1408"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Richard N. Massey, certify that:</w:t>
      </w:r>
    </w:p>
    <w:p>
      <w:pPr>
        <w:spacing w:after="0" w:line="15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4"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50"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Richard N. Massey</w:t>
      </w:r>
    </w:p>
    <w:p>
      <w:pPr>
        <w:ind w:left="1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Bryan D. Coy, certify that:</w:t>
      </w:r>
    </w:p>
    <w:p>
      <w:pPr>
        <w:spacing w:after="0" w:line="1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Cannae Holdings,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1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Bryan D. Coy</w:t>
      </w:r>
    </w:p>
    <w:p>
      <w:pPr>
        <w:ind w:left="1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firstLine="23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66"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/s/Richard N.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33343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Richard N. Massey</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34"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right="20" w:firstLine="239"/>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Cannae Holdings, Inc., a Delaware corporation (the “Company”), and hereby further certifies as follows.</w:t>
      </w:r>
    </w:p>
    <w:p>
      <w:pPr>
        <w:spacing w:after="0" w:line="170" w:lineRule="exact"/>
        <w:rPr>
          <w:sz w:val="20"/>
          <w:szCs w:val="20"/>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66"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33261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Bryan D. Coy</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lvl w:ilvl="1">
      <w:lvlJc w:val="left"/>
      <w:lvlText w:val="%2"/>
      <w:numFmt w:val="decimal"/>
      <w:start w:val="104"/>
    </w:lvl>
  </w:abstractNum>
  <w:abstractNum w:abstractNumId="10">
    <w:nsid w:val="109CF92E"/>
    <w:multiLevelType w:val="hybridMultilevel"/>
    <w:lvl w:ilvl="0">
      <w:lvlJc w:val="left"/>
      <w:lvlText w:val="**"/>
      <w:numFmt w:val="bullet"/>
      <w:start w:val="1"/>
    </w:lvl>
    <w:lvl w:ilvl="1">
      <w:lvlJc w:val="left"/>
      <w:lvlText w:val="%2"/>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2" Type="http://schemas.openxmlformats.org/officeDocument/2006/relationships/hyperlink" Target="http://www.sec.gov/Archives/edgar/data/1704720/000170472020000070/exhibit102-bkfpa.htm" TargetMode="External"/><Relationship Id="rId63" Type="http://schemas.openxmlformats.org/officeDocument/2006/relationships/hyperlink" Target="http://www.sec.gov/Archives/edgar/data/1704720/000110465920105811/tm203102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2020-11-09T11:50:15Z</dcterms:created>
  <dcterms:modified xsi:type="dcterms:W3CDTF">2020-11-09T11:50:15Z</dcterms:modified>
</cp:coreProperties>
</file>