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454660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411480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68" w:lineRule="exact"/>
        <w:rPr>
          <w:sz w:val="24"/>
          <w:szCs w:val="24"/>
          <w:color w:val="auto"/>
        </w:rPr>
      </w:pPr>
    </w:p>
    <w:p>
      <w:pPr>
        <w:ind w:left="3880" w:right="400" w:hanging="3487"/>
        <w:spacing w:after="0" w:line="407" w:lineRule="auto"/>
        <w:tabs>
          <w:tab w:leader="none" w:pos="169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4320" w:right="380" w:hanging="3927"/>
        <w:spacing w:after="0" w:line="368" w:lineRule="auto"/>
        <w:tabs>
          <w:tab w:leader="none" w:pos="170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1-38300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CANNAE HOLDINGS, INC.</w:t>
      </w:r>
    </w:p>
    <w:p>
      <w:pPr>
        <w:spacing w:after="0" w:line="45" w:lineRule="exact"/>
        <w:rPr>
          <w:sz w:val="24"/>
          <w:szCs w:val="24"/>
          <w:color w:val="auto"/>
        </w:rPr>
      </w:pPr>
    </w:p>
    <w:p>
      <w:pPr>
        <w:ind w:left="158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180" w:type="dxa"/>
        <w:tblCellMar>
          <w:top w:w="0" w:type="dxa"/>
          <w:left w:w="0" w:type="dxa"/>
          <w:bottom w:w="0" w:type="dxa"/>
          <w:right w:w="0" w:type="dxa"/>
        </w:tblCellMar>
      </w:tblPr>
      <w:tr>
        <w:trPr>
          <w:trHeight w:val="234"/>
        </w:trPr>
        <w:tc>
          <w:tcPr>
            <w:tcW w:w="4000" w:type="dxa"/>
            <w:vAlign w:val="bottom"/>
          </w:tcPr>
          <w:p>
            <w:pPr>
              <w:jc w:val="center"/>
              <w:ind w:left="910"/>
              <w:spacing w:after="0"/>
              <w:rPr>
                <w:sz w:val="20"/>
                <w:szCs w:val="20"/>
                <w:color w:val="auto"/>
              </w:rPr>
            </w:pPr>
            <w:r>
              <w:rPr>
                <w:rFonts w:ascii="Arial" w:cs="Arial" w:eastAsia="Arial" w:hAnsi="Arial"/>
                <w:sz w:val="18"/>
                <w:szCs w:val="18"/>
                <w:b w:val="1"/>
                <w:bCs w:val="1"/>
                <w:color w:val="auto"/>
                <w:w w:val="91"/>
              </w:rPr>
              <w:t>Delaware</w:t>
            </w:r>
          </w:p>
        </w:tc>
        <w:tc>
          <w:tcPr>
            <w:tcW w:w="780" w:type="dxa"/>
            <w:vAlign w:val="bottom"/>
          </w:tcPr>
          <w:p>
            <w:pPr>
              <w:spacing w:after="0"/>
              <w:rPr>
                <w:sz w:val="20"/>
                <w:szCs w:val="20"/>
                <w:color w:val="auto"/>
              </w:rPr>
            </w:pPr>
          </w:p>
        </w:tc>
        <w:tc>
          <w:tcPr>
            <w:tcW w:w="6100" w:type="dxa"/>
            <w:vAlign w:val="bottom"/>
            <w:gridSpan w:val="3"/>
          </w:tcPr>
          <w:p>
            <w:pPr>
              <w:jc w:val="right"/>
              <w:ind w:right="2050"/>
              <w:spacing w:after="0"/>
              <w:rPr>
                <w:sz w:val="20"/>
                <w:szCs w:val="20"/>
                <w:color w:val="auto"/>
              </w:rPr>
            </w:pPr>
            <w:r>
              <w:rPr>
                <w:rFonts w:ascii="Arial" w:cs="Arial" w:eastAsia="Arial" w:hAnsi="Arial"/>
                <w:sz w:val="18"/>
                <w:szCs w:val="18"/>
                <w:b w:val="1"/>
                <w:bCs w:val="1"/>
                <w:color w:val="auto"/>
              </w:rPr>
              <w:t>82-1273460</w:t>
            </w:r>
          </w:p>
        </w:tc>
      </w:tr>
      <w:tr>
        <w:trPr>
          <w:trHeight w:val="169"/>
        </w:trPr>
        <w:tc>
          <w:tcPr>
            <w:tcW w:w="4000" w:type="dxa"/>
            <w:vAlign w:val="bottom"/>
            <w:tcBorders>
              <w:top w:val="single" w:sz="8" w:color="auto"/>
            </w:tcBorders>
          </w:tcPr>
          <w:p>
            <w:pPr>
              <w:jc w:val="center"/>
              <w:ind w:left="910"/>
              <w:spacing w:after="0" w:line="169" w:lineRule="exact"/>
              <w:rPr>
                <w:sz w:val="20"/>
                <w:szCs w:val="20"/>
                <w:color w:val="auto"/>
              </w:rPr>
            </w:pPr>
            <w:r>
              <w:rPr>
                <w:rFonts w:ascii="Arial" w:cs="Arial" w:eastAsia="Arial" w:hAnsi="Arial"/>
                <w:sz w:val="18"/>
                <w:szCs w:val="18"/>
                <w:color w:val="auto"/>
                <w:w w:val="92"/>
              </w:rPr>
              <w:t>(State or other jurisdiction of</w:t>
            </w: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51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(I.R.S. Employer</w:t>
            </w:r>
          </w:p>
        </w:tc>
      </w:tr>
      <w:tr>
        <w:trPr>
          <w:trHeight w:val="230"/>
        </w:trPr>
        <w:tc>
          <w:tcPr>
            <w:tcW w:w="4000" w:type="dxa"/>
            <w:vAlign w:val="bottom"/>
          </w:tcPr>
          <w:p>
            <w:pPr>
              <w:jc w:val="center"/>
              <w:ind w:left="910"/>
              <w:spacing w:after="0"/>
              <w:rPr>
                <w:sz w:val="20"/>
                <w:szCs w:val="20"/>
                <w:color w:val="auto"/>
              </w:rPr>
            </w:pPr>
            <w:r>
              <w:rPr>
                <w:rFonts w:ascii="Arial" w:cs="Arial" w:eastAsia="Arial" w:hAnsi="Arial"/>
                <w:sz w:val="18"/>
                <w:szCs w:val="18"/>
                <w:color w:val="auto"/>
                <w:w w:val="92"/>
              </w:rPr>
              <w:t>incorporation or organization)</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58"/>
        </w:trPr>
        <w:tc>
          <w:tcPr>
            <w:tcW w:w="4000" w:type="dxa"/>
            <w:vAlign w:val="bottom"/>
          </w:tcPr>
          <w:p>
            <w:pPr>
              <w:ind w:left="580"/>
              <w:spacing w:after="0"/>
              <w:rPr>
                <w:sz w:val="20"/>
                <w:szCs w:val="20"/>
                <w:color w:val="auto"/>
              </w:rPr>
            </w:pPr>
            <w:r>
              <w:rPr>
                <w:rFonts w:ascii="Arial" w:cs="Arial" w:eastAsia="Arial" w:hAnsi="Arial"/>
                <w:sz w:val="18"/>
                <w:szCs w:val="18"/>
                <w:b w:val="1"/>
                <w:bCs w:val="1"/>
                <w:color w:val="auto"/>
              </w:rPr>
              <w:t>1701 Village Center Circle,  Las Vegas,</w:t>
            </w:r>
          </w:p>
        </w:tc>
        <w:tc>
          <w:tcPr>
            <w:tcW w:w="780" w:type="dxa"/>
            <w:vAlign w:val="bottom"/>
          </w:tcPr>
          <w:p>
            <w:pPr>
              <w:ind w:left="80"/>
              <w:spacing w:after="0"/>
              <w:rPr>
                <w:sz w:val="20"/>
                <w:szCs w:val="20"/>
                <w:color w:val="auto"/>
              </w:rPr>
            </w:pPr>
            <w:r>
              <w:rPr>
                <w:rFonts w:ascii="Arial" w:cs="Arial" w:eastAsia="Arial" w:hAnsi="Arial"/>
                <w:sz w:val="18"/>
                <w:szCs w:val="18"/>
                <w:b w:val="1"/>
                <w:bCs w:val="1"/>
                <w:color w:val="auto"/>
              </w:rPr>
              <w:t>Nevada</w:t>
            </w:r>
          </w:p>
        </w:tc>
        <w:tc>
          <w:tcPr>
            <w:tcW w:w="6100" w:type="dxa"/>
            <w:vAlign w:val="bottom"/>
            <w:gridSpan w:val="3"/>
          </w:tcPr>
          <w:p>
            <w:pPr>
              <w:jc w:val="right"/>
              <w:ind w:right="2250"/>
              <w:spacing w:after="0"/>
              <w:rPr>
                <w:sz w:val="20"/>
                <w:szCs w:val="20"/>
                <w:color w:val="auto"/>
              </w:rPr>
            </w:pPr>
            <w:r>
              <w:rPr>
                <w:rFonts w:ascii="Arial" w:cs="Arial" w:eastAsia="Arial" w:hAnsi="Arial"/>
                <w:sz w:val="18"/>
                <w:szCs w:val="18"/>
                <w:b w:val="1"/>
                <w:bCs w:val="1"/>
                <w:color w:val="auto"/>
              </w:rPr>
              <w:t>89134</w:t>
            </w:r>
          </w:p>
        </w:tc>
      </w:tr>
      <w:tr>
        <w:trPr>
          <w:trHeight w:val="224"/>
        </w:trPr>
        <w:tc>
          <w:tcPr>
            <w:tcW w:w="4000" w:type="dxa"/>
            <w:vAlign w:val="bottom"/>
            <w:tcBorders>
              <w:top w:val="single" w:sz="8" w:color="auto"/>
            </w:tcBorders>
          </w:tcPr>
          <w:p>
            <w:pPr>
              <w:jc w:val="center"/>
              <w:ind w:left="910"/>
              <w:spacing w:after="0"/>
              <w:rPr>
                <w:sz w:val="20"/>
                <w:szCs w:val="20"/>
                <w:color w:val="auto"/>
              </w:rPr>
            </w:pPr>
            <w:r>
              <w:rPr>
                <w:rFonts w:ascii="Arial" w:cs="Arial" w:eastAsia="Arial" w:hAnsi="Arial"/>
                <w:sz w:val="18"/>
                <w:szCs w:val="18"/>
                <w:color w:val="auto"/>
                <w:w w:val="92"/>
              </w:rPr>
              <w:t>(Address of principal executive offices)</w:t>
            </w: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296"/>
        </w:trPr>
        <w:tc>
          <w:tcPr>
            <w:tcW w:w="4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00" w:type="dxa"/>
            <w:vAlign w:val="bottom"/>
            <w:gridSpan w:val="3"/>
          </w:tcPr>
          <w:p>
            <w:pPr>
              <w:jc w:val="right"/>
              <w:ind w:right="4790"/>
              <w:spacing w:after="0"/>
              <w:rPr>
                <w:sz w:val="20"/>
                <w:szCs w:val="20"/>
                <w:color w:val="auto"/>
              </w:rPr>
            </w:pPr>
            <w:r>
              <w:rPr>
                <w:rFonts w:ascii="Arial" w:cs="Arial" w:eastAsia="Arial" w:hAnsi="Arial"/>
                <w:sz w:val="18"/>
                <w:szCs w:val="18"/>
                <w:b w:val="1"/>
                <w:bCs w:val="1"/>
                <w:color w:val="auto"/>
                <w:w w:val="97"/>
              </w:rPr>
              <w:t>(702) 323-7330</w:t>
            </w:r>
          </w:p>
        </w:tc>
      </w:tr>
    </w:tbl>
    <w:p>
      <w:pPr>
        <w:spacing w:after="0" w:line="17" w:lineRule="exact"/>
        <w:rPr>
          <w:sz w:val="24"/>
          <w:szCs w:val="24"/>
          <w:color w:val="auto"/>
        </w:rPr>
      </w:pPr>
    </w:p>
    <w:p>
      <w:pPr>
        <w:ind w:left="3820"/>
        <w:spacing w:after="0"/>
        <w:rPr>
          <w:sz w:val="20"/>
          <w:szCs w:val="20"/>
          <w:color w:val="auto"/>
        </w:rPr>
      </w:pPr>
      <w:r>
        <w:rPr>
          <w:rFonts w:ascii="Arial" w:cs="Arial" w:eastAsia="Arial" w:hAnsi="Arial"/>
          <w:sz w:val="11"/>
          <w:szCs w:val="11"/>
          <w:color w:val="auto"/>
        </w:rPr>
        <w:t>___________________________________________________________________</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0" w:lineRule="exact"/>
        <w:rPr>
          <w:sz w:val="24"/>
          <w:szCs w:val="24"/>
          <w:color w:val="auto"/>
        </w:rPr>
      </w:pPr>
    </w:p>
    <w:tbl>
      <w:tblPr>
        <w:tblLayout w:type="fixed"/>
        <w:tblInd w:w="58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2720" w:type="dxa"/>
            <w:vAlign w:val="bottom"/>
            <w:gridSpan w:val="2"/>
          </w:tcPr>
          <w:p>
            <w:pPr>
              <w:jc w:val="center"/>
              <w:ind w:right="1500"/>
              <w:spacing w:after="0"/>
              <w:rPr>
                <w:sz w:val="20"/>
                <w:szCs w:val="20"/>
                <w:color w:val="auto"/>
              </w:rPr>
            </w:pPr>
            <w:r>
              <w:rPr>
                <w:rFonts w:ascii="Arial" w:cs="Arial" w:eastAsia="Arial" w:hAnsi="Arial"/>
                <w:sz w:val="16"/>
                <w:szCs w:val="16"/>
                <w:color w:val="auto"/>
                <w:w w:val="91"/>
              </w:rPr>
              <w:t>Title of Each Class</w:t>
            </w:r>
          </w:p>
        </w:tc>
        <w:tc>
          <w:tcPr>
            <w:tcW w:w="2220" w:type="dxa"/>
            <w:vAlign w:val="bottom"/>
            <w:gridSpan w:val="3"/>
          </w:tcPr>
          <w:p>
            <w:pPr>
              <w:jc w:val="center"/>
              <w:ind w:right="240"/>
              <w:spacing w:after="0"/>
              <w:rPr>
                <w:sz w:val="20"/>
                <w:szCs w:val="20"/>
                <w:color w:val="auto"/>
              </w:rPr>
            </w:pPr>
            <w:r>
              <w:rPr>
                <w:rFonts w:ascii="Arial" w:cs="Arial" w:eastAsia="Arial" w:hAnsi="Arial"/>
                <w:sz w:val="16"/>
                <w:szCs w:val="16"/>
                <w:color w:val="auto"/>
                <w:w w:val="94"/>
              </w:rPr>
              <w:t>Trading Symbol</w:t>
            </w:r>
          </w:p>
        </w:tc>
        <w:tc>
          <w:tcPr>
            <w:tcW w:w="3700" w:type="dxa"/>
            <w:vAlign w:val="bottom"/>
            <w:gridSpan w:val="2"/>
          </w:tcPr>
          <w:p>
            <w:pPr>
              <w:jc w:val="center"/>
              <w:ind w:left="599"/>
              <w:spacing w:after="0"/>
              <w:rPr>
                <w:sz w:val="20"/>
                <w:szCs w:val="20"/>
                <w:color w:val="auto"/>
              </w:rPr>
            </w:pPr>
            <w:r>
              <w:rPr>
                <w:rFonts w:ascii="Arial" w:cs="Arial" w:eastAsia="Arial" w:hAnsi="Arial"/>
                <w:sz w:val="16"/>
                <w:szCs w:val="16"/>
                <w:color w:val="auto"/>
                <w:w w:val="91"/>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0"/>
        </w:trPr>
        <w:tc>
          <w:tcPr>
            <w:tcW w:w="37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Cannae Common Stock, $0.0001 par value</w:t>
            </w:r>
          </w:p>
        </w:tc>
        <w:tc>
          <w:tcPr>
            <w:tcW w:w="460" w:type="dxa"/>
            <w:vAlign w:val="bottom"/>
          </w:tcPr>
          <w:p>
            <w:pPr>
              <w:spacing w:after="0"/>
              <w:rPr>
                <w:sz w:val="21"/>
                <w:szCs w:val="21"/>
                <w:color w:val="auto"/>
              </w:rPr>
            </w:pPr>
          </w:p>
        </w:tc>
        <w:tc>
          <w:tcPr>
            <w:tcW w:w="176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7"/>
              </w:rPr>
              <w:t>CNNE</w:t>
            </w:r>
          </w:p>
        </w:tc>
        <w:tc>
          <w:tcPr>
            <w:tcW w:w="680" w:type="dxa"/>
            <w:vAlign w:val="bottom"/>
          </w:tcPr>
          <w:p>
            <w:pPr>
              <w:spacing w:after="0"/>
              <w:rPr>
                <w:sz w:val="21"/>
                <w:szCs w:val="21"/>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200" w:lineRule="exact"/>
        <w:rPr>
          <w:sz w:val="24"/>
          <w:szCs w:val="24"/>
          <w:color w:val="auto"/>
        </w:rPr>
      </w:pPr>
    </w:p>
    <w:p>
      <w:pPr>
        <w:spacing w:after="0" w:line="245"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85" w:lineRule="exact"/>
        <w:rPr>
          <w:sz w:val="24"/>
          <w:szCs w:val="24"/>
          <w:color w:val="auto"/>
        </w:rPr>
      </w:pPr>
    </w:p>
    <w:tbl>
      <w:tblPr>
        <w:tblLayout w:type="fixed"/>
        <w:tblInd w:w="780" w:type="dxa"/>
        <w:tblCellMar>
          <w:top w:w="0" w:type="dxa"/>
          <w:left w:w="0" w:type="dxa"/>
          <w:bottom w:w="0" w:type="dxa"/>
          <w:right w:w="0" w:type="dxa"/>
        </w:tblCellMar>
      </w:tblPr>
      <w:tr>
        <w:trPr>
          <w:trHeight w:val="207"/>
        </w:trPr>
        <w:tc>
          <w:tcPr>
            <w:tcW w:w="1500" w:type="dxa"/>
            <w:vAlign w:val="bottom"/>
          </w:tcPr>
          <w:p>
            <w:pPr>
              <w:ind w:left="560"/>
              <w:spacing w:after="0"/>
              <w:rPr>
                <w:sz w:val="20"/>
                <w:szCs w:val="20"/>
                <w:color w:val="auto"/>
              </w:rPr>
            </w:pPr>
            <w:r>
              <w:rPr>
                <w:rFonts w:ascii="Arial" w:cs="Arial" w:eastAsia="Arial" w:hAnsi="Arial"/>
                <w:sz w:val="18"/>
                <w:szCs w:val="18"/>
                <w:color w:val="auto"/>
              </w:rPr>
              <w:t>Large</w:t>
            </w:r>
          </w:p>
        </w:tc>
        <w:tc>
          <w:tcPr>
            <w:tcW w:w="64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1240" w:type="dxa"/>
            <w:vAlign w:val="bottom"/>
          </w:tcPr>
          <w:p>
            <w:pPr>
              <w:ind w:left="200"/>
              <w:spacing w:after="0"/>
              <w:rPr>
                <w:sz w:val="20"/>
                <w:szCs w:val="20"/>
                <w:color w:val="auto"/>
              </w:rPr>
            </w:pPr>
            <w:r>
              <w:rPr>
                <w:rFonts w:ascii="Arial" w:cs="Arial" w:eastAsia="Arial" w:hAnsi="Arial"/>
                <w:sz w:val="18"/>
                <w:szCs w:val="18"/>
                <w:color w:val="auto"/>
              </w:rPr>
              <w:t>Accelerated</w:t>
            </w:r>
          </w:p>
        </w:tc>
        <w:tc>
          <w:tcPr>
            <w:tcW w:w="1900" w:type="dxa"/>
            <w:vAlign w:val="bottom"/>
          </w:tcPr>
          <w:p>
            <w:pPr>
              <w:ind w:left="1060"/>
              <w:spacing w:after="0"/>
              <w:rPr>
                <w:sz w:val="20"/>
                <w:szCs w:val="20"/>
                <w:color w:val="auto"/>
              </w:rPr>
            </w:pPr>
            <w:r>
              <w:rPr>
                <w:rFonts w:ascii="Arial" w:cs="Arial" w:eastAsia="Arial" w:hAnsi="Arial"/>
                <w:sz w:val="18"/>
                <w:szCs w:val="18"/>
                <w:color w:val="auto"/>
              </w:rPr>
              <w:t>Non-</w:t>
            </w:r>
          </w:p>
        </w:tc>
        <w:tc>
          <w:tcPr>
            <w:tcW w:w="2080" w:type="dxa"/>
            <w:vAlign w:val="bottom"/>
          </w:tcPr>
          <w:p>
            <w:pPr>
              <w:ind w:left="1080"/>
              <w:spacing w:after="0"/>
              <w:rPr>
                <w:sz w:val="20"/>
                <w:szCs w:val="20"/>
                <w:color w:val="auto"/>
              </w:rPr>
            </w:pPr>
            <w:r>
              <w:rPr>
                <w:rFonts w:ascii="Arial" w:cs="Arial" w:eastAsia="Arial" w:hAnsi="Arial"/>
                <w:sz w:val="18"/>
                <w:szCs w:val="18"/>
                <w:color w:val="auto"/>
              </w:rPr>
              <w:t>Smaller</w:t>
            </w:r>
          </w:p>
        </w:tc>
        <w:tc>
          <w:tcPr>
            <w:tcW w:w="6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780" w:type="dxa"/>
            <w:vAlign w:val="bottom"/>
          </w:tcPr>
          <w:p>
            <w:pPr>
              <w:ind w:left="260"/>
              <w:spacing w:after="0"/>
              <w:rPr>
                <w:sz w:val="20"/>
                <w:szCs w:val="20"/>
                <w:color w:val="auto"/>
              </w:rPr>
            </w:pPr>
            <w:r>
              <w:rPr>
                <w:rFonts w:ascii="Arial" w:cs="Arial" w:eastAsia="Arial" w:hAnsi="Arial"/>
                <w:sz w:val="18"/>
                <w:szCs w:val="18"/>
                <w:color w:val="auto"/>
              </w:rPr>
              <w:t>Emerging growth</w:t>
            </w:r>
          </w:p>
        </w:tc>
        <w:tc>
          <w:tcPr>
            <w:tcW w:w="42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Arial" w:cs="Arial" w:eastAsia="Arial" w:hAnsi="Arial"/>
                <w:sz w:val="18"/>
                <w:szCs w:val="18"/>
                <w:color w:val="auto"/>
              </w:rPr>
              <w:t>Accelerated Filer</w:t>
            </w:r>
          </w:p>
        </w:tc>
        <w:tc>
          <w:tcPr>
            <w:tcW w:w="640" w:type="dxa"/>
            <w:vAlign w:val="bottom"/>
            <w:vMerge w:val="continue"/>
          </w:tcPr>
          <w:p>
            <w:pPr>
              <w:spacing w:after="0"/>
              <w:rPr>
                <w:sz w:val="24"/>
                <w:szCs w:val="24"/>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auto"/>
              </w:rPr>
              <w:t>filer</w:t>
            </w:r>
          </w:p>
        </w:tc>
        <w:tc>
          <w:tcPr>
            <w:tcW w:w="190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208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reporting company</w:t>
            </w:r>
          </w:p>
        </w:tc>
        <w:tc>
          <w:tcPr>
            <w:tcW w:w="640" w:type="dxa"/>
            <w:vAlign w:val="bottom"/>
            <w:vMerge w:val="continue"/>
          </w:tcPr>
          <w:p>
            <w:pPr>
              <w:spacing w:after="0"/>
              <w:rPr>
                <w:sz w:val="24"/>
                <w:szCs w:val="24"/>
                <w:color w:val="auto"/>
              </w:rPr>
            </w:pPr>
          </w:p>
        </w:tc>
        <w:tc>
          <w:tcPr>
            <w:tcW w:w="1780" w:type="dxa"/>
            <w:vAlign w:val="bottom"/>
          </w:tcPr>
          <w:p>
            <w:pPr>
              <w:ind w:left="400"/>
              <w:spacing w:after="0"/>
              <w:rPr>
                <w:sz w:val="20"/>
                <w:szCs w:val="20"/>
                <w:color w:val="auto"/>
              </w:rPr>
            </w:pPr>
            <w:r>
              <w:rPr>
                <w:rFonts w:ascii="Arial" w:cs="Arial" w:eastAsia="Arial" w:hAnsi="Arial"/>
                <w:sz w:val="18"/>
                <w:szCs w:val="18"/>
                <w:color w:val="auto"/>
              </w:rPr>
              <w:t>company</w:t>
            </w: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ind w:left="340" w:right="164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29, 2022 there were 80,140,436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690880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10040" w:type="dxa"/>
            <w:vAlign w:val="bottom"/>
            <w:gridSpan w:val="20"/>
          </w:tcPr>
          <w:p>
            <w:pPr>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984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Unaudited Condensed Consolidated Financial Statements</w:t>
              </w:r>
            </w:hyperlink>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A. Condensed Consolidated Balance Sheets as of </w:t>
              </w:r>
            </w:hyperlink>
            <w:r>
              <w:rPr>
                <w:rFonts w:ascii="Arial" w:cs="Arial" w:eastAsia="Arial" w:hAnsi="Arial"/>
                <w:sz w:val="18"/>
                <w:szCs w:val="18"/>
                <w:color w:val="0000FF"/>
              </w:rPr>
              <w:t xml:space="preserve">June </w:t>
            </w:r>
            <w:hyperlink w:anchor="page3">
              <w:r>
                <w:rPr>
                  <w:rFonts w:ascii="Arial" w:cs="Arial" w:eastAsia="Arial" w:hAnsi="Arial"/>
                  <w:sz w:val="18"/>
                  <w:szCs w:val="18"/>
                  <w:color w:val="0000FF"/>
                </w:rPr>
                <w:t>30, 2022 and December 31, 2021</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80" w:type="dxa"/>
            <w:vAlign w:val="bottom"/>
            <w:gridSpan w:val="1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B. Condensed Consolidated Statements of Operations for the three and six-month periods ended June 30, 2022 and 2021</w:t>
              </w:r>
            </w:hyperlink>
          </w:p>
        </w:tc>
        <w:tc>
          <w:tcPr>
            <w:tcW w:w="860" w:type="dxa"/>
            <w:vAlign w:val="bottom"/>
            <w:gridSpan w:val="2"/>
          </w:tcPr>
          <w:p>
            <w:pPr>
              <w:spacing w:after="0"/>
              <w:rPr>
                <w:sz w:val="18"/>
                <w:szCs w:val="18"/>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gridSpan w:val="18"/>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 Condensed Consolidated Statements of Comprehensive (Loss) Earnings for the three and six-month periods ended June 30, 2022</w:t>
              </w:r>
            </w:hyperlink>
          </w:p>
        </w:tc>
        <w:tc>
          <w:tcPr>
            <w:tcW w:w="1140" w:type="dxa"/>
            <w:vAlign w:val="bottom"/>
            <w:gridSpan w:val="4"/>
            <w:vMerge w:val="restart"/>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top w:val="single" w:sz="8" w:color="0000FF"/>
            </w:tcBorders>
            <w:gridSpan w:val="2"/>
          </w:tcPr>
          <w:p>
            <w:pPr>
              <w:spacing w:after="0" w:line="156" w:lineRule="exact"/>
              <w:rPr>
                <w:rFonts w:ascii="Arial" w:cs="Arial" w:eastAsia="Arial" w:hAnsi="Arial"/>
                <w:sz w:val="18"/>
                <w:szCs w:val="18"/>
                <w:color w:val="0000FF"/>
                <w:w w:val="85"/>
              </w:rPr>
            </w:pPr>
            <w:hyperlink w:anchor="page4">
              <w:r>
                <w:rPr>
                  <w:rFonts w:ascii="Arial" w:cs="Arial" w:eastAsia="Arial" w:hAnsi="Arial"/>
                  <w:sz w:val="18"/>
                  <w:szCs w:val="18"/>
                  <w:color w:val="0000FF"/>
                  <w:w w:val="85"/>
                </w:rPr>
                <w:t>and 2021</w:t>
              </w:r>
            </w:hyperlink>
          </w:p>
        </w:tc>
        <w:tc>
          <w:tcPr>
            <w:tcW w:w="884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80" w:type="dxa"/>
            <w:vAlign w:val="bottom"/>
            <w:gridSpan w:val="15"/>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D. Condensed Consolidated Statements of Equity for the three and six-month periods ended June 30, 2022 and 2021</w:t>
              </w:r>
            </w:hyperlink>
          </w:p>
        </w:tc>
        <w:tc>
          <w:tcPr>
            <w:tcW w:w="1160" w:type="dxa"/>
            <w:vAlign w:val="bottom"/>
            <w:gridSpan w:val="3"/>
          </w:tcPr>
          <w:p>
            <w:pPr>
              <w:spacing w:after="0"/>
              <w:rPr>
                <w:sz w:val="18"/>
                <w:szCs w:val="18"/>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80" w:type="dxa"/>
            <w:vAlign w:val="bottom"/>
            <w:gridSpan w:val="15"/>
          </w:tcPr>
          <w:p>
            <w:pPr>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 xml:space="preserve">E. Condensed Consolidated Statements of Cash Flows for the </w:t>
              </w:r>
            </w:hyperlink>
            <w:r>
              <w:rPr>
                <w:rFonts w:ascii="Arial" w:cs="Arial" w:eastAsia="Arial" w:hAnsi="Arial"/>
                <w:sz w:val="18"/>
                <w:szCs w:val="18"/>
                <w:color w:val="0000FF"/>
                <w:w w:val="93"/>
              </w:rPr>
              <w:t>six</w:t>
            </w:r>
            <w:hyperlink w:anchor="page7">
              <w:r>
                <w:rPr>
                  <w:rFonts w:ascii="Arial" w:cs="Arial" w:eastAsia="Arial" w:hAnsi="Arial"/>
                  <w:sz w:val="18"/>
                  <w:szCs w:val="18"/>
                  <w:color w:val="0000FF"/>
                  <w:w w:val="93"/>
                </w:rPr>
                <w:t>-month periods ended June 30, 2022 and 2021</w:t>
              </w:r>
            </w:hyperlink>
          </w:p>
        </w:tc>
        <w:tc>
          <w:tcPr>
            <w:tcW w:w="1160" w:type="dxa"/>
            <w:vAlign w:val="bottom"/>
            <w:gridSpan w:val="3"/>
          </w:tcPr>
          <w:p>
            <w:pPr>
              <w:spacing w:after="0"/>
              <w:rPr>
                <w:sz w:val="18"/>
                <w:szCs w:val="18"/>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0" w:type="dxa"/>
            <w:vAlign w:val="bottom"/>
            <w:gridSpan w:val="14"/>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F. Notes to Condensed Consolidated Financial Statements</w:t>
              </w:r>
            </w:hyperlink>
          </w:p>
        </w:tc>
        <w:tc>
          <w:tcPr>
            <w:tcW w:w="1540" w:type="dxa"/>
            <w:vAlign w:val="bottom"/>
            <w:gridSpan w:val="4"/>
          </w:tcPr>
          <w:p>
            <w:pPr>
              <w:spacing w:after="0"/>
              <w:rPr>
                <w:sz w:val="18"/>
                <w:szCs w:val="18"/>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7020" w:type="dxa"/>
            <w:vAlign w:val="bottom"/>
            <w:gridSpan w:val="14"/>
          </w:tcPr>
          <w:p>
            <w:pPr>
              <w:spacing w:after="0"/>
              <w:rPr>
                <w:rFonts w:ascii="Arial" w:cs="Arial" w:eastAsia="Arial" w:hAnsi="Arial"/>
                <w:sz w:val="18"/>
                <w:szCs w:val="18"/>
                <w:color w:val="0000FF"/>
                <w:w w:val="91"/>
              </w:rPr>
            </w:pPr>
            <w:hyperlink w:anchor="page25">
              <w:r>
                <w:rPr>
                  <w:rFonts w:ascii="Arial" w:cs="Arial" w:eastAsia="Arial" w:hAnsi="Arial"/>
                  <w:sz w:val="18"/>
                  <w:szCs w:val="18"/>
                  <w:color w:val="0000FF"/>
                  <w:w w:val="91"/>
                </w:rPr>
                <w:t>Item 2. Management’s Discussion and Analysis of Financial Condition and Results of Operations</w:t>
              </w:r>
            </w:hyperlink>
          </w:p>
        </w:tc>
        <w:tc>
          <w:tcPr>
            <w:tcW w:w="2820" w:type="dxa"/>
            <w:vAlign w:val="bottom"/>
            <w:gridSpan w:val="5"/>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24</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860" w:type="dxa"/>
            <w:vAlign w:val="bottom"/>
            <w:gridSpan w:val="11"/>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Item 3. Quantitative and Qualitative Disclosure About Market Risk</w:t>
              </w:r>
            </w:hyperlink>
          </w:p>
        </w:tc>
        <w:tc>
          <w:tcPr>
            <w:tcW w:w="2160" w:type="dxa"/>
            <w:vAlign w:val="bottom"/>
            <w:gridSpan w:val="3"/>
          </w:tcPr>
          <w:p>
            <w:pPr>
              <w:spacing w:after="0"/>
              <w:rPr>
                <w:sz w:val="18"/>
                <w:szCs w:val="18"/>
                <w:color w:val="auto"/>
              </w:rPr>
            </w:pPr>
          </w:p>
        </w:tc>
        <w:tc>
          <w:tcPr>
            <w:tcW w:w="2820" w:type="dxa"/>
            <w:vAlign w:val="bottom"/>
            <w:gridSpan w:val="5"/>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31</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3">
              <w:r>
                <w:rPr>
                  <w:rFonts w:ascii="Arial" w:cs="Arial" w:eastAsia="Arial" w:hAnsi="Arial"/>
                  <w:sz w:val="18"/>
                  <w:szCs w:val="18"/>
                  <w:color w:val="0000FF"/>
                  <w:w w:val="94"/>
                </w:rPr>
                <w:t>Item 4.</w:t>
              </w:r>
            </w:hyperlink>
          </w:p>
        </w:tc>
        <w:tc>
          <w:tcPr>
            <w:tcW w:w="1800" w:type="dxa"/>
            <w:vAlign w:val="bottom"/>
            <w:gridSpan w:val="5"/>
          </w:tcPr>
          <w:p>
            <w:pPr>
              <w:ind w:left="20"/>
              <w:spacing w:after="0"/>
              <w:rPr>
                <w:rFonts w:ascii="Arial" w:cs="Arial" w:eastAsia="Arial" w:hAnsi="Arial"/>
                <w:sz w:val="18"/>
                <w:szCs w:val="18"/>
                <w:color w:val="0000FF"/>
                <w:w w:val="88"/>
              </w:rPr>
            </w:pPr>
            <w:hyperlink w:anchor="page33">
              <w:r>
                <w:rPr>
                  <w:rFonts w:ascii="Arial" w:cs="Arial" w:eastAsia="Arial" w:hAnsi="Arial"/>
                  <w:sz w:val="18"/>
                  <w:szCs w:val="18"/>
                  <w:color w:val="0000FF"/>
                  <w:w w:val="88"/>
                </w:rPr>
                <w:t>Controls and Procedures</w:t>
              </w:r>
            </w:hyperlink>
          </w:p>
        </w:tc>
        <w:tc>
          <w:tcPr>
            <w:tcW w:w="2520" w:type="dxa"/>
            <w:vAlign w:val="bottom"/>
            <w:gridSpan w:val="4"/>
          </w:tcPr>
          <w:p>
            <w:pPr>
              <w:spacing w:after="0"/>
              <w:rPr>
                <w:sz w:val="18"/>
                <w:szCs w:val="18"/>
                <w:color w:val="auto"/>
              </w:rPr>
            </w:pPr>
          </w:p>
        </w:tc>
        <w:tc>
          <w:tcPr>
            <w:tcW w:w="4980" w:type="dxa"/>
            <w:vAlign w:val="bottom"/>
            <w:gridSpan w:val="8"/>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31</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40" w:type="dxa"/>
            <w:vAlign w:val="bottom"/>
            <w:tcBorders>
              <w:bottom w:val="single" w:sz="8" w:color="0000FF"/>
            </w:tcBorders>
            <w:gridSpan w:val="7"/>
          </w:tcPr>
          <w:p>
            <w:pPr>
              <w:spacing w:after="0"/>
              <w:rPr>
                <w:rFonts w:ascii="Arial" w:cs="Arial" w:eastAsia="Arial" w:hAnsi="Arial"/>
                <w:sz w:val="18"/>
                <w:szCs w:val="18"/>
                <w:color w:val="0000FF"/>
                <w:w w:val="95"/>
              </w:rPr>
            </w:pPr>
            <w:hyperlink w:anchor="page34">
              <w:r>
                <w:rPr>
                  <w:rFonts w:ascii="Arial" w:cs="Arial" w:eastAsia="Arial" w:hAnsi="Arial"/>
                  <w:sz w:val="18"/>
                  <w:szCs w:val="18"/>
                  <w:color w:val="0000FF"/>
                  <w:w w:val="95"/>
                </w:rPr>
                <w:t>Part II: OTHER INFORMATION</w:t>
              </w:r>
            </w:hyperlink>
          </w:p>
        </w:tc>
        <w:tc>
          <w:tcPr>
            <w:tcW w:w="7600" w:type="dxa"/>
            <w:vAlign w:val="bottom"/>
            <w:gridSpan w:val="13"/>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4">
              <w:r>
                <w:rPr>
                  <w:rFonts w:ascii="Arial" w:cs="Arial" w:eastAsia="Arial" w:hAnsi="Arial"/>
                  <w:sz w:val="18"/>
                  <w:szCs w:val="18"/>
                  <w:color w:val="0000FF"/>
                  <w:w w:val="94"/>
                </w:rPr>
                <w:t>Item 1.</w:t>
              </w:r>
            </w:hyperlink>
          </w:p>
        </w:tc>
        <w:tc>
          <w:tcPr>
            <w:tcW w:w="1360" w:type="dxa"/>
            <w:vAlign w:val="bottom"/>
            <w:gridSpan w:val="3"/>
          </w:tcPr>
          <w:p>
            <w:pPr>
              <w:ind w:left="20"/>
              <w:spacing w:after="0"/>
              <w:rPr>
                <w:rFonts w:ascii="Arial" w:cs="Arial" w:eastAsia="Arial" w:hAnsi="Arial"/>
                <w:sz w:val="18"/>
                <w:szCs w:val="18"/>
                <w:color w:val="0000FF"/>
                <w:w w:val="88"/>
              </w:rPr>
            </w:pPr>
            <w:hyperlink w:anchor="page34">
              <w:r>
                <w:rPr>
                  <w:rFonts w:ascii="Arial" w:cs="Arial" w:eastAsia="Arial" w:hAnsi="Arial"/>
                  <w:sz w:val="18"/>
                  <w:szCs w:val="18"/>
                  <w:color w:val="0000FF"/>
                  <w:w w:val="88"/>
                </w:rPr>
                <w:t>Legal Proceedings</w:t>
              </w:r>
            </w:hyperlink>
          </w:p>
        </w:tc>
        <w:tc>
          <w:tcPr>
            <w:tcW w:w="7940" w:type="dxa"/>
            <w:vAlign w:val="bottom"/>
            <w:gridSpan w:val="14"/>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32</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4">
              <w:r>
                <w:rPr>
                  <w:rFonts w:ascii="Arial" w:cs="Arial" w:eastAsia="Arial" w:hAnsi="Arial"/>
                  <w:sz w:val="18"/>
                  <w:szCs w:val="18"/>
                  <w:color w:val="0000FF"/>
                  <w:w w:val="94"/>
                </w:rPr>
                <w:t>Item 2.</w:t>
              </w:r>
            </w:hyperlink>
          </w:p>
        </w:tc>
        <w:tc>
          <w:tcPr>
            <w:tcW w:w="4380" w:type="dxa"/>
            <w:vAlign w:val="bottom"/>
            <w:gridSpan w:val="10"/>
          </w:tcPr>
          <w:p>
            <w:pPr>
              <w:ind w:left="2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Unregistered Sales of Equity Securities and Use of Proceeds</w:t>
              </w:r>
            </w:hyperlink>
          </w:p>
        </w:tc>
        <w:tc>
          <w:tcPr>
            <w:tcW w:w="4920" w:type="dxa"/>
            <w:vAlign w:val="bottom"/>
            <w:gridSpan w:val="7"/>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32</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4">
              <w:r>
                <w:rPr>
                  <w:rFonts w:ascii="Arial" w:cs="Arial" w:eastAsia="Arial" w:hAnsi="Arial"/>
                  <w:sz w:val="18"/>
                  <w:szCs w:val="18"/>
                  <w:color w:val="0000FF"/>
                  <w:w w:val="94"/>
                </w:rPr>
                <w:t>Item 6.</w:t>
              </w:r>
            </w:hyperlink>
          </w:p>
        </w:tc>
        <w:tc>
          <w:tcPr>
            <w:tcW w:w="4380" w:type="dxa"/>
            <w:vAlign w:val="bottom"/>
            <w:gridSpan w:val="10"/>
          </w:tcPr>
          <w:p>
            <w:pPr>
              <w:ind w:left="20"/>
              <w:spacing w:after="0"/>
              <w:rPr>
                <w:rFonts w:ascii="Arial" w:cs="Arial" w:eastAsia="Arial" w:hAnsi="Arial"/>
                <w:sz w:val="18"/>
                <w:szCs w:val="18"/>
                <w:color w:val="0000FF"/>
              </w:rPr>
            </w:pPr>
            <w:hyperlink w:anchor="page34">
              <w:r>
                <w:rPr>
                  <w:rFonts w:ascii="Arial" w:cs="Arial" w:eastAsia="Arial" w:hAnsi="Arial"/>
                  <w:sz w:val="18"/>
                  <w:szCs w:val="18"/>
                  <w:color w:val="0000FF"/>
                </w:rPr>
                <w:t>Exhibits</w:t>
              </w:r>
            </w:hyperlink>
          </w:p>
        </w:tc>
        <w:tc>
          <w:tcPr>
            <w:tcW w:w="4920" w:type="dxa"/>
            <w:vAlign w:val="bottom"/>
            <w:gridSpan w:val="7"/>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33</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91"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40" w:type="dxa"/>
            <w:vAlign w:val="bottom"/>
          </w:tcPr>
          <w:p>
            <w:pPr>
              <w:jc w:val="right"/>
              <w:ind w:right="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8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0"/>
        </w:trPr>
        <w:tc>
          <w:tcPr>
            <w:tcW w:w="8820" w:type="dxa"/>
            <w:vAlign w:val="bottom"/>
            <w:shd w:val="clear" w:color="auto" w:fill="CCEEFF"/>
          </w:tcPr>
          <w:p>
            <w:pPr>
              <w:jc w:val="center"/>
              <w:ind w:left="2359"/>
              <w:spacing w:after="0"/>
              <w:rPr>
                <w:sz w:val="20"/>
                <w:szCs w:val="20"/>
                <w:color w:val="auto"/>
              </w:rPr>
            </w:pPr>
            <w:r>
              <w:rPr>
                <w:rFonts w:ascii="Arial" w:cs="Arial" w:eastAsia="Arial" w:hAnsi="Arial"/>
                <w:sz w:val="14"/>
                <w:szCs w:val="14"/>
                <w:b w:val="1"/>
                <w:bCs w:val="1"/>
                <w:color w:val="auto"/>
                <w:w w:val="96"/>
              </w:rPr>
              <w:t>ASSETS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213"/>
        </w:trPr>
        <w:tc>
          <w:tcPr>
            <w:tcW w:w="8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2,261.3</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 at fair value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1,045.1</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Lease assets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172.0</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Deferred tax asset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 term investments and 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0" w:type="dxa"/>
            <w:vAlign w:val="bottom"/>
          </w:tcPr>
          <w:p>
            <w:pPr>
              <w:spacing w:after="0"/>
              <w:rPr>
                <w:sz w:val="1"/>
                <w:szCs w:val="1"/>
                <w:color w:val="auto"/>
              </w:rPr>
            </w:pPr>
          </w:p>
        </w:tc>
      </w:tr>
      <w:tr>
        <w:trPr>
          <w:trHeight w:val="213"/>
        </w:trPr>
        <w:tc>
          <w:tcPr>
            <w:tcW w:w="8820" w:type="dxa"/>
            <w:vAlign w:val="bottom"/>
          </w:tcPr>
          <w:p>
            <w:pPr>
              <w:ind w:left="56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3,188.1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3,889.6</w:t>
            </w:r>
          </w:p>
        </w:tc>
        <w:tc>
          <w:tcPr>
            <w:tcW w:w="0" w:type="dxa"/>
            <w:vAlign w:val="bottom"/>
          </w:tcPr>
          <w:p>
            <w:pPr>
              <w:spacing w:after="0"/>
              <w:rPr>
                <w:sz w:val="1"/>
                <w:szCs w:val="1"/>
                <w:color w:val="auto"/>
              </w:rPr>
            </w:pPr>
          </w:p>
        </w:tc>
      </w:tr>
      <w:tr>
        <w:trPr>
          <w:trHeight w:val="20"/>
        </w:trPr>
        <w:tc>
          <w:tcPr>
            <w:tcW w:w="8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20" w:type="dxa"/>
            <w:vAlign w:val="bottom"/>
            <w:shd w:val="clear" w:color="auto" w:fill="CCEEFF"/>
          </w:tcPr>
          <w:p>
            <w:pPr>
              <w:jc w:val="center"/>
              <w:ind w:left="2339"/>
              <w:spacing w:after="0" w:line="156" w:lineRule="exact"/>
              <w:rPr>
                <w:sz w:val="20"/>
                <w:szCs w:val="20"/>
                <w:color w:val="auto"/>
              </w:rPr>
            </w:pPr>
            <w:r>
              <w:rPr>
                <w:rFonts w:ascii="Arial" w:cs="Arial" w:eastAsia="Arial" w:hAnsi="Arial"/>
                <w:sz w:val="14"/>
                <w:szCs w:val="14"/>
                <w:b w:val="1"/>
                <w:bCs w:val="1"/>
                <w:color w:val="auto"/>
              </w:rPr>
              <w:t>LIABILITIES AND EQUITY</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and other accrued liabilities, current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liabilities, current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payable, current</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7"/>
        </w:trPr>
        <w:tc>
          <w:tcPr>
            <w:tcW w:w="882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 long term</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Notes payable, long term</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13"/>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Accounts payable and other accrued liabilities, long term</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548.5</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Commitments and contingencies - see Note F</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820" w:type="dxa"/>
            <w:vAlign w:val="bottom"/>
          </w:tcPr>
          <w:p>
            <w:pPr>
              <w:ind w:left="140"/>
              <w:spacing w:after="0" w:line="166" w:lineRule="exact"/>
              <w:rPr>
                <w:sz w:val="20"/>
                <w:szCs w:val="20"/>
                <w:color w:val="auto"/>
              </w:rPr>
            </w:pPr>
            <w:r>
              <w:rPr>
                <w:rFonts w:ascii="Arial" w:cs="Arial" w:eastAsia="Arial" w:hAnsi="Arial"/>
                <w:sz w:val="16"/>
                <w:szCs w:val="16"/>
                <w:color w:val="auto"/>
                <w:w w:val="90"/>
              </w:rPr>
              <w:t>Cannae common stock, 0.0001 par value; authorized 115,000,000 shares as of June 30, 2022 and December 31, 2021; outstanding of</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tcPr>
          <w:p>
            <w:pPr>
              <w:ind w:left="140"/>
              <w:spacing w:after="0" w:line="162" w:lineRule="exact"/>
              <w:rPr>
                <w:sz w:val="20"/>
                <w:szCs w:val="20"/>
                <w:color w:val="auto"/>
              </w:rPr>
            </w:pPr>
            <w:r>
              <w:rPr>
                <w:rFonts w:ascii="Arial" w:cs="Arial" w:eastAsia="Arial" w:hAnsi="Arial"/>
                <w:sz w:val="16"/>
                <w:szCs w:val="16"/>
                <w:color w:val="auto"/>
                <w:w w:val="98"/>
              </w:rPr>
              <w:t>80,140,436 and 86,886,034 shares as of June 30, 2022 and December 31, 2021, respectively, and issued of 92,490,514 and</w:t>
            </w:r>
          </w:p>
        </w:tc>
        <w:tc>
          <w:tcPr>
            <w:tcW w:w="2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820" w:type="dxa"/>
            <w:vAlign w:val="bottom"/>
          </w:tcPr>
          <w:p>
            <w:pPr>
              <w:ind w:left="140"/>
              <w:spacing w:after="0"/>
              <w:rPr>
                <w:sz w:val="20"/>
                <w:szCs w:val="20"/>
                <w:color w:val="auto"/>
              </w:rPr>
            </w:pPr>
            <w:r>
              <w:rPr>
                <w:rFonts w:ascii="Arial" w:cs="Arial" w:eastAsia="Arial" w:hAnsi="Arial"/>
                <w:sz w:val="16"/>
                <w:szCs w:val="16"/>
                <w:color w:val="auto"/>
              </w:rPr>
              <w:t>92,460,514 shares as of June 30, 2022 and December 31, 2021, respectively</w:t>
            </w:r>
          </w:p>
        </w:tc>
        <w:tc>
          <w:tcPr>
            <w:tcW w:w="2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8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0"/>
              </w:rPr>
              <w:t>Preferred stock, 0.0001 par value; authorized 10,000,000 shares; issued and outstanding, none as of June 30, 2022 and December 31,</w:t>
            </w:r>
          </w:p>
        </w:tc>
        <w:tc>
          <w:tcPr>
            <w:tcW w:w="2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2021</w:t>
            </w:r>
          </w:p>
        </w:tc>
        <w:tc>
          <w:tcPr>
            <w:tcW w:w="2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1,642.8</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1,888.3</w:t>
            </w: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Arial" w:cs="Arial" w:eastAsia="Arial" w:hAnsi="Arial"/>
                <w:sz w:val="16"/>
                <w:szCs w:val="16"/>
                <w:color w:val="auto"/>
                <w:w w:val="99"/>
              </w:rPr>
              <w:t>Less: Treasury stock, 12,350,078 and 5,574,480 shares as of June 30, 2022 and December 31, 2021, respectively, at cost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7"/>
        </w:trPr>
        <w:tc>
          <w:tcPr>
            <w:tcW w:w="8820" w:type="dxa"/>
            <w:vAlign w:val="bottom"/>
          </w:tcPr>
          <w:p>
            <w:pPr>
              <w:ind w:left="360"/>
              <w:spacing w:after="0"/>
              <w:rPr>
                <w:sz w:val="20"/>
                <w:szCs w:val="20"/>
                <w:color w:val="auto"/>
              </w:rPr>
            </w:pPr>
            <w:r>
              <w:rPr>
                <w:rFonts w:ascii="Arial" w:cs="Arial" w:eastAsia="Arial" w:hAnsi="Arial"/>
                <w:sz w:val="16"/>
                <w:szCs w:val="16"/>
                <w:color w:val="auto"/>
              </w:rPr>
              <w:t>Total Cannae shareholders' equity</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2,703.4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3,335.3</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2,706.1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3,341.1</w:t>
            </w:r>
          </w:p>
        </w:tc>
        <w:tc>
          <w:tcPr>
            <w:tcW w:w="0" w:type="dxa"/>
            <w:vAlign w:val="bottom"/>
          </w:tcPr>
          <w:p>
            <w:pPr>
              <w:spacing w:after="0"/>
              <w:rPr>
                <w:sz w:val="1"/>
                <w:szCs w:val="1"/>
                <w:color w:val="auto"/>
              </w:rPr>
            </w:pPr>
          </w:p>
        </w:tc>
      </w:tr>
      <w:tr>
        <w:trPr>
          <w:trHeight w:val="238"/>
        </w:trPr>
        <w:tc>
          <w:tcPr>
            <w:tcW w:w="8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liabilities and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3,188.1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3,889.6</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bottom w:val="single" w:sz="8" w:color="CCEEFF"/>
            </w:tcBorders>
            <w:vMerge w:val="restart"/>
          </w:tcPr>
          <w:p>
            <w:pPr>
              <w:jc w:val="center"/>
              <w:ind w:left="2339"/>
              <w:spacing w:after="0"/>
              <w:rPr>
                <w:sz w:val="20"/>
                <w:szCs w:val="20"/>
                <w:color w:val="auto"/>
              </w:rPr>
            </w:pPr>
            <w:r>
              <w:rPr>
                <w:rFonts w:ascii="Arial" w:cs="Arial" w:eastAsia="Arial" w:hAnsi="Arial"/>
                <w:sz w:val="16"/>
                <w:szCs w:val="16"/>
                <w:color w:val="auto"/>
                <w:w w:val="90"/>
              </w:rPr>
              <w:t>See Notes to Condensed Consolidated Financial Statements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82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p>
      <w:pPr>
        <w:jc w:val="center"/>
        <w:ind w:left="694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38100</wp:posOffset>
            </wp:positionV>
            <wp:extent cx="1388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45" w:lineRule="exact"/>
        <w:rPr>
          <w:sz w:val="20"/>
          <w:szCs w:val="20"/>
          <w:color w:val="auto"/>
        </w:rPr>
      </w:pPr>
    </w:p>
    <w:p>
      <w:pPr>
        <w:ind w:left="7140"/>
        <w:spacing w:after="0"/>
        <w:tabs>
          <w:tab w:leader="none" w:pos="82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1388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28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38100</wp:posOffset>
            </wp:positionV>
            <wp:extent cx="1397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45" w:lineRule="exact"/>
        <w:rPr>
          <w:sz w:val="20"/>
          <w:szCs w:val="20"/>
          <w:color w:val="auto"/>
        </w:rPr>
      </w:pPr>
    </w:p>
    <w:p>
      <w:pPr>
        <w:ind w:left="100"/>
        <w:spacing w:after="0"/>
        <w:tabs>
          <w:tab w:leader="none" w:pos="12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23495</wp:posOffset>
            </wp:positionV>
            <wp:extent cx="1397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32" w:lineRule="exact"/>
        <w:rPr>
          <w:sz w:val="20"/>
          <w:szCs w:val="20"/>
          <w:color w:val="auto"/>
        </w:rPr>
      </w:pPr>
    </w:p>
    <w:p>
      <w:pPr>
        <w:sectPr>
          <w:pgSz w:w="11900" w:h="16838" w:orient="portrait"/>
          <w:cols w:equalWidth="0" w:num="2">
            <w:col w:w="8760" w:space="560"/>
            <w:col w:w="19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166.7</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189.9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328.8</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357.2</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7"/>
        </w:trPr>
        <w:tc>
          <w:tcPr>
            <w:tcW w:w="6760" w:type="dxa"/>
            <w:vAlign w:val="bottom"/>
          </w:tcPr>
          <w:p>
            <w:pPr>
              <w:ind w:left="480"/>
              <w:spacing w:after="0"/>
              <w:rPr>
                <w:sz w:val="20"/>
                <w:szCs w:val="20"/>
                <w:color w:val="auto"/>
              </w:rPr>
            </w:pPr>
            <w:r>
              <w:rPr>
                <w:rFonts w:ascii="Arial" w:cs="Arial" w:eastAsia="Arial" w:hAnsi="Arial"/>
                <w:sz w:val="16"/>
                <w:szCs w:val="16"/>
                <w:color w:val="auto"/>
              </w:rPr>
              <w:t>Total operating revenues</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174.5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341.9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374.3</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308.0</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13"/>
        </w:trPr>
        <w:tc>
          <w:tcPr>
            <w:tcW w:w="67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07"/>
        </w:trPr>
        <w:tc>
          <w:tcPr>
            <w:tcW w:w="67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446.5</w:t>
            </w:r>
          </w:p>
        </w:tc>
        <w:tc>
          <w:tcPr>
            <w:tcW w:w="0" w:type="dxa"/>
            <w:vAlign w:val="bottom"/>
          </w:tcPr>
          <w:p>
            <w:pPr>
              <w:spacing w:after="0"/>
              <w:rPr>
                <w:sz w:val="1"/>
                <w:szCs w:val="1"/>
                <w:color w:val="auto"/>
              </w:rPr>
            </w:pPr>
          </w:p>
        </w:tc>
      </w:tr>
      <w:tr>
        <w:trPr>
          <w:trHeight w:val="213"/>
        </w:trPr>
        <w:tc>
          <w:tcPr>
            <w:tcW w:w="6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Operating loss</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193"/>
        </w:trPr>
        <w:tc>
          <w:tcPr>
            <w:tcW w:w="676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investment and other income</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67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Recognized (losses) gains, net</w:t>
            </w: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07"/>
        </w:trPr>
        <w:tc>
          <w:tcPr>
            <w:tcW w:w="67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(expense) income</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(463.7)</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before income taxes and equity in earnings of unconsolidated affiliates</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expense</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before equity in (losses) earnings of unconsolidated affiliates</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(losses) earnings of unconsolidated affiliates</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earnings</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(loss) earnings attributable to noncontrolling interests</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1"/>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earnings attributable to Cannae Holdings, Inc. common shareholders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(263.3)</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Basic</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6"/>
                <w:szCs w:val="16"/>
                <w:color w:val="auto"/>
              </w:rPr>
              <w:t>Net (loss) earnings per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Diluted</w:t>
            </w: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6"/>
                <w:szCs w:val="16"/>
                <w:color w:val="auto"/>
              </w:rPr>
              <w:t>Net (loss) earnings per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Weighted Average Shares Outstanding</w:t>
            </w: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6"/>
                <w:szCs w:val="16"/>
                <w:color w:val="auto"/>
              </w:rPr>
              <w:t>Weighted average shares outstanding Cannae Holdings common stock, basic basis</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Cannae Holdings common stock, diluted basis</w:t>
            </w:r>
          </w:p>
        </w:tc>
        <w:tc>
          <w:tcPr>
            <w:tcW w:w="3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1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6"/>
              </w:rPr>
              <w:t>Six months ended June 30,</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earnings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4"/>
              </w:rPr>
              <w:t>Unrealized gain on investments and other financial instruments, net (excluding investments in</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unconsolidated affiliates) (1)</w:t>
            </w: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220"/>
              <w:spacing w:after="0"/>
              <w:rPr>
                <w:sz w:val="20"/>
                <w:szCs w:val="20"/>
                <w:color w:val="auto"/>
              </w:rPr>
            </w:pPr>
            <w:r>
              <w:rPr>
                <w:rFonts w:ascii="Arial" w:cs="Arial" w:eastAsia="Arial" w:hAnsi="Arial"/>
                <w:sz w:val="16"/>
                <w:szCs w:val="16"/>
                <w:color w:val="auto"/>
              </w:rPr>
              <w:t>Unrealized (losses) gains of investments in unconsolidated affiliates (2)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69"/>
        </w:trPr>
        <w:tc>
          <w:tcPr>
            <w:tcW w:w="64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2"/>
              </w:rPr>
              <w:t>Reclassification adjustments for unrealized gains and losses on investments and other financial</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w w:val="98"/>
              </w:rPr>
              <w:t>instruments, net of tax, (excluding investments in unconsolidated affiliates) included in net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earnings (3)</w:t>
            </w: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480" w:type="dxa"/>
            <w:vAlign w:val="bottom"/>
          </w:tcPr>
          <w:p>
            <w:pPr>
              <w:ind w:left="220"/>
              <w:spacing w:after="0" w:line="166" w:lineRule="exact"/>
              <w:rPr>
                <w:sz w:val="20"/>
                <w:szCs w:val="20"/>
                <w:color w:val="auto"/>
              </w:rPr>
            </w:pPr>
            <w:r>
              <w:rPr>
                <w:rFonts w:ascii="Arial" w:cs="Arial" w:eastAsia="Arial" w:hAnsi="Arial"/>
                <w:sz w:val="16"/>
                <w:szCs w:val="16"/>
                <w:color w:val="auto"/>
                <w:w w:val="93"/>
              </w:rPr>
              <w:t>Reclassification adjustments for unrealized gains and losses of unconsolidated affiliates, net of</w:t>
            </w:r>
          </w:p>
        </w:tc>
        <w:tc>
          <w:tcPr>
            <w:tcW w:w="18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9"/>
        </w:trPr>
        <w:tc>
          <w:tcPr>
            <w:tcW w:w="6480" w:type="dxa"/>
            <w:vAlign w:val="bottom"/>
          </w:tcPr>
          <w:p>
            <w:pPr>
              <w:ind w:left="220"/>
              <w:spacing w:after="0"/>
              <w:rPr>
                <w:sz w:val="20"/>
                <w:szCs w:val="20"/>
                <w:color w:val="auto"/>
              </w:rPr>
            </w:pPr>
            <w:r>
              <w:rPr>
                <w:rFonts w:ascii="Arial" w:cs="Arial" w:eastAsia="Arial" w:hAnsi="Arial"/>
                <w:sz w:val="16"/>
                <w:szCs w:val="16"/>
                <w:color w:val="auto"/>
              </w:rPr>
              <w:t>tax, included in net earnings (4)</w:t>
            </w: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7"/>
        </w:trPr>
        <w:tc>
          <w:tcPr>
            <w:tcW w:w="6480" w:type="dxa"/>
            <w:vAlign w:val="bottom"/>
          </w:tcPr>
          <w:p>
            <w:pPr>
              <w:ind w:left="20"/>
              <w:spacing w:after="0"/>
              <w:rPr>
                <w:sz w:val="20"/>
                <w:szCs w:val="20"/>
                <w:color w:val="auto"/>
              </w:rPr>
            </w:pPr>
            <w:r>
              <w:rPr>
                <w:rFonts w:ascii="Arial" w:cs="Arial" w:eastAsia="Arial" w:hAnsi="Arial"/>
                <w:sz w:val="16"/>
                <w:szCs w:val="16"/>
                <w:color w:val="auto"/>
              </w:rPr>
              <w:t>Comprehensive (loss) earnings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(271.0)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Comprehensive (loss) earnings attributable to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w w:val="99"/>
              </w:rPr>
              <w:t>Comprehensive (loss) earnings attributable to Cannae Holdings, Inc. common shareholders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(269.7)</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68"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income tax expense of $0.1 million for the six months ended June 30, 2021.</w:t>
      </w:r>
    </w:p>
    <w:p>
      <w:pPr>
        <w:spacing w:after="0" w:line="167"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income tax (benefit) expense of $(1.7) million and $0.5 million for the three months ended June 30, 2022 and 2021, respectively, and $(2.0) million and $(0.7) million for the six months ended June 30, 2022 and 2021, respectively.</w:t>
      </w:r>
    </w:p>
    <w:p>
      <w:pPr>
        <w:spacing w:after="0" w:line="118" w:lineRule="exact"/>
        <w:rPr>
          <w:rFonts w:ascii="Arial" w:cs="Arial" w:eastAsia="Arial" w:hAnsi="Arial"/>
          <w:sz w:val="16"/>
          <w:szCs w:val="16"/>
          <w:color w:val="auto"/>
        </w:rPr>
      </w:pPr>
    </w:p>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income tax benefit of $2.9 million for the three and six months ended June 30, 2021.</w:t>
      </w:r>
    </w:p>
    <w:p>
      <w:pPr>
        <w:spacing w:after="0" w:line="167" w:lineRule="exact"/>
        <w:rPr>
          <w:rFonts w:ascii="Arial" w:cs="Arial" w:eastAsia="Arial" w:hAnsi="Arial"/>
          <w:sz w:val="16"/>
          <w:szCs w:val="16"/>
          <w:color w:val="auto"/>
        </w:rPr>
      </w:pPr>
    </w:p>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income tax expense of $0.5 million and $0.6 million for the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1200" w:type="dxa"/>
            <w:vAlign w:val="bottom"/>
            <w:gridSpan w:val="5"/>
          </w:tcPr>
          <w:p>
            <w:pPr>
              <w:ind w:left="1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Accumulated</w:t>
            </w:r>
          </w:p>
        </w:tc>
        <w:tc>
          <w:tcPr>
            <w:tcW w:w="1520" w:type="dxa"/>
            <w:vAlign w:val="bottom"/>
            <w:gridSpan w:val="5"/>
          </w:tcPr>
          <w:p>
            <w:pPr>
              <w:ind w:left="30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0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180"/>
              <w:spacing w:after="0" w:line="61" w:lineRule="exact"/>
              <w:rPr>
                <w:sz w:val="20"/>
                <w:szCs w:val="20"/>
                <w:color w:val="auto"/>
              </w:rPr>
            </w:pPr>
            <w:r>
              <w:rPr>
                <w:rFonts w:ascii="Arial" w:cs="Arial" w:eastAsia="Arial" w:hAnsi="Arial"/>
                <w:sz w:val="7"/>
                <w:szCs w:val="7"/>
                <w:b w:val="1"/>
                <w:bCs w:val="1"/>
                <w:color w:val="auto"/>
              </w:rPr>
              <w:t>Additional</w:t>
            </w:r>
          </w:p>
        </w:tc>
        <w:tc>
          <w:tcPr>
            <w:tcW w:w="120" w:type="dxa"/>
            <w:vAlign w:val="bottom"/>
          </w:tcPr>
          <w:p>
            <w:pPr>
              <w:spacing w:after="0"/>
              <w:rPr>
                <w:sz w:val="5"/>
                <w:szCs w:val="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5"/>
                <w:szCs w:val="5"/>
                <w:color w:val="auto"/>
              </w:rPr>
            </w:pPr>
          </w:p>
        </w:tc>
        <w:tc>
          <w:tcPr>
            <w:tcW w:w="88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Other Comp</w:t>
            </w: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Non-</w:t>
            </w:r>
          </w:p>
        </w:tc>
        <w:tc>
          <w:tcPr>
            <w:tcW w:w="160" w:type="dxa"/>
            <w:vAlign w:val="bottom"/>
          </w:tcPr>
          <w:p>
            <w:pPr>
              <w:spacing w:after="0"/>
              <w:rPr>
                <w:sz w:val="5"/>
                <w:szCs w:val="5"/>
                <w:color w:val="auto"/>
              </w:rPr>
            </w:pPr>
          </w:p>
        </w:tc>
        <w:tc>
          <w:tcPr>
            <w:tcW w:w="66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0"/>
                <w:szCs w:val="10"/>
                <w:color w:val="auto"/>
              </w:rPr>
            </w:pPr>
          </w:p>
        </w:tc>
        <w:tc>
          <w:tcPr>
            <w:tcW w:w="3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7"/>
              </w:rPr>
              <w:t>(Loss)</w:t>
            </w:r>
          </w:p>
        </w:tc>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5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Earnings</w:t>
            </w: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Interests</w:t>
            </w:r>
          </w:p>
        </w:tc>
        <w:tc>
          <w:tcPr>
            <w:tcW w:w="160" w:type="dxa"/>
            <w:vAlign w:val="bottom"/>
          </w:tcPr>
          <w:p>
            <w:pPr>
              <w:spacing w:after="0"/>
              <w:rPr>
                <w:sz w:val="14"/>
                <w:szCs w:val="14"/>
                <w:color w:val="auto"/>
              </w:rPr>
            </w:pPr>
          </w:p>
        </w:tc>
        <w:tc>
          <w:tcPr>
            <w:tcW w:w="660" w:type="dxa"/>
            <w:vAlign w:val="bottom"/>
          </w:tcPr>
          <w:p>
            <w:pPr>
              <w:jc w:val="right"/>
              <w:ind w:right="14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March 31, 2021</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3,550.3</w:t>
            </w:r>
          </w:p>
        </w:tc>
        <w:tc>
          <w:tcPr>
            <w:tcW w:w="0" w:type="dxa"/>
            <w:vAlign w:val="bottom"/>
          </w:tcPr>
          <w:p>
            <w:pPr>
              <w:spacing w:after="0"/>
              <w:rPr>
                <w:sz w:val="1"/>
                <w:szCs w:val="1"/>
                <w:color w:val="auto"/>
              </w:rPr>
            </w:pPr>
          </w:p>
        </w:tc>
      </w:tr>
      <w:tr>
        <w:trPr>
          <w:trHeight w:val="122"/>
        </w:trPr>
        <w:tc>
          <w:tcPr>
            <w:tcW w:w="4020" w:type="dxa"/>
            <w:vAlign w:val="bottom"/>
          </w:tcPr>
          <w:p>
            <w:pPr>
              <w:ind w:left="140"/>
              <w:spacing w:after="0" w:line="122" w:lineRule="exact"/>
              <w:rPr>
                <w:sz w:val="20"/>
                <w:szCs w:val="20"/>
                <w:color w:val="auto"/>
              </w:rPr>
            </w:pPr>
            <w:r>
              <w:rPr>
                <w:rFonts w:ascii="Arial" w:cs="Arial" w:eastAsia="Arial" w:hAnsi="Arial"/>
                <w:sz w:val="13"/>
                <w:szCs w:val="13"/>
                <w:color w:val="auto"/>
                <w:w w:val="96"/>
              </w:rPr>
              <w:t>Other comprehensive earnings — unrealized losses of investments in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9"/>
        </w:trPr>
        <w:tc>
          <w:tcPr>
            <w:tcW w:w="4020" w:type="dxa"/>
            <w:vAlign w:val="bottom"/>
          </w:tcPr>
          <w:p>
            <w:pPr>
              <w:ind w:left="140"/>
              <w:spacing w:after="0"/>
              <w:rPr>
                <w:sz w:val="20"/>
                <w:szCs w:val="20"/>
                <w:color w:val="auto"/>
              </w:rPr>
            </w:pPr>
            <w:r>
              <w:rPr>
                <w:rFonts w:ascii="Arial" w:cs="Arial" w:eastAsia="Arial" w:hAnsi="Arial"/>
                <w:sz w:val="13"/>
                <w:szCs w:val="13"/>
                <w:color w:val="auto"/>
              </w:rPr>
              <w:t>unconsolidated affiliates, net of tax</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2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w w:val="88"/>
              </w:rPr>
              <w:t>Reclassification adjustments for unrealized gains and losses on investments</w:t>
            </w: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20" w:type="dxa"/>
            <w:vAlign w:val="bottom"/>
            <w:shd w:val="clear" w:color="auto" w:fill="CCEEFF"/>
          </w:tcPr>
          <w:p>
            <w:pPr>
              <w:ind w:left="140"/>
              <w:spacing w:after="0" w:line="122" w:lineRule="exact"/>
              <w:rPr>
                <w:sz w:val="20"/>
                <w:szCs w:val="20"/>
                <w:color w:val="auto"/>
              </w:rPr>
            </w:pPr>
            <w:r>
              <w:rPr>
                <w:rFonts w:ascii="Arial" w:cs="Arial" w:eastAsia="Arial" w:hAnsi="Arial"/>
                <w:sz w:val="13"/>
                <w:szCs w:val="13"/>
                <w:color w:val="auto"/>
                <w:w w:val="98"/>
              </w:rPr>
              <w:t>and other financial instruments, net of tax, (excluding investments in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unconsolidated affiliates) included in net earnings</w:t>
            </w: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020" w:type="dxa"/>
            <w:vAlign w:val="bottom"/>
          </w:tcPr>
          <w:p>
            <w:pPr>
              <w:ind w:left="140"/>
              <w:spacing w:after="0" w:line="122" w:lineRule="exact"/>
              <w:rPr>
                <w:sz w:val="20"/>
                <w:szCs w:val="20"/>
                <w:color w:val="auto"/>
              </w:rPr>
            </w:pPr>
            <w:r>
              <w:rPr>
                <w:rFonts w:ascii="Arial" w:cs="Arial" w:eastAsia="Arial" w:hAnsi="Arial"/>
                <w:sz w:val="13"/>
                <w:szCs w:val="13"/>
                <w:color w:val="auto"/>
              </w:rPr>
              <w:t>Reclassification adjustments for unrealized gains and losses on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9"/>
        </w:trPr>
        <w:tc>
          <w:tcPr>
            <w:tcW w:w="4020" w:type="dxa"/>
            <w:vAlign w:val="bottom"/>
          </w:tcPr>
          <w:p>
            <w:pPr>
              <w:ind w:left="140"/>
              <w:spacing w:after="0"/>
              <w:rPr>
                <w:sz w:val="20"/>
                <w:szCs w:val="20"/>
                <w:color w:val="auto"/>
              </w:rPr>
            </w:pPr>
            <w:r>
              <w:rPr>
                <w:rFonts w:ascii="Arial" w:cs="Arial" w:eastAsia="Arial" w:hAnsi="Arial"/>
                <w:sz w:val="13"/>
                <w:szCs w:val="13"/>
                <w:color w:val="auto"/>
              </w:rPr>
              <w:t>unconsolidated affiliates, net of tax, included in net earnings</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Treasury stock repurchases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3"/>
                <w:szCs w:val="13"/>
                <w:color w:val="auto"/>
              </w:rPr>
              <w:t>Stock-based compensation, consolidated subsidiaries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unconsolidated affiliates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3"/>
                <w:szCs w:val="13"/>
                <w:color w:val="auto"/>
              </w:rPr>
              <w:t>Subsidiary dividends paid to noncontrolling interests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earnings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183"/>
        </w:trPr>
        <w:tc>
          <w:tcPr>
            <w:tcW w:w="4020" w:type="dxa"/>
            <w:vAlign w:val="bottom"/>
          </w:tcPr>
          <w:p>
            <w:pPr>
              <w:ind w:left="20"/>
              <w:spacing w:after="0"/>
              <w:rPr>
                <w:sz w:val="20"/>
                <w:szCs w:val="20"/>
                <w:color w:val="auto"/>
              </w:rPr>
            </w:pPr>
            <w:r>
              <w:rPr>
                <w:rFonts w:ascii="Arial" w:cs="Arial" w:eastAsia="Arial" w:hAnsi="Arial"/>
                <w:sz w:val="13"/>
                <w:szCs w:val="13"/>
                <w:color w:val="auto"/>
              </w:rPr>
              <w:t>Balance, June 30, 2021</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1,880.8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1,873.1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3,633.5</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3"/>
                <w:szCs w:val="13"/>
                <w:color w:val="auto"/>
              </w:rPr>
              <w:t>Balance, March 31, 2022</w:t>
            </w:r>
          </w:p>
        </w:tc>
        <w:tc>
          <w:tcPr>
            <w:tcW w:w="520" w:type="dxa"/>
            <w:vAlign w:val="bottom"/>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1,894.4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1,395.2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(242.5)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3,042.7</w:t>
            </w:r>
          </w:p>
        </w:tc>
        <w:tc>
          <w:tcPr>
            <w:tcW w:w="0" w:type="dxa"/>
            <w:vAlign w:val="bottom"/>
          </w:tcPr>
          <w:p>
            <w:pPr>
              <w:spacing w:after="0"/>
              <w:rPr>
                <w:sz w:val="1"/>
                <w:szCs w:val="1"/>
                <w:color w:val="auto"/>
              </w:rPr>
            </w:pPr>
          </w:p>
        </w:tc>
      </w:tr>
      <w:tr>
        <w:trPr>
          <w:trHeight w:val="125"/>
        </w:trPr>
        <w:tc>
          <w:tcPr>
            <w:tcW w:w="4020" w:type="dxa"/>
            <w:vAlign w:val="bottom"/>
            <w:shd w:val="clear" w:color="auto" w:fill="CCEEFF"/>
          </w:tcPr>
          <w:p>
            <w:pPr>
              <w:ind w:left="140"/>
              <w:spacing w:after="0" w:line="125" w:lineRule="exact"/>
              <w:rPr>
                <w:sz w:val="20"/>
                <w:szCs w:val="20"/>
                <w:color w:val="auto"/>
              </w:rPr>
            </w:pPr>
            <w:r>
              <w:rPr>
                <w:rFonts w:ascii="Arial" w:cs="Arial" w:eastAsia="Arial" w:hAnsi="Arial"/>
                <w:sz w:val="13"/>
                <w:szCs w:val="13"/>
                <w:color w:val="auto"/>
                <w:w w:val="96"/>
              </w:rPr>
              <w:t>Other comprehensive earnings — unrealized losses of investments in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unconsolidated affiliates, net of tax</w:t>
            </w: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3"/>
                <w:szCs w:val="13"/>
                <w:color w:val="auto"/>
              </w:rPr>
              <w:t>Treasury stock repurchases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consolidated subsidiaries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3"/>
                <w:szCs w:val="13"/>
                <w:color w:val="auto"/>
              </w:rPr>
              <w:t>Stock-based compensation, unconsolidated affiliates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loss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(264.6)</w:t>
            </w:r>
          </w:p>
        </w:tc>
        <w:tc>
          <w:tcPr>
            <w:tcW w:w="0" w:type="dxa"/>
            <w:vAlign w:val="bottom"/>
          </w:tcPr>
          <w:p>
            <w:pPr>
              <w:spacing w:after="0"/>
              <w:rPr>
                <w:sz w:val="1"/>
                <w:szCs w:val="1"/>
                <w:color w:val="auto"/>
              </w:rPr>
            </w:pPr>
          </w:p>
        </w:tc>
      </w:tr>
      <w:tr>
        <w:trPr>
          <w:trHeight w:val="183"/>
        </w:trPr>
        <w:tc>
          <w:tcPr>
            <w:tcW w:w="4020" w:type="dxa"/>
            <w:vAlign w:val="bottom"/>
          </w:tcPr>
          <w:p>
            <w:pPr>
              <w:ind w:left="20"/>
              <w:spacing w:after="0"/>
              <w:rPr>
                <w:sz w:val="20"/>
                <w:szCs w:val="20"/>
                <w:color w:val="auto"/>
              </w:rPr>
            </w:pPr>
            <w:r>
              <w:rPr>
                <w:rFonts w:ascii="Arial" w:cs="Arial" w:eastAsia="Arial" w:hAnsi="Arial"/>
                <w:sz w:val="13"/>
                <w:szCs w:val="13"/>
                <w:color w:val="auto"/>
              </w:rPr>
              <w:t>Balance, June 30, 2022</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1,913.5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1,131.9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2,706.1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 CONTINUED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1200" w:type="dxa"/>
            <w:vAlign w:val="bottom"/>
            <w:gridSpan w:val="5"/>
          </w:tcPr>
          <w:p>
            <w:pPr>
              <w:ind w:left="1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Accumulated</w:t>
            </w:r>
          </w:p>
        </w:tc>
        <w:tc>
          <w:tcPr>
            <w:tcW w:w="1520" w:type="dxa"/>
            <w:vAlign w:val="bottom"/>
            <w:gridSpan w:val="5"/>
          </w:tcPr>
          <w:p>
            <w:pPr>
              <w:ind w:left="30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0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180"/>
              <w:spacing w:after="0" w:line="61" w:lineRule="exact"/>
              <w:rPr>
                <w:sz w:val="20"/>
                <w:szCs w:val="20"/>
                <w:color w:val="auto"/>
              </w:rPr>
            </w:pPr>
            <w:r>
              <w:rPr>
                <w:rFonts w:ascii="Arial" w:cs="Arial" w:eastAsia="Arial" w:hAnsi="Arial"/>
                <w:sz w:val="7"/>
                <w:szCs w:val="7"/>
                <w:b w:val="1"/>
                <w:bCs w:val="1"/>
                <w:color w:val="auto"/>
              </w:rPr>
              <w:t>Additional</w:t>
            </w:r>
          </w:p>
        </w:tc>
        <w:tc>
          <w:tcPr>
            <w:tcW w:w="120" w:type="dxa"/>
            <w:vAlign w:val="bottom"/>
          </w:tcPr>
          <w:p>
            <w:pPr>
              <w:spacing w:after="0"/>
              <w:rPr>
                <w:sz w:val="5"/>
                <w:szCs w:val="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5"/>
                <w:szCs w:val="5"/>
                <w:color w:val="auto"/>
              </w:rPr>
            </w:pPr>
          </w:p>
        </w:tc>
        <w:tc>
          <w:tcPr>
            <w:tcW w:w="88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Other Comp</w:t>
            </w: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Non-</w:t>
            </w:r>
          </w:p>
        </w:tc>
        <w:tc>
          <w:tcPr>
            <w:tcW w:w="160" w:type="dxa"/>
            <w:vAlign w:val="bottom"/>
          </w:tcPr>
          <w:p>
            <w:pPr>
              <w:spacing w:after="0"/>
              <w:rPr>
                <w:sz w:val="5"/>
                <w:szCs w:val="5"/>
                <w:color w:val="auto"/>
              </w:rPr>
            </w:pPr>
          </w:p>
        </w:tc>
        <w:tc>
          <w:tcPr>
            <w:tcW w:w="66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0"/>
                <w:szCs w:val="10"/>
                <w:color w:val="auto"/>
              </w:rPr>
            </w:pPr>
          </w:p>
        </w:tc>
        <w:tc>
          <w:tcPr>
            <w:tcW w:w="3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7"/>
              </w:rPr>
              <w:t>(Loss)</w:t>
            </w:r>
          </w:p>
        </w:tc>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5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Earnings</w:t>
            </w: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Interests</w:t>
            </w:r>
          </w:p>
        </w:tc>
        <w:tc>
          <w:tcPr>
            <w:tcW w:w="160" w:type="dxa"/>
            <w:vAlign w:val="bottom"/>
          </w:tcPr>
          <w:p>
            <w:pPr>
              <w:spacing w:after="0"/>
              <w:rPr>
                <w:sz w:val="14"/>
                <w:szCs w:val="14"/>
                <w:color w:val="auto"/>
              </w:rPr>
            </w:pPr>
          </w:p>
        </w:tc>
        <w:tc>
          <w:tcPr>
            <w:tcW w:w="660" w:type="dxa"/>
            <w:vAlign w:val="bottom"/>
          </w:tcPr>
          <w:p>
            <w:pPr>
              <w:jc w:val="right"/>
              <w:ind w:right="14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2020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3,785.2</w:t>
            </w:r>
          </w:p>
        </w:tc>
        <w:tc>
          <w:tcPr>
            <w:tcW w:w="0" w:type="dxa"/>
            <w:vAlign w:val="bottom"/>
          </w:tcPr>
          <w:p>
            <w:pPr>
              <w:spacing w:after="0"/>
              <w:rPr>
                <w:sz w:val="1"/>
                <w:szCs w:val="1"/>
                <w:color w:val="auto"/>
              </w:rPr>
            </w:pPr>
          </w:p>
        </w:tc>
      </w:tr>
      <w:tr>
        <w:trPr>
          <w:trHeight w:val="122"/>
        </w:trPr>
        <w:tc>
          <w:tcPr>
            <w:tcW w:w="4020" w:type="dxa"/>
            <w:vAlign w:val="bottom"/>
          </w:tcPr>
          <w:p>
            <w:pPr>
              <w:ind w:left="140"/>
              <w:spacing w:after="0" w:line="122" w:lineRule="exact"/>
              <w:rPr>
                <w:sz w:val="20"/>
                <w:szCs w:val="20"/>
                <w:color w:val="auto"/>
              </w:rPr>
            </w:pPr>
            <w:r>
              <w:rPr>
                <w:rFonts w:ascii="Arial" w:cs="Arial" w:eastAsia="Arial" w:hAnsi="Arial"/>
                <w:sz w:val="13"/>
                <w:szCs w:val="13"/>
                <w:color w:val="auto"/>
                <w:w w:val="88"/>
              </w:rPr>
              <w:t>Other comprehensive earnings — unrealized gain on investments and other</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9"/>
        </w:trPr>
        <w:tc>
          <w:tcPr>
            <w:tcW w:w="4020" w:type="dxa"/>
            <w:vAlign w:val="bottom"/>
          </w:tcPr>
          <w:p>
            <w:pPr>
              <w:ind w:left="140"/>
              <w:spacing w:after="0"/>
              <w:rPr>
                <w:sz w:val="20"/>
                <w:szCs w:val="20"/>
                <w:color w:val="auto"/>
              </w:rPr>
            </w:pPr>
            <w:r>
              <w:rPr>
                <w:rFonts w:ascii="Arial" w:cs="Arial" w:eastAsia="Arial" w:hAnsi="Arial"/>
                <w:sz w:val="13"/>
                <w:szCs w:val="13"/>
                <w:color w:val="auto"/>
              </w:rPr>
              <w:t>financial instruments, net of tax</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2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w w:val="96"/>
              </w:rPr>
              <w:t>Other comprehensive earnings — unrealized losses of investments in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unconsolidated affiliates, net of tax</w:t>
            </w: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020" w:type="dxa"/>
            <w:vAlign w:val="bottom"/>
          </w:tcPr>
          <w:p>
            <w:pPr>
              <w:ind w:left="140"/>
              <w:spacing w:after="0" w:line="122" w:lineRule="exact"/>
              <w:rPr>
                <w:sz w:val="20"/>
                <w:szCs w:val="20"/>
                <w:color w:val="auto"/>
              </w:rPr>
            </w:pPr>
            <w:r>
              <w:rPr>
                <w:rFonts w:ascii="Arial" w:cs="Arial" w:eastAsia="Arial" w:hAnsi="Arial"/>
                <w:sz w:val="13"/>
                <w:szCs w:val="13"/>
                <w:color w:val="auto"/>
                <w:w w:val="88"/>
              </w:rPr>
              <w:t>Reclassification adjustments for unrealized gains and losses on investments</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20" w:type="dxa"/>
            <w:vAlign w:val="bottom"/>
          </w:tcPr>
          <w:p>
            <w:pPr>
              <w:ind w:left="140"/>
              <w:spacing w:after="0" w:line="122" w:lineRule="exact"/>
              <w:rPr>
                <w:sz w:val="20"/>
                <w:szCs w:val="20"/>
                <w:color w:val="auto"/>
              </w:rPr>
            </w:pPr>
            <w:r>
              <w:rPr>
                <w:rFonts w:ascii="Arial" w:cs="Arial" w:eastAsia="Arial" w:hAnsi="Arial"/>
                <w:sz w:val="13"/>
                <w:szCs w:val="13"/>
                <w:color w:val="auto"/>
                <w:w w:val="98"/>
              </w:rPr>
              <w:t>and other financial instruments, net of tax, (excluding investments in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70"/>
        </w:trPr>
        <w:tc>
          <w:tcPr>
            <w:tcW w:w="4020" w:type="dxa"/>
            <w:vAlign w:val="bottom"/>
          </w:tcPr>
          <w:p>
            <w:pPr>
              <w:ind w:left="140"/>
              <w:spacing w:after="0"/>
              <w:rPr>
                <w:sz w:val="20"/>
                <w:szCs w:val="20"/>
                <w:color w:val="auto"/>
              </w:rPr>
            </w:pPr>
            <w:r>
              <w:rPr>
                <w:rFonts w:ascii="Arial" w:cs="Arial" w:eastAsia="Arial" w:hAnsi="Arial"/>
                <w:sz w:val="13"/>
                <w:szCs w:val="13"/>
                <w:color w:val="auto"/>
              </w:rPr>
              <w:t>unconsolidated affiliates) included in net earnings</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2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Reclassification adjustments for unrealized gains and losses on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unconsolidated affiliates, net of tax, included in net earnings</w:t>
            </w: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3"/>
                <w:szCs w:val="13"/>
                <w:color w:val="auto"/>
              </w:rPr>
              <w:t>Treasury stock repurchases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consolidated subsidiaries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3"/>
                <w:szCs w:val="13"/>
                <w:color w:val="auto"/>
              </w:rPr>
              <w:t>Stock-based compensation, unconsolidated affiliates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(loss) earnings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83"/>
        </w:trPr>
        <w:tc>
          <w:tcPr>
            <w:tcW w:w="4020" w:type="dxa"/>
            <w:vAlign w:val="bottom"/>
          </w:tcPr>
          <w:p>
            <w:pPr>
              <w:ind w:left="20"/>
              <w:spacing w:after="0"/>
              <w:rPr>
                <w:sz w:val="20"/>
                <w:szCs w:val="20"/>
                <w:color w:val="auto"/>
              </w:rPr>
            </w:pPr>
            <w:r>
              <w:rPr>
                <w:rFonts w:ascii="Arial" w:cs="Arial" w:eastAsia="Arial" w:hAnsi="Arial"/>
                <w:sz w:val="13"/>
                <w:szCs w:val="13"/>
                <w:color w:val="auto"/>
              </w:rPr>
              <w:t>Balance, June 30, 2021</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1,880.8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1,873.1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3,633.5</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3"/>
                <w:szCs w:val="13"/>
                <w:color w:val="auto"/>
              </w:rPr>
              <w:t>Balance, December 31, 2021</w:t>
            </w:r>
          </w:p>
        </w:tc>
        <w:tc>
          <w:tcPr>
            <w:tcW w:w="520" w:type="dxa"/>
            <w:vAlign w:val="bottom"/>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1,888.3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1,642.8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(188.6)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3,341.1</w:t>
            </w:r>
          </w:p>
        </w:tc>
        <w:tc>
          <w:tcPr>
            <w:tcW w:w="0" w:type="dxa"/>
            <w:vAlign w:val="bottom"/>
          </w:tcPr>
          <w:p>
            <w:pPr>
              <w:spacing w:after="0"/>
              <w:rPr>
                <w:sz w:val="1"/>
                <w:szCs w:val="1"/>
                <w:color w:val="auto"/>
              </w:rPr>
            </w:pPr>
          </w:p>
        </w:tc>
      </w:tr>
      <w:tr>
        <w:trPr>
          <w:trHeight w:val="125"/>
        </w:trPr>
        <w:tc>
          <w:tcPr>
            <w:tcW w:w="4020" w:type="dxa"/>
            <w:vAlign w:val="bottom"/>
            <w:shd w:val="clear" w:color="auto" w:fill="CCEEFF"/>
          </w:tcPr>
          <w:p>
            <w:pPr>
              <w:ind w:left="140"/>
              <w:spacing w:after="0" w:line="125" w:lineRule="exact"/>
              <w:rPr>
                <w:sz w:val="20"/>
                <w:szCs w:val="20"/>
                <w:color w:val="auto"/>
              </w:rPr>
            </w:pPr>
            <w:r>
              <w:rPr>
                <w:rFonts w:ascii="Arial" w:cs="Arial" w:eastAsia="Arial" w:hAnsi="Arial"/>
                <w:sz w:val="13"/>
                <w:szCs w:val="13"/>
                <w:color w:val="auto"/>
                <w:w w:val="96"/>
              </w:rPr>
              <w:t>Other comprehensive earnings — unrealized losses of investments in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unconsolidated affiliates, net of tax</w:t>
            </w: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3"/>
                <w:szCs w:val="13"/>
                <w:color w:val="auto"/>
              </w:rPr>
              <w:t>Treasury stock repurchases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(138.6)</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restricted stock</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3"/>
                <w:szCs w:val="13"/>
                <w:color w:val="auto"/>
              </w:rPr>
              <w:t>Stock-based compensation, consolidated subsidiaries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unconsolidated affiliates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3"/>
                <w:szCs w:val="13"/>
                <w:color w:val="auto"/>
              </w:rPr>
              <w:t>Net loss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(514.0)</w:t>
            </w:r>
          </w:p>
        </w:tc>
        <w:tc>
          <w:tcPr>
            <w:tcW w:w="0" w:type="dxa"/>
            <w:vAlign w:val="bottom"/>
          </w:tcPr>
          <w:p>
            <w:pPr>
              <w:spacing w:after="0"/>
              <w:rPr>
                <w:sz w:val="1"/>
                <w:szCs w:val="1"/>
                <w:color w:val="auto"/>
              </w:rPr>
            </w:pPr>
          </w:p>
        </w:tc>
      </w:tr>
      <w:tr>
        <w:trPr>
          <w:trHeight w:val="211"/>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June 30, 2022</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1,131.9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2,706.1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228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Net loss</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4"/>
              </w:rPr>
              <w:t>(514.0)</w:t>
            </w:r>
          </w:p>
        </w:tc>
        <w:tc>
          <w:tcPr>
            <w:tcW w:w="140" w:type="dxa"/>
            <w:vAlign w:val="bottom"/>
          </w:tcPr>
          <w:p>
            <w:pPr>
              <w:spacing w:after="0"/>
              <w:rPr>
                <w:sz w:val="16"/>
                <w:szCs w:val="16"/>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8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12.0</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Equity in earnings of unconsolidated affiliates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86"/>
        </w:trPr>
        <w:tc>
          <w:tcPr>
            <w:tcW w:w="8480" w:type="dxa"/>
            <w:vAlign w:val="bottom"/>
          </w:tcPr>
          <w:p>
            <w:pPr>
              <w:ind w:left="460"/>
              <w:spacing w:after="0"/>
              <w:rPr>
                <w:sz w:val="20"/>
                <w:szCs w:val="20"/>
                <w:color w:val="auto"/>
              </w:rPr>
            </w:pPr>
            <w:r>
              <w:rPr>
                <w:rFonts w:ascii="Arial" w:cs="Arial" w:eastAsia="Arial" w:hAnsi="Arial"/>
                <w:sz w:val="14"/>
                <w:szCs w:val="14"/>
                <w:color w:val="auto"/>
              </w:rPr>
              <w:t>Distributions from investments in unconsolidated affiliates</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14.7</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Recognized losses and asset impairments, net</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459.8</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86"/>
        </w:trPr>
        <w:tc>
          <w:tcPr>
            <w:tcW w:w="8480" w:type="dxa"/>
            <w:vAlign w:val="bottom"/>
          </w:tcPr>
          <w:p>
            <w:pPr>
              <w:ind w:left="460"/>
              <w:spacing w:after="0"/>
              <w:rPr>
                <w:sz w:val="20"/>
                <w:szCs w:val="20"/>
                <w:color w:val="auto"/>
              </w:rPr>
            </w:pPr>
            <w:r>
              <w:rPr>
                <w:rFonts w:ascii="Arial" w:cs="Arial" w:eastAsia="Arial" w:hAnsi="Arial"/>
                <w:sz w:val="14"/>
                <w:szCs w:val="14"/>
                <w:color w:val="auto"/>
              </w:rPr>
              <w:t>Lease asset amortization</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10.3</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 cost</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8480" w:type="dxa"/>
            <w:vAlign w:val="bottom"/>
          </w:tcPr>
          <w:p>
            <w:pPr>
              <w:ind w:left="460"/>
              <w:spacing w:after="0"/>
              <w:rPr>
                <w:sz w:val="20"/>
                <w:szCs w:val="20"/>
                <w:color w:val="auto"/>
              </w:rPr>
            </w:pPr>
            <w:r>
              <w:rPr>
                <w:rFonts w:ascii="Arial" w:cs="Arial" w:eastAsia="Arial" w:hAnsi="Arial"/>
                <w:sz w:val="14"/>
                <w:szCs w:val="14"/>
                <w:color w:val="auto"/>
              </w:rPr>
              <w:t>Non-cash carried interest expense</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31.8</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80" w:type="dxa"/>
            <w:vAlign w:val="bottom"/>
          </w:tcPr>
          <w:p>
            <w:pPr>
              <w:ind w:left="520"/>
              <w:spacing w:after="0"/>
              <w:rPr>
                <w:sz w:val="20"/>
                <w:szCs w:val="20"/>
                <w:color w:val="auto"/>
              </w:rPr>
            </w:pPr>
            <w:r>
              <w:rPr>
                <w:rFonts w:ascii="Arial" w:cs="Arial" w:eastAsia="Arial" w:hAnsi="Arial"/>
                <w:sz w:val="14"/>
                <w:szCs w:val="14"/>
                <w:color w:val="auto"/>
              </w:rPr>
              <w:t>Net decrease in other assets</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11.9</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decrease in lease liabilities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6"/>
        </w:trPr>
        <w:tc>
          <w:tcPr>
            <w:tcW w:w="8480" w:type="dxa"/>
            <w:vAlign w:val="bottom"/>
          </w:tcPr>
          <w:p>
            <w:pPr>
              <w:ind w:left="520"/>
              <w:spacing w:after="0"/>
              <w:rPr>
                <w:sz w:val="20"/>
                <w:szCs w:val="20"/>
                <w:color w:val="auto"/>
              </w:rPr>
            </w:pPr>
            <w:r>
              <w:rPr>
                <w:rFonts w:ascii="Arial" w:cs="Arial" w:eastAsia="Arial" w:hAnsi="Arial"/>
                <w:sz w:val="14"/>
                <w:szCs w:val="14"/>
                <w:color w:val="auto"/>
              </w:rPr>
              <w:t>Net (decrease) increase in accounts payable, accrued liabilities, deferred revenue and other liabilities</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(30.8)</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change in income taxes</w:t>
            </w:r>
          </w:p>
        </w:tc>
        <w:tc>
          <w:tcPr>
            <w:tcW w:w="8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(193.1)</w:t>
            </w:r>
          </w:p>
        </w:tc>
        <w:tc>
          <w:tcPr>
            <w:tcW w:w="14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7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(133.0)</w:t>
            </w:r>
          </w:p>
        </w:tc>
        <w:tc>
          <w:tcPr>
            <w:tcW w:w="1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186"/>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Proceeds from partial sale of Ceridian shares</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285.7</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partial sale of D&amp;B shares</w:t>
            </w:r>
          </w:p>
        </w:tc>
        <w:tc>
          <w:tcPr>
            <w:tcW w:w="8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Additions to property and equipment and other intangible assets</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(7.6)</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Collections of notes receivable</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Additions to notes receivable</w:t>
            </w:r>
          </w:p>
        </w:tc>
        <w:tc>
          <w:tcPr>
            <w:tcW w:w="8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sales of property and equipment</w:t>
            </w:r>
          </w:p>
        </w:tc>
        <w:tc>
          <w:tcPr>
            <w:tcW w:w="8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Proceeds from sale of investments in unconsolidated affiliates and other long term investments</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172.6</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 in System1</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(246.5)</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Investment in Paysafe, net of subscription fees earned</w:t>
            </w:r>
          </w:p>
        </w:tc>
        <w:tc>
          <w:tcPr>
            <w:tcW w:w="8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(494.4)</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in Alight, net of subscription fees earned</w:t>
            </w:r>
          </w:p>
        </w:tc>
        <w:tc>
          <w:tcPr>
            <w:tcW w:w="8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(400.0)</w:t>
            </w: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Purchase of AAII Warrants</w:t>
            </w:r>
          </w:p>
        </w:tc>
        <w:tc>
          <w:tcPr>
            <w:tcW w:w="8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investments in unconsolidated affiliates</w:t>
            </w:r>
          </w:p>
        </w:tc>
        <w:tc>
          <w:tcPr>
            <w:tcW w:w="8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Cash proceeds from settlement of fixed maturity securities and equity in Colt</w:t>
            </w:r>
          </w:p>
        </w:tc>
        <w:tc>
          <w:tcPr>
            <w:tcW w:w="8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other long term investments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Distributions from investments in unconsolidated affiliates</w:t>
            </w:r>
          </w:p>
        </w:tc>
        <w:tc>
          <w:tcPr>
            <w:tcW w:w="8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281.1</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other investing activities</w:t>
            </w:r>
          </w:p>
        </w:tc>
        <w:tc>
          <w:tcPr>
            <w:tcW w:w="8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8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14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(282.0)</w:t>
            </w:r>
          </w:p>
        </w:tc>
        <w:tc>
          <w:tcPr>
            <w:tcW w:w="0" w:type="dxa"/>
            <w:vAlign w:val="bottom"/>
          </w:tcPr>
          <w:p>
            <w:pPr>
              <w:spacing w:after="0"/>
              <w:rPr>
                <w:sz w:val="1"/>
                <w:szCs w:val="1"/>
                <w:color w:val="auto"/>
              </w:rPr>
            </w:pPr>
          </w:p>
        </w:tc>
      </w:tr>
      <w:tr>
        <w:trPr>
          <w:trHeight w:val="186"/>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Borrowings</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305.7</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service payments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(213.8)</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Sale of noncontrolling interest in consolidated subsidiary</w:t>
            </w:r>
          </w:p>
        </w:tc>
        <w:tc>
          <w:tcPr>
            <w:tcW w:w="8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Treasury stock repurchases</w:t>
            </w:r>
          </w:p>
        </w:tc>
        <w:tc>
          <w:tcPr>
            <w:tcW w:w="8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(145.8)</w:t>
            </w:r>
          </w:p>
        </w:tc>
        <w:tc>
          <w:tcPr>
            <w:tcW w:w="14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17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financing activities</w:t>
            </w:r>
          </w:p>
        </w:tc>
        <w:tc>
          <w:tcPr>
            <w:tcW w:w="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c>
          <w:tcPr>
            <w:tcW w:w="1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(100.2)</w:t>
            </w:r>
          </w:p>
        </w:tc>
        <w:tc>
          <w:tcPr>
            <w:tcW w:w="0" w:type="dxa"/>
            <w:vAlign w:val="bottom"/>
          </w:tcPr>
          <w:p>
            <w:pPr>
              <w:spacing w:after="0"/>
              <w:rPr>
                <w:sz w:val="1"/>
                <w:szCs w:val="1"/>
                <w:color w:val="auto"/>
              </w:rPr>
            </w:pPr>
          </w:p>
        </w:tc>
      </w:tr>
      <w:tr>
        <w:trPr>
          <w:trHeight w:val="186"/>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(449.4)</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Cash and cash equivalents classified as held for sale</w:t>
            </w:r>
          </w:p>
        </w:tc>
        <w:tc>
          <w:tcPr>
            <w:tcW w:w="8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8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14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724.7</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271.2</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3900"/>
              <w:spacing w:after="0"/>
              <w:rPr>
                <w:sz w:val="20"/>
                <w:szCs w:val="20"/>
                <w:color w:val="auto"/>
              </w:rPr>
            </w:pPr>
            <w:r>
              <w:rPr>
                <w:rFonts w:ascii="Arial" w:cs="Arial" w:eastAsia="Arial" w:hAnsi="Arial"/>
                <w:sz w:val="14"/>
                <w:szCs w:val="14"/>
                <w:color w:val="auto"/>
              </w:rPr>
              <w:t>See Notes to Condensed Consolidated Financial Statements</w:t>
            </w: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5"/>
        </w:trPr>
        <w:tc>
          <w:tcPr>
            <w:tcW w:w="8480" w:type="dxa"/>
            <w:vAlign w:val="bottom"/>
            <w:vMerge w:val="continue"/>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describes the significant accounting policies of Cannae Holdings, Inc. and its subsidiaries (collectively, “we,” “us,” “our,” "Cannae," "CNNE," or the "Company”), which have been followed in preparing the accompanying Condensed Consolidated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primarily acquire interests in operating companies and are engaged in actively managing and operating a core group of those companies, which we are committed to supporting for the long-term.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June 30, 2022 include our ownership interests in Dun &amp; Bradstreet Holdings, Inc. ("Dun &amp; Bradstreet" or "D&amp;B"), Ceridian HCM Holding, Inc. ("Ceridian"), Alight, Inc. ("Alight"), Paysafe Limited ("Paysafe"), Sightline Payments Holdings, LLC ("Sightline" or "Sightline Payments"), System1, Inc. ("System1") and AmeriLife Group, LLC ("AmeriLife"); majority equity ownership stakes in O'Charley's Holdings, LLC ("O'Charley's") and 99 Restaurants Holdings, LLC ("99 Restaurants"); various other controlled portfolio companies and certain minority equity ownership interests.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G for further discussion of the businesses comprising our reportable segments.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conduct our business through our wholly-owned subsidiary Cannae Holdings, LLC ("Cannae LLC"), a Delaware limited liability company. Our board of directors ("Board") oversees the management of the Company, Cannae LLC and its businesses, and the performance of our external manager, Trasimene Capital Management, LLC (“Trasimene” or our “Manager”).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Condensed Consolidated Financial Statements are prepared in accordance with generally accepted accounting principles in the United States ("GAAP") and the instructions to Form 10-Q and Article 10 of Regulation S-X 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2021.</w:t>
      </w:r>
    </w:p>
    <w:p>
      <w:pPr>
        <w:spacing w:after="0" w:line="80"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recorded on the Condensed Consolidated Statements of Operations represents the portion of our majority-owned subsidiaries' net earnings or loss that is owned by noncontrolling shareholders of such subsidiaries. Noncontrolling interest recorded on the Condensed Consolidated Balance Sheets represents the portion of equity owned by noncontrolling shareholders in our consolidated subsidiaries.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these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made by management include the fair value measurements (Note C). Actual results may differ from estimates.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Ceridian</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January 2022, we completed the sale of 2.0 million shares of common stock of Ceridian pursuant to Rule 144 promulgated under the Securities Act of 1933, as amended ("Rule 144"). In connection with the sale, we received proceeds of $173.3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May 2022 and June 2022, we completed the sale of an additional 2.0 million shares of common stock of Ceridian on the open market. In connection with such sales, we received proceeds of $112.5 million.</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owned 6.0 million shares of Ceridian common stock as of June 30, 2022, which represented approximately 3.9% of its outstanding stock as of June 30, 2022.</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Notes C and D for further discussion of our accounting for our investment in Ceridian and other equity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System1</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On January 10, 2022, we entered into an amendment to the backstop facility agreement (the "S1 Backstop Agreement") pursuant to which our commitment to fund redemptions of shareholders of Trebia Acquisition Corp. ("Trebia") in conjunction with its merger with System1 (the "Trebia System1 Business Combination") increased from $200.0 million to $250.0 million. Also on January 10, 2022, we entered into an amended and restated sponsor agreement with the sponsors of Trebia pursuant to which the sponsors will forfeit up to an additional Trebia 1,352,941 Class B ordinary shares to Trebia, and Trebia will issue to Cannae an equal number of shares of Trebia Class A common stock in connection with, and based upon the extent of, Cannae’s obligation with respect to the increase in our backstop commitment. Trebia was co-sponsored by entities affiliated with the chairman and a member of our board of directors ("Board"), William P. Foley II and Frank R. Martire, respectively.</w:t>
      </w:r>
    </w:p>
    <w:p>
      <w:pPr>
        <w:spacing w:after="0" w:line="7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January 27, 2022, the Trebia System1 Business Combination was completed and System1 merged with and into Trebia, with System1 as the surviving corporation. Beginning on January 28, 2022, System1’s common stock began trading on the NYSE under the ticker symbol "SST." Upon the completion of the Trebia System1 Business Combination, Cannae has invested a total of $248.3 million in System1, directly and indirectly owned 28.2 million of System1 common shares and indirectly owned 1.2 million warrants to purchase SST common shares (the "System1 Warrants").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17, 2022, the trading price of System1 Class A common stock exceeded certain thresholds resulting in the conversion of System1's outstanding Class D common stock to Class A common stock. As a result, the 833,750 shares of System1 Class D common stock held by the sponsor of Trebia, Trasimene Trebia LP ("Trebia Sponsor"), in which the Company owns a 26.1% limited partnership interest converted to shares of System1 Class A common stock. Cannae's ratable portion of such shares is 217,500 shares.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April 18, 2022, Trebia Sponsor exercised its System1 warrants on a cashless basis in exchange for System 1 Class A common stock. As a result, Cannae no longer has an indirect interest in any System1 warrants and has an indirect interest in an additional 0.5 million shares of System1 common stock held by Trebia Sponsor.</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April 2022 and May 2022, we sold an aggregate of 1.7 million shares of System1 common stock for aggregate proceeds of $22.7 million.</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account for our direct ownership of the common equity of System1 under the equity method of accounting. See Note D for further discussion of our accounting for our ownership of the common equity of System1.</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the date of this Quarterly Report, we directly and indirectly own 27.2 million shares of System1 common stock representing an approximate 24.2% ownership interest.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Optimal Blue</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February 15, 2022, we completed the disposition (the "Optimal Blue Disposition") of our ownership interests in Optimal Blue Holdco, LLC ("Optimal Blue") to Black Knight, Inc. ("Black Knight") pursuant to a purchase agreement dated as of February 15, 2022, by and among Black Knight, Cannae, and Optimal Blue, among others. In conjunction with the Optimal Blue Disposition, Cannae received aggregate consideration of (y) $144.5 million in cash and (z) 21.8 million shares of common stock, par value $0.0001 per share, of Dun &amp; Bradstreet. Following the consummation of the Optimal Blue Disposition, Cannae no longer has any ownership interest in Optimal Blue. We recorded a gain of $313.0 million on the sale which is included in Recognized gains (losses), net on the Condensed Consolidated Statement of Operations for the six months ended June 30, 2022.</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Dun &amp; Bradstreet</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February 15, 2022, we received 21.8 million shares of D&amp;B as partial consideration for the Optimal Blue Disposition. Subsequently, we transferred to our Manager 1.6 million of the D&amp;B shares we received as part of our carried interest paid related to the Optimal Blue Disposition. Following the receipt of these additional shares of D&amp;B and payment of carried interest, we owned 88.3 million shares of D&amp;B which represented approximately 20.3% of its outstanding common stock as of June 30, 2022. See Note D for further discussion of our accounting for our increased ownership interest in D&amp;B.</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Subsequent to June 30, 2022, we completed the sale of 9.2 million shares of common stock of D&amp;B to a broker pursuant to Rule 144. In connection with the sale, we received proceeds of $127.2 million.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Alight</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March 2022, the sponsor of Foley Trasimene Acquisition Corp. ("FTAC") distributed all of its interest in Alight to its limited partners, including Cannae. As a result, Cannae now directly holds all of its interest in common equity of Alight. As of June 30, 2022, Cannae directly holds approximately 9.7% of the outstanding common equity of Alight.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AmeriLife</w:t>
      </w:r>
    </w:p>
    <w:p>
      <w:pPr>
        <w:spacing w:after="0" w:line="10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June 2022, AmeriLife announced an investment from Genstar Capital, a leading private equity firm. We expect to receive cash proceeds for a portion of our ownership interest in AmeriLife in the second half of 2022 and to retain a portion of our ownership interest.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Developments</w:t>
      </w:r>
    </w:p>
    <w:p>
      <w:pPr>
        <w:spacing w:after="0" w:line="10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Effective February 26, 2021, our Board authorized a three-year stock repurchase program (the "2021 Repurchase Program") under which the Company may repurchase up to 10 million shares of its common stock. Purchases may be made from time to time in the open market at prevailing prices or in privately negotiated transactions through February 26, 2024. The repurchase program does not obligate the Company to acquire any specific number of shares and may be suspended or terminated at any time. During the six months ended June 30, 2022, we repurchased 6,775,598 shares of CNNE common stock for approximately $138.6 million in the aggregate, or an average of $20.46 per share, pursuant to the 2021 Repurchase Program, of which 5,775,598 shares were repurchased from Fidelity National Financial, ("FNF") for an aggregate amount of $108.7 million.</w:t>
      </w:r>
    </w:p>
    <w:p>
      <w:pPr>
        <w:spacing w:after="0" w:line="5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On August 3, 2022, our Board authorized a new three-year stock repurchase program, (the "2022 Repurchase Program"), under which the Company may repurchase up to 10.0 million shares of its common stock. Purchases may be made from time to time in the open market at prevailing prices or in privately negotiated transactions through August 3, 2025. The repurchase program does not obligate the Company to acquire any specific number of shares and may be suspended or terminated at any time.</w:t>
      </w:r>
    </w:p>
    <w:p>
      <w:pPr>
        <w:spacing w:after="0" w:line="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color w:val="auto"/>
        </w:rPr>
        <w:t>As previously disclosed on June 24, 2022, we signed a non-binding letter of intent to invest in Eagle Football Holdings LLC ("Eagle"). Cannae and other third-party investors intend to each make an investment in Eagle in a form to be negotiated by all parties and subject to final documentation. The investment will be used to acquire soccer clubs and to establish Eagle as a leading multi-club owner and operator of global football clubs. In connection with the contemplated investment in Eagle, Cannae provided a debt commitment letter to John Textor, an individual, pursuant to which Cannae committed to provide a credit facility of up to a maximum principal amount of €523.0 million (the "Eagle Commitment") in connection with Eagle’s contemplated acquisition of equity interests in Olympique Lyonnais Groupe SA ("Olympique Lyonnais"). The credit facility will be secured by Mr. Textor’s and/or Eagle’s interest in the Olympique Lyonnais and Palace Holdco UK Limited (parent entity of Crystal Palace Football Club), and personally guaranteed by Mr. Textor. Some or all of the credit facility may be converted into equity in Eagle on terms to be agreed. If the credit facility is funded, Cannae expects to syndicate a substantial majority of its commitment to third-party investors.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the three and six months ended June 30, 2022, we incurred $10.6 million and $21.2 million, respectively, of management fee expenses payable to our Manager, and during the three and six months ended June 30, 2021, we incurred $8.2 million and $15.7 million, respectively, of management fee expenses payable to our Manager. During the three and six months ended June 30, 2022, we incurred $2.2 million and $47.4 million, respectively, of carried interest expense related to disposition of certain of the Company's assets and ownership interests. During the three and six months ended June 30, 2021, we incurred $20.3 million and $37.4 million, respectively, of carried interest expense related to monetization of certain Company's investments. These expenses are recorded in Other operating expenses on our Condensed Consolidated Statement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Basic earnings per share, as presented on the Condensed Consolidated Statement of Operations, is computed by dividing net earnings available to common shareholders by the weighted average number of common shares outstanding during the period.</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periods when earnings are positive, diluted earnings per share is calculated by dividing net earnings available to common shareholders by the weighted average number of common shares outstanding plus the impact of assumed conversions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of potentially dilutive securities. For periods when we recognize a net loss, diluted loss per share is equal to basic loss per share as the impact of assumed conversions of potentially dilutive securities is considered to be antidilutive. We have granted certain shares of restricted stock that have been treated as common share equivalents for purposes of calculating diluted earnings per share for periods in which positive earnings have been reported.</w:t>
      </w:r>
    </w:p>
    <w:p>
      <w:pPr>
        <w:spacing w:after="0" w:line="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Instruments that provide the ability to purchase shares of our common stock that are antidilutive are excluded from the computation of diluted earnings per share. For the three and six months ended June 30, 2022, there were 0.1 million antidilutive shares of restricted stock outstanding that were excluded from the calculation of diluted earnings per share. For the three and six months ended June 30, 2021, there were no antidilutive shares of restricted stock outstanding that were excluded from the calculation of diluted earnings per share.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effective tax rate was 29.8% and 20.9% in the three months ended June 30, 2022 and 2021, respectively, and 22.7% and 11.2% in the six months ended June 30, 2022 and 2021, respectively. The change in the effective tax rate in the three and six-month period ended June 30, 2022 compared to the corresponding prior year period was primarily attributable to the varying impact of equity in (losses) earnings of unconsolidated affiliates on income tax (benefit) expense.</w:t>
      </w:r>
    </w:p>
    <w:p>
      <w:pPr>
        <w:spacing w:after="0" w:line="6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We have a Deferred tax asset of $85.8 million as of June 30, 2022 and liability of $143.8 million as of December 31, 2021. The $229.6 million change in deferred taxes in the six months ended June 30, 2022 is primarily attributable to the sales of Ceridian shares during the six months ended June 30, 2022, the mark to market losses recorded on Ceridian and other securities, and the impairment recorded to the value of our ownership in Paysafe.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completed our evaluation of the recently issued accounting pronouncements and we did not identify any that are expected to, if currently adopted, have a material impact on our Condensed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historically accounted for our investment and proportionate share of losses in Alight utilizing a three-month reporting lag due to timeliness considerations. In the second quarter of 2022, the Company was able to obtain financial information for Alight on a more timely basis and began recording our investment in Alight on a current basis as opposed to the previous three-month lag. The elimination of the three-month reporting lag for our equity investment in Alight did not result in any material adjustments to the current or prior periods.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consists of:</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00" w:type="dxa"/>
            <w:vAlign w:val="bottom"/>
          </w:tcPr>
          <w:p>
            <w:pPr>
              <w:spacing w:after="0"/>
              <w:rPr>
                <w:sz w:val="14"/>
                <w:szCs w:val="14"/>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9"/>
              </w:rPr>
              <w:t>Six months ended June 30,</w:t>
            </w:r>
          </w:p>
        </w:tc>
      </w:tr>
      <w:tr>
        <w:trPr>
          <w:trHeight w:val="188"/>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1"/>
              </w:rPr>
              <w:t>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81"/>
        </w:trPr>
        <w:tc>
          <w:tcPr>
            <w:tcW w:w="5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2021</w:t>
            </w:r>
          </w:p>
        </w:tc>
      </w:tr>
      <w:tr>
        <w:trPr>
          <w:trHeight w:val="184"/>
        </w:trPr>
        <w:tc>
          <w:tcPr>
            <w:tcW w:w="546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Revenue Stream</w:t>
            </w:r>
          </w:p>
        </w:tc>
        <w:tc>
          <w:tcPr>
            <w:tcW w:w="10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Total Revenue</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208"/>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Restaurant revenue: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Restaurant sales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Restaurant Group</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338.6</w:t>
            </w:r>
          </w:p>
        </w:tc>
      </w:tr>
      <w:tr>
        <w:trPr>
          <w:trHeight w:val="213"/>
        </w:trPr>
        <w:tc>
          <w:tcPr>
            <w:tcW w:w="5560" w:type="dxa"/>
            <w:vAlign w:val="bottom"/>
            <w:gridSpan w:val="2"/>
          </w:tcPr>
          <w:p>
            <w:pPr>
              <w:ind w:left="140"/>
              <w:spacing w:after="0"/>
              <w:rPr>
                <w:sz w:val="20"/>
                <w:szCs w:val="20"/>
                <w:color w:val="auto"/>
              </w:rPr>
            </w:pPr>
            <w:r>
              <w:rPr>
                <w:rFonts w:ascii="Arial" w:cs="Arial" w:eastAsia="Arial" w:hAnsi="Arial"/>
                <w:sz w:val="16"/>
                <w:szCs w:val="16"/>
                <w:color w:val="auto"/>
              </w:rPr>
              <w:t>Bakery sales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Restaurant Group</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19"/>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Franchise and other</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Restaurant Group</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5560" w:type="dxa"/>
            <w:vAlign w:val="bottom"/>
            <w:gridSpan w:val="2"/>
          </w:tcPr>
          <w:p>
            <w:pPr>
              <w:ind w:left="220"/>
              <w:spacing w:after="0"/>
              <w:rPr>
                <w:sz w:val="20"/>
                <w:szCs w:val="20"/>
                <w:color w:val="auto"/>
              </w:rPr>
            </w:pPr>
            <w:r>
              <w:rPr>
                <w:rFonts w:ascii="Arial" w:cs="Arial" w:eastAsia="Arial" w:hAnsi="Arial"/>
                <w:sz w:val="16"/>
                <w:szCs w:val="16"/>
                <w:color w:val="auto"/>
              </w:rPr>
              <w:t>Total restaurant revenue</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166.7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328.8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357.2</w:t>
            </w:r>
          </w:p>
        </w:tc>
      </w:tr>
      <w:tr>
        <w:trPr>
          <w:trHeight w:val="21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operating revenue:</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5560" w:type="dxa"/>
            <w:vAlign w:val="bottom"/>
            <w:gridSpan w:val="2"/>
          </w:tcPr>
          <w:p>
            <w:pPr>
              <w:ind w:left="140"/>
              <w:spacing w:after="0"/>
              <w:rPr>
                <w:sz w:val="20"/>
                <w:szCs w:val="20"/>
                <w:color w:val="auto"/>
              </w:rPr>
            </w:pPr>
            <w:r>
              <w:rPr>
                <w:rFonts w:ascii="Arial" w:cs="Arial" w:eastAsia="Arial" w:hAnsi="Arial"/>
                <w:sz w:val="16"/>
                <w:szCs w:val="16"/>
                <w:color w:val="auto"/>
              </w:rPr>
              <w:t>Real estate and resort</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Corporate and other</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9"/>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Corporate and other</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7"/>
        </w:trPr>
        <w:tc>
          <w:tcPr>
            <w:tcW w:w="5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other operating revenue</w:t>
            </w:r>
          </w:p>
        </w:tc>
        <w:tc>
          <w:tcPr>
            <w:tcW w:w="1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r>
      <w:tr>
        <w:trPr>
          <w:trHeight w:val="232"/>
        </w:trPr>
        <w:tc>
          <w:tcPr>
            <w:tcW w:w="55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operating revenues</w:t>
            </w: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Restaurant revenue consists of restaurant sales, bakery operations, and, to a lesser extent, franchise revenue and other revenue. Restaurant sales include food and beverage sales and gift card breakage, are net of applicable state and local sales taxes and discounts, and are recognized at a point in time as services are performed and goods are provided.</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from bakery operations is recognized at a point in time in the period during which the products are shipped and control transfers to the customer.</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Franchise and other revenue consist of development fees and royalties on sales by franchised units. Initial franchise fees are recognized as income upon commencement of the franchise operation and completion of all material services and conditions by the Company. Royalties are calculated as a percentage of the franchisee sales and recognized in the period in which the sales are generated. Revenue resulting from the sale of gift cards is recognized in the period in which the gift card is redeemed and is recorded as deferred revenue until recognized.</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operating revenue consists of income generated by our resort operations, which includes sales of real estate, lodging rentals, food and beverage sales, and other income from various resort services offered. Revenue is recognized upon closing of the sale of real estate or once goods and services have been provided and billed to the customer.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trade receivables and deferred revenue:</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920" w:type="dxa"/>
            <w:vAlign w:val="bottom"/>
          </w:tcPr>
          <w:p>
            <w:pPr>
              <w:jc w:val="center"/>
              <w:ind w:left="302"/>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December 31,</w:t>
            </w:r>
          </w:p>
        </w:tc>
      </w:tr>
      <w:tr>
        <w:trPr>
          <w:trHeight w:val="195"/>
        </w:trPr>
        <w:tc>
          <w:tcPr>
            <w:tcW w:w="8440" w:type="dxa"/>
            <w:vAlign w:val="bottom"/>
          </w:tcPr>
          <w:p>
            <w:pPr>
              <w:spacing w:after="0"/>
              <w:rPr>
                <w:sz w:val="16"/>
                <w:szCs w:val="16"/>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r>
      <w:tr>
        <w:trPr>
          <w:trHeight w:val="187"/>
        </w:trPr>
        <w:tc>
          <w:tcPr>
            <w:tcW w:w="8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20" w:type="dxa"/>
            <w:vAlign w:val="bottom"/>
            <w:gridSpan w:val="3"/>
          </w:tcPr>
          <w:p>
            <w:pPr>
              <w:jc w:val="right"/>
              <w:ind w:right="919"/>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Deferred revenue (contract liabilities)</w:t>
            </w:r>
          </w:p>
        </w:tc>
        <w:tc>
          <w:tcPr>
            <w:tcW w:w="920" w:type="dxa"/>
            <w:vAlign w:val="bottom"/>
          </w:tcPr>
          <w:p>
            <w:pPr>
              <w:spacing w:after="0"/>
              <w:rPr>
                <w:sz w:val="20"/>
                <w:szCs w:val="20"/>
                <w:color w:val="auto"/>
              </w:rPr>
            </w:pPr>
          </w:p>
        </w:tc>
        <w:tc>
          <w:tcPr>
            <w:tcW w:w="420" w:type="dxa"/>
            <w:vAlign w:val="bottom"/>
          </w:tcPr>
          <w:p>
            <w:pPr>
              <w:jc w:val="right"/>
              <w:ind w:right="16"/>
              <w:spacing w:after="0"/>
              <w:rPr>
                <w:sz w:val="20"/>
                <w:szCs w:val="20"/>
                <w:color w:val="auto"/>
              </w:rPr>
            </w:pPr>
            <w:r>
              <w:rPr>
                <w:rFonts w:ascii="Arial" w:cs="Arial" w:eastAsia="Arial" w:hAnsi="Arial"/>
                <w:sz w:val="18"/>
                <w:szCs w:val="18"/>
                <w:color w:val="auto"/>
                <w:w w:val="85"/>
              </w:rPr>
              <w:t>16.1</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w:t>
            </w:r>
          </w:p>
        </w:tc>
      </w:tr>
    </w:tbl>
    <w:p>
      <w:pPr>
        <w:spacing w:after="0" w:line="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Deferred revenue is recorded primarily for restaurant gift card sales. The unrecognized portion of such revenue is recorded as Deferred revenue in the Condensed Consolidated Balance Sheets. Revenue of $5.2 million and $7.6 million, respectively, was recognized in the three and six months ended June 30, 2022 that was included in Deferred revenue at the beginning of the period. Revenue of $5.3 million and $9.4 million, respectively, was recognized in the three and six months ended June 30, 2021 that was included in Deferred revenue at the beginning of the period.</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impairment related to contract balances.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12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have the ability to access.</w:t>
      </w:r>
    </w:p>
    <w:p>
      <w:pPr>
        <w:spacing w:after="0" w:line="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our fair value hierarchy for those assets and liabilities measured at fair value on a recurring basis as of June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respectively: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4"/>
                <w:szCs w:val="14"/>
                <w:b w:val="1"/>
                <w:bCs w:val="1"/>
                <w:color w:val="auto"/>
                <w:w w:val="92"/>
              </w:rPr>
              <w:t>June 30, 2022</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7"/>
        </w:trPr>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83"/>
        </w:trPr>
        <w:tc>
          <w:tcPr>
            <w:tcW w:w="6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3"/>
          </w:tcPr>
          <w:p>
            <w:pPr>
              <w:jc w:val="center"/>
              <w:ind w:left="15"/>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9"/>
        </w:trPr>
        <w:tc>
          <w:tcPr>
            <w:tcW w:w="672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Ceridian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r>
      <w:tr>
        <w:trPr>
          <w:trHeight w:val="223"/>
        </w:trPr>
        <w:tc>
          <w:tcPr>
            <w:tcW w:w="6720" w:type="dxa"/>
            <w:vAlign w:val="bottom"/>
          </w:tcPr>
          <w:p>
            <w:pPr>
              <w:ind w:left="360"/>
              <w:spacing w:after="0"/>
              <w:rPr>
                <w:sz w:val="20"/>
                <w:szCs w:val="20"/>
                <w:color w:val="auto"/>
              </w:rPr>
            </w:pPr>
            <w:r>
              <w:rPr>
                <w:rFonts w:ascii="Arial" w:cs="Arial" w:eastAsia="Arial" w:hAnsi="Arial"/>
                <w:sz w:val="18"/>
                <w:szCs w:val="18"/>
                <w:color w:val="auto"/>
              </w:rPr>
              <w:t>Total equity securities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282.5</w:t>
            </w:r>
          </w:p>
        </w:tc>
      </w:tr>
      <w:tr>
        <w:trPr>
          <w:trHeight w:val="229"/>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720" w:type="dxa"/>
            <w:vAlign w:val="bottom"/>
          </w:tcPr>
          <w:p>
            <w:pPr>
              <w:ind w:left="240"/>
              <w:spacing w:after="0"/>
              <w:rPr>
                <w:sz w:val="20"/>
                <w:szCs w:val="20"/>
                <w:color w:val="auto"/>
              </w:rPr>
            </w:pPr>
            <w:r>
              <w:rPr>
                <w:rFonts w:ascii="Arial" w:cs="Arial" w:eastAsia="Arial" w:hAnsi="Arial"/>
                <w:sz w:val="18"/>
                <w:szCs w:val="18"/>
                <w:color w:val="auto"/>
              </w:rPr>
              <w:t>Paysafe Warrants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AAII Warrants</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noncurrent assets</w:t>
            </w: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48"/>
        </w:trPr>
        <w:tc>
          <w:tcPr>
            <w:tcW w:w="6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360"/>
        </w:trPr>
        <w:tc>
          <w:tcPr>
            <w:tcW w:w="6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4"/>
                <w:szCs w:val="14"/>
                <w:b w:val="1"/>
                <w:bCs w:val="1"/>
                <w:color w:val="auto"/>
                <w:w w:val="91"/>
              </w:rPr>
              <w:t>December 31, 2021</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87"/>
        </w:trPr>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83"/>
        </w:trPr>
        <w:tc>
          <w:tcPr>
            <w:tcW w:w="6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3"/>
          </w:tcPr>
          <w:p>
            <w:pPr>
              <w:jc w:val="center"/>
              <w:ind w:left="15"/>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720" w:type="dxa"/>
            <w:vAlign w:val="bottom"/>
          </w:tcPr>
          <w:p>
            <w:pPr>
              <w:ind w:left="120"/>
              <w:spacing w:after="0"/>
              <w:rPr>
                <w:sz w:val="20"/>
                <w:szCs w:val="20"/>
                <w:color w:val="auto"/>
              </w:rPr>
            </w:pPr>
            <w:r>
              <w:rPr>
                <w:rFonts w:ascii="Arial" w:cs="Arial" w:eastAsia="Arial" w:hAnsi="Arial"/>
                <w:sz w:val="18"/>
                <w:szCs w:val="18"/>
                <w:color w:val="auto"/>
              </w:rPr>
              <w:t>Ceridian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1,044.6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1,044.6</w:t>
            </w:r>
          </w:p>
        </w:tc>
      </w:tr>
      <w:tr>
        <w:trPr>
          <w:trHeight w:val="230"/>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6720" w:type="dxa"/>
            <w:vAlign w:val="bottom"/>
          </w:tcPr>
          <w:p>
            <w:pPr>
              <w:ind w:left="240"/>
              <w:spacing w:after="0"/>
              <w:rPr>
                <w:sz w:val="20"/>
                <w:szCs w:val="20"/>
                <w:color w:val="auto"/>
              </w:rPr>
            </w:pPr>
            <w:r>
              <w:rPr>
                <w:rFonts w:ascii="Arial" w:cs="Arial" w:eastAsia="Arial" w:hAnsi="Arial"/>
                <w:sz w:val="18"/>
                <w:szCs w:val="18"/>
                <w:color w:val="auto"/>
              </w:rPr>
              <w:t>Total equity securities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0.5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1,045.1</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720" w:type="dxa"/>
            <w:vAlign w:val="bottom"/>
          </w:tcPr>
          <w:p>
            <w:pPr>
              <w:ind w:left="120"/>
              <w:spacing w:after="0"/>
              <w:rPr>
                <w:sz w:val="20"/>
                <w:szCs w:val="20"/>
                <w:color w:val="auto"/>
              </w:rPr>
            </w:pPr>
            <w:r>
              <w:rPr>
                <w:rFonts w:ascii="Arial" w:cs="Arial" w:eastAsia="Arial" w:hAnsi="Arial"/>
                <w:sz w:val="18"/>
                <w:szCs w:val="18"/>
                <w:color w:val="auto"/>
              </w:rPr>
              <w:t>S1 Backstop Agreement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Paysafe Warrants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6720" w:type="dxa"/>
            <w:vAlign w:val="bottom"/>
          </w:tcPr>
          <w:p>
            <w:pPr>
              <w:ind w:left="120"/>
              <w:spacing w:after="0"/>
              <w:rPr>
                <w:sz w:val="20"/>
                <w:szCs w:val="20"/>
                <w:color w:val="auto"/>
              </w:rPr>
            </w:pPr>
            <w:r>
              <w:rPr>
                <w:rFonts w:ascii="Arial" w:cs="Arial" w:eastAsia="Arial" w:hAnsi="Arial"/>
                <w:sz w:val="18"/>
                <w:szCs w:val="18"/>
                <w:color w:val="auto"/>
              </w:rPr>
              <w:t>AAII Warrants</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3"/>
        </w:trPr>
        <w:tc>
          <w:tcPr>
            <w:tcW w:w="67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other noncurrent assets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23"/>
        </w:trPr>
        <w:tc>
          <w:tcPr>
            <w:tcW w:w="67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1,081.8</w:t>
            </w:r>
          </w:p>
        </w:tc>
      </w:tr>
      <w:tr>
        <w:trPr>
          <w:trHeight w:val="20"/>
        </w:trPr>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AAII Warrants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The AAII Warrants are accounted for at fair value pursuant to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These private placement warrants are valued using the trading price of AAII's publicly traded warrants (NYSE: ASZ-WT) and are considered a Level 2 fair value measurement.</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the changes in the fair values of Level 3 assets measured on a recurring basis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w w:val="92"/>
              </w:rPr>
              <w:t>Three Months Ended June 30, 2021</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79"/>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Corporate debt</w:t>
            </w:r>
          </w:p>
        </w:tc>
        <w:tc>
          <w:tcPr>
            <w:tcW w:w="14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Forward Purchase</w:t>
            </w:r>
          </w:p>
        </w:tc>
        <w:tc>
          <w:tcPr>
            <w:tcW w:w="14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Subscription</w:t>
            </w:r>
          </w:p>
        </w:tc>
        <w:tc>
          <w:tcPr>
            <w:tcW w:w="14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AAII</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2"/>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securities</w:t>
            </w:r>
          </w:p>
        </w:tc>
        <w:tc>
          <w:tcPr>
            <w:tcW w:w="14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Agreements</w:t>
            </w: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Agreements</w:t>
            </w: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Warrants</w:t>
            </w:r>
          </w:p>
        </w:tc>
        <w:tc>
          <w:tcPr>
            <w:tcW w:w="240" w:type="dxa"/>
            <w:vAlign w:val="bottom"/>
          </w:tcPr>
          <w:p>
            <w:pPr>
              <w:spacing w:after="0"/>
              <w:rPr>
                <w:sz w:val="16"/>
                <w:szCs w:val="16"/>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35"/>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Recognized gain on settlement (1)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of corporate debt securities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Net valuation (loss) gain included in earnings (1)</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851"/>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51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w w:val="93"/>
              </w:rPr>
              <w:t>Six Months Ended June 30, 2021</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Corporate debt</w:t>
            </w:r>
          </w:p>
        </w:tc>
        <w:tc>
          <w:tcPr>
            <w:tcW w:w="14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Forward Purchase</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Subscription</w:t>
            </w:r>
          </w:p>
        </w:tc>
        <w:tc>
          <w:tcPr>
            <w:tcW w:w="16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AAII</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securities</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Agreements</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Agreements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Warrants</w:t>
            </w:r>
          </w:p>
        </w:tc>
        <w:tc>
          <w:tcPr>
            <w:tcW w:w="240" w:type="dxa"/>
            <w:vAlign w:val="bottom"/>
          </w:tcPr>
          <w:p>
            <w:pPr>
              <w:spacing w:after="0"/>
              <w:rPr>
                <w:sz w:val="16"/>
                <w:szCs w:val="16"/>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Recognized gain on settlement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of corporate debt securities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Net valuation (loss) gain included in earnings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76"/>
        </w:trPr>
        <w:tc>
          <w:tcPr>
            <w:tcW w:w="49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Reclassification to investments in unconsolidated affiliates and</w:t>
            </w: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warrants</w:t>
            </w:r>
          </w:p>
        </w:tc>
        <w:tc>
          <w:tcPr>
            <w:tcW w:w="1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Purchase of AAII Warrants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w w:val="93"/>
              </w:rPr>
              <w:t xml:space="preserve">Net valuation gain included in other comprehensive earnings </w:t>
            </w:r>
            <w:r>
              <w:rPr>
                <w:rFonts w:ascii="Arial" w:cs="Arial" w:eastAsia="Arial" w:hAnsi="Arial"/>
                <w:sz w:val="23"/>
                <w:szCs w:val="23"/>
                <w:color w:val="auto"/>
                <w:w w:val="93"/>
                <w:vertAlign w:val="superscript"/>
              </w:rPr>
              <w:t>(2)</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Fair value,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13"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Recognized gains and (losses), net on the Condensed Consolidated Statements of Operations</w:t>
      </w:r>
    </w:p>
    <w:p>
      <w:pPr>
        <w:spacing w:after="0" w:line="1" w:lineRule="exact"/>
        <w:rPr>
          <w:rFonts w:ascii="Arial" w:cs="Arial" w:eastAsia="Arial" w:hAnsi="Arial"/>
          <w:sz w:val="14"/>
          <w:szCs w:val="14"/>
          <w:color w:val="auto"/>
        </w:rPr>
      </w:pPr>
    </w:p>
    <w:p>
      <w:pPr>
        <w:ind w:right="20" w:firstLine="8"/>
        <w:spacing w:after="0" w:line="255" w:lineRule="auto"/>
        <w:tabs>
          <w:tab w:leader="none" w:pos="237"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Unrealized gain on investments and other financial instruments, net (excluding investments in unconsolidated affiliates) on the Condensed Consolidated Statements of Comprehensive Earnings (Loss)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no material assets or liabilities valued on a recurring basis using Level 3 inputs as of or for the six months ended June 30, 2022.</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Transfers into or out of the Level 3 fair value category occur when unobservable inputs become more or less significant to the fair value measurement or upon a change in valuation technique. There were no transfers between Level 2 and Level 3 in the three and six months ended June 30, 2022 and 2021.</w:t>
      </w:r>
    </w:p>
    <w:p>
      <w:pPr>
        <w:spacing w:after="0" w:line="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of the unrealized gain on investments and other financial instruments, net (excluding investments in unconsolidated affiliates) on our Condensed Consolidated Statements of Comprehensive Earnings (Loss) for the six months ended June 30, 2021 relate to fixed maturity securities that are considered Level 3 fair value measures.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amounts of trade receivables and notes receivable approximate fair value due to their short-term nature. The fair value of our notes payable is included in Note 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Gains (losses) on equity securities included in Recognized losses, net on the Condensed Consolidated Statements of Operations consisted of the following for the three and six months ended June 30, 2022 and 2021: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6"/>
                <w:szCs w:val="16"/>
                <w:color w:val="auto"/>
              </w:rPr>
            </w:pPr>
          </w:p>
        </w:tc>
        <w:tc>
          <w:tcPr>
            <w:tcW w:w="232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(losses) gains recognized during the period on equity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175"/>
        </w:trPr>
        <w:tc>
          <w:tcPr>
            <w:tcW w:w="5660" w:type="dxa"/>
            <w:vAlign w:val="bottom"/>
          </w:tcPr>
          <w:p>
            <w:pPr>
              <w:ind w:left="40"/>
              <w:spacing w:after="0" w:line="176" w:lineRule="exact"/>
              <w:rPr>
                <w:sz w:val="20"/>
                <w:szCs w:val="20"/>
                <w:color w:val="auto"/>
              </w:rPr>
            </w:pPr>
            <w:r>
              <w:rPr>
                <w:rFonts w:ascii="Arial" w:cs="Arial" w:eastAsia="Arial" w:hAnsi="Arial"/>
                <w:sz w:val="18"/>
                <w:szCs w:val="18"/>
                <w:color w:val="auto"/>
                <w:w w:val="90"/>
              </w:rPr>
              <w:t>Less: net (losses) gains recognized during the period on equity securities sold</w:t>
            </w: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or transferred during the period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6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Unrealized (losses) gains recognized during the reporting period on equity</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securities held at the reporting date</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Investments in unconsolidated affiliates recorded using the equity method of accounting as of June 30, 2022 and December 31, 2021 consisted of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Ownership at June 30,</w:t>
            </w:r>
          </w:p>
        </w:tc>
        <w:tc>
          <w:tcPr>
            <w:tcW w:w="240" w:type="dxa"/>
            <w:vAlign w:val="bottom"/>
          </w:tcPr>
          <w:p>
            <w:pPr>
              <w:spacing w:after="0"/>
              <w:rPr>
                <w:sz w:val="14"/>
                <w:szCs w:val="14"/>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4"/>
                <w:szCs w:val="14"/>
                <w:color w:val="auto"/>
              </w:rPr>
            </w:pPr>
          </w:p>
        </w:tc>
        <w:tc>
          <w:tcPr>
            <w:tcW w:w="14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16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4"/>
          </w:tcPr>
          <w:p>
            <w:pPr>
              <w:jc w:val="right"/>
              <w:ind w:right="115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Alight/FTAC Sponsor</w:t>
            </w:r>
          </w:p>
        </w:tc>
        <w:tc>
          <w:tcPr>
            <w:tcW w:w="1680" w:type="dxa"/>
            <w:vAlign w:val="bottom"/>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505.0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Sightline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System1/Trebia Sponsor</w:t>
            </w:r>
          </w:p>
        </w:tc>
        <w:tc>
          <w:tcPr>
            <w:tcW w:w="1680" w:type="dxa"/>
            <w:vAlign w:val="bottom"/>
          </w:tcPr>
          <w:p>
            <w:pPr>
              <w:jc w:val="right"/>
              <w:spacing w:after="0"/>
              <w:rPr>
                <w:sz w:val="20"/>
                <w:szCs w:val="20"/>
                <w:color w:val="auto"/>
              </w:rPr>
            </w:pPr>
            <w:r>
              <w:rPr>
                <w:rFonts w:ascii="Arial" w:cs="Arial" w:eastAsia="Arial" w:hAnsi="Arial"/>
                <w:sz w:val="18"/>
                <w:szCs w:val="18"/>
                <w:color w:val="auto"/>
              </w:rPr>
              <w:t>24.2 %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AmeriLife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Paysafe</w:t>
            </w:r>
          </w:p>
        </w:tc>
        <w:tc>
          <w:tcPr>
            <w:tcW w:w="168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CCEEFF"/>
            </w:tcBorders>
            <w:gridSpan w:val="2"/>
          </w:tcPr>
          <w:p>
            <w:pPr>
              <w:ind w:left="1140"/>
              <w:spacing w:after="0"/>
              <w:rPr>
                <w:sz w:val="20"/>
                <w:szCs w:val="20"/>
                <w:color w:val="auto"/>
              </w:rPr>
            </w:pPr>
            <w:r>
              <w:rPr>
                <w:rFonts w:ascii="Arial" w:cs="Arial" w:eastAsia="Arial" w:hAnsi="Arial"/>
                <w:sz w:val="18"/>
                <w:szCs w:val="18"/>
                <w:color w:val="auto"/>
              </w:rPr>
              <w:t>various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2,261.3</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aggregate fair value of our direct and indirect ownership in the common stock of unconsolidated affiliates that have quoted market prices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2022 consisted of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June 30, 2022</w:t>
            </w:r>
          </w:p>
        </w:tc>
      </w:tr>
      <w:tr>
        <w:trPr>
          <w:trHeight w:val="187"/>
        </w:trPr>
        <w:tc>
          <w:tcPr>
            <w:tcW w:w="9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Dun &amp; Bradstreet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1,326.8</w:t>
            </w:r>
          </w:p>
        </w:tc>
      </w:tr>
      <w:tr>
        <w:trPr>
          <w:trHeight w:val="230"/>
        </w:trPr>
        <w:tc>
          <w:tcPr>
            <w:tcW w:w="9360" w:type="dxa"/>
            <w:vAlign w:val="bottom"/>
          </w:tcPr>
          <w:p>
            <w:pPr>
              <w:ind w:left="360"/>
              <w:spacing w:after="0"/>
              <w:rPr>
                <w:sz w:val="20"/>
                <w:szCs w:val="20"/>
                <w:color w:val="auto"/>
              </w:rPr>
            </w:pPr>
            <w:r>
              <w:rPr>
                <w:rFonts w:ascii="Arial" w:cs="Arial" w:eastAsia="Arial" w:hAnsi="Arial"/>
                <w:sz w:val="18"/>
                <w:szCs w:val="18"/>
                <w:color w:val="auto"/>
              </w:rPr>
              <w:t>Alight</w:t>
            </w: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354.2</w:t>
            </w:r>
          </w:p>
        </w:tc>
      </w:tr>
      <w:tr>
        <w:trPr>
          <w:trHeight w:val="230"/>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System1</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30"/>
        </w:trPr>
        <w:tc>
          <w:tcPr>
            <w:tcW w:w="9360" w:type="dxa"/>
            <w:vAlign w:val="bottom"/>
          </w:tcPr>
          <w:p>
            <w:pPr>
              <w:ind w:left="360"/>
              <w:spacing w:after="0"/>
              <w:rPr>
                <w:sz w:val="20"/>
                <w:szCs w:val="20"/>
                <w:color w:val="auto"/>
              </w:rPr>
            </w:pPr>
            <w:r>
              <w:rPr>
                <w:rFonts w:ascii="Arial" w:cs="Arial" w:eastAsia="Arial" w:hAnsi="Arial"/>
                <w:sz w:val="18"/>
                <w:szCs w:val="18"/>
                <w:color w:val="auto"/>
              </w:rPr>
              <w:t>Paysafe</w:t>
            </w:r>
          </w:p>
        </w:tc>
        <w:tc>
          <w:tcPr>
            <w:tcW w:w="5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116.5</w:t>
            </w:r>
          </w:p>
        </w:tc>
      </w:tr>
    </w:tbl>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Equity in (losses) earnings of unconsolidated affiliates for the three and six months ended June 30, 2022 and 2021 consisted of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87"/>
        </w:trPr>
        <w:tc>
          <w:tcPr>
            <w:tcW w:w="5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183"/>
        </w:trPr>
        <w:tc>
          <w:tcPr>
            <w:tcW w:w="5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5660" w:type="dxa"/>
            <w:vAlign w:val="bottom"/>
          </w:tcPr>
          <w:p>
            <w:pPr>
              <w:ind w:left="20"/>
              <w:spacing w:after="0" w:line="230" w:lineRule="exact"/>
              <w:rPr>
                <w:sz w:val="20"/>
                <w:szCs w:val="20"/>
                <w:color w:val="auto"/>
              </w:rPr>
            </w:pPr>
            <w:r>
              <w:rPr>
                <w:rFonts w:ascii="Arial" w:cs="Arial" w:eastAsia="Arial" w:hAnsi="Arial"/>
                <w:sz w:val="18"/>
                <w:szCs w:val="18"/>
                <w:color w:val="auto"/>
              </w:rPr>
              <w:t>Paysafe/Trasimene Capital FT, LP II ("FTAC II Sponsor")</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Alight/FTAC Sponsor</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System1/Trebia Sponsor</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AmeriLife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Sightline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_____________________________________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The amount for the three and six months ended June 30, 2021 represents the Company's equity in earnings of FTAC II Sponsor only.</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Dun &amp; Bradstreet</w:t>
      </w:r>
    </w:p>
    <w:p>
      <w:pPr>
        <w:spacing w:after="0" w:line="104"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8"/>
          <w:szCs w:val="18"/>
          <w:color w:val="auto"/>
        </w:rPr>
        <w:t>As of June 30, 2022, there was a $239.3 million difference between the amount of our recorded ownership interest in D&amp;B and the amount of the Company's ratable portion of the underlying equity in the net assets of D&amp;B. The basis difference is primarily a result of our increased ownership resulting from the Optimal Blue Disposition. As of June 30, 2022, $144.5 million of such basis difference is allocated to amortizing intangible assets, $59.7 million to indefinite-lived intangible assets and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6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remaining basis difference of $35.1 million to equity method goodwill, which represents the excess of our basis difference over our equity in D&amp;B's net assets that are not attributable to their identifiable net assets.</w:t>
      </w:r>
    </w:p>
    <w:p>
      <w:pPr>
        <w:spacing w:after="0" w:line="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Summarized financial information for D&amp;B for the relevant dates and time periods included in Investments in unconsolidated affiliates and Equity in earnings of unconsolidated affiliates in our Condensed Consolidated Balance Sheets and Statements of Operations, respectively, is presented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200" w:type="dxa"/>
            <w:vAlign w:val="bottom"/>
          </w:tcPr>
          <w:p>
            <w:pPr>
              <w:jc w:val="right"/>
              <w:ind w:right="253"/>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4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182"/>
        </w:trPr>
        <w:tc>
          <w:tcPr>
            <w:tcW w:w="4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5"/>
                <w:szCs w:val="15"/>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7,978.8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8,317.8</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w:t>
            </w: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9,696.6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9,997.2</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948.0</w:t>
            </w:r>
          </w:p>
        </w:tc>
        <w:tc>
          <w:tcPr>
            <w:tcW w:w="12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1,004.9</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3,716.7</w:t>
            </w:r>
          </w:p>
        </w:tc>
      </w:tr>
      <w:tr>
        <w:trPr>
          <w:trHeight w:val="23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0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1,530.3</w:t>
            </w: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6,251.9</w:t>
            </w:r>
          </w:p>
        </w:tc>
      </w:tr>
      <w:tr>
        <w:trPr>
          <w:trHeight w:val="229"/>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10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3,745.3</w:t>
            </w: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10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9,997.2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gridSpan w:val="3"/>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1"/>
        </w:trPr>
        <w:tc>
          <w:tcPr>
            <w:tcW w:w="4600" w:type="dxa"/>
            <w:vAlign w:val="bottom"/>
          </w:tcPr>
          <w:p>
            <w:pPr>
              <w:spacing w:after="0"/>
              <w:rPr>
                <w:sz w:val="24"/>
                <w:szCs w:val="24"/>
                <w:color w:val="auto"/>
              </w:rPr>
            </w:pPr>
          </w:p>
        </w:tc>
        <w:tc>
          <w:tcPr>
            <w:tcW w:w="27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600" w:type="dxa"/>
            <w:vAlign w:val="bottom"/>
          </w:tcPr>
          <w:p>
            <w:pPr>
              <w:spacing w:after="0"/>
              <w:rPr>
                <w:sz w:val="16"/>
                <w:szCs w:val="16"/>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183"/>
        </w:trPr>
        <w:tc>
          <w:tcPr>
            <w:tcW w:w="4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537.3</w:t>
            </w:r>
          </w:p>
        </w:tc>
        <w:tc>
          <w:tcPr>
            <w:tcW w:w="112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Dun &amp; Bradstreet</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System1</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acquired our ownership interest in System1 on January 27, 2022. We account for our ownership of System1 pursuant to the equity method of accounting and report our equity in earnings or loss of System1 on a three-month lag. Accordingly, our net loss for the three and six months ended June 30, 2022 includes our equity in the earnings or losses of System1 from January 27, 2022 through March 31, 2022.</w:t>
      </w:r>
    </w:p>
    <w:p>
      <w:pPr>
        <w:spacing w:after="0" w:line="62"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8"/>
          <w:szCs w:val="18"/>
          <w:color w:val="auto"/>
        </w:rPr>
        <w:t>As of June 30, 2022, there was a $41.1 million difference between the amount of our recorded ownership interest in System1 and Trebia Sponsor and the amount of the Company's ratable portion of the underlying equity in the net assets of System1 and Trebia Sponsor. All of the basis difference has been allocated to equity method goodwill, which represents the excess of our basis difference over our equity in System 1 and Trebia Sponsor's net assets that are not attributable to their identifiable net assets.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Paysafe</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Based on quoted market prices, the aggregate value of our ownership of Paysafe common stock was $202.6 million as of March 31, 2022 and the book value of our investment in Paysafe was $438.6 million prior to any impairment. Due primarily to the quantum of the decrease in the fair market value of our investment, as well as negative trends in the alternative payments industry and decreasing market multiples of peer companies, management determined the decrease in value of our investment in Paysafe was other-than-temporary. Accordingly, we recorded an impairment of $236.0 million in the six months ended June 30, 2022 which is included in Recognized losses, net, on our Condensed Consolidated Statement of Operations. As a result of the impairment, the basis difference between the carrying value of our investment in Paysafe and the Company’s ratable portion of Paysafe’s net assets which was previously attributable to equity method goodwill was eliminated.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Security Investments Without Readily Determinable Fair Values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account for our ownership of preferred equity of QOMPLX and certain other ownership interests at cost less impairment, if any, plus or minus changes resulting from observable price changes in orderly market transactions. As of June 30, 2022 and December 31, 2021, we have $24.8 million and $54.2 million, respectively, recorded for our ownership of QOMPLX and certain other ownership interests, which is included in Other long term investments and noncurrent assets on our Condensed Consolidated Balance Sheets.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quarter ended June 30, 2022, we determined it was necessary to record an impairment of $32.8 million to our ownership interest in QOMPLX. The amount of the impairment charge was determined based on the valuation of QOMPLX implied by a pending third-party investment in the preferred equity of QOMPLX.</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Notes Payable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Notes payable, net consists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8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r>
      <w:tr>
        <w:trPr>
          <w:trHeight w:val="183"/>
        </w:trPr>
        <w:tc>
          <w:tcPr>
            <w:tcW w:w="8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4"/>
          </w:tcPr>
          <w:p>
            <w:pPr>
              <w:jc w:val="right"/>
              <w:ind w:right="854"/>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Margin Facility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2021 Restaurants Credit Facility</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Brasada Interstate Loans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FNF Revolver</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Notes payable, 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Notes payable, current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Notes payable, long term</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June 30, 2022, the carrying value of our outstanding notes payable approximates fair value and are considered Level 2 financial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Margin Facility</w:t>
      </w:r>
    </w:p>
    <w:p>
      <w:pPr>
        <w:spacing w:after="0" w:line="11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November 30, 2020, Cannae Funding C, LLC (“Borrower 1”), an indirect wholly-owned special purpose subsidiary of the Company, and Cannae Funding D, LLC (“Borrower 2” and, together with Borrower 1, the “Borrowers”), an indirect wholly-owned special purpose subsidiary of the Company, entered into a Margin Loan Agreement (the “2020 Margin Facility”) with the lenders from time to time party thereto and Royal Bank of Canada. The Company concurrently entered into a guaranty (the “Guaranty Agreement”) for the benefit of each of the lenders to the 2020 Margin Facility pro rata to their loan commitments, pursuant to which the Company absolutely, unconditionally and irrevocably guaranteed all of the Borrowers’ obligations under the 2020 Margin Facility for a period of up to one year after the later of (i) the conditions precedent to the obligations of the lenders under the Loan Agreement being met (the date when such conditions have been met, the “Closing Date”) or (ii) as relevant, additional collateral or additional loan commitments being provided. Under the 2020 Margin Facility, the Borrowers may initially borrow up to $100.0 million in revolving loans and, subject to certain terms and conditions, may enter into an amendment to the 2020 Margin Facility to borrow up to $500.0 million in revolving loans (including the initial revolving loans) from the same initial lender and/or additional lenders on substantially identical terms and conditions as the initial revolving loans. The 2020 Margin Facility matures on the 36-month anniversary of the Closing Date. All outstanding amounts under the 2020 Margin Facility bear interest quarterly at a rate per annum equal to a three-month LIBOR rate plus an applicable margin. Interest will be payable in kind unless the Borrowers elect to pay interest in cash or a cumulative cap is exceeded. The Borrowers’ obligations under the 2020 Margin Facility will be secured by a first priority lien on (i) 6 million shares of Ceridian, which the Company contributed to Borrower 1, and (ii) 19 million shares of D&amp;B, which the Company contributed to Borrower 2. The Borrowers may also, at their discretion, post up to an additional 4 million shares of Ceridian and/or 11 million shares of D&amp;B as collateral for the revolving loans from time to time after the Closing Date, subject to certain notice, guaranty, average daily trading volume and other requirements. The 2020 Margin Facility requires the Borrowers to maintain a certain loan-to-value ratio (based on the value of Ceridian and D&amp;B shares). In the event the Borrowers fail to maintain such loan-to-value ratio, the Borrowers must post additional cash collateral under the Loan Agreement and/or elect to repay a portion of the revolving loans thereunder, or sell the Ceridian and/or D&amp;B shares and use the proceeds from such sale to prepay a portion of the revolving loans thereunder.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16, 2021, the Borrowers entered into an amendment agreement to the 2020 Margin Facility, which increased the borrowing capacity of the 2020 Margin Facility by an additional $100.0 million and resulted in the transfer of 16 million additional shares of D&amp;B to Borrower 2 as collateral. On December 10, 2021, the Borrowers entered into a second amendment agreement to the 2020 Margin Facility, which increased the borrowing capacity by an additional $100.0 million and released 1 million shares of Ceridian as collateral. As of December 31, 2021, the 2020 Margin Facility was secured by a first priority lien on 5 million shares of Ceridian and 35 million shares of D&amp;B.</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20, 2022, the Borrowers entered into a third amendment agreement to the 2020 Margin Facility, which added 1 million shares of Ceridian as collateral, limited the collateral value of D&amp;B shares to 1.5 times that of the Ceridian shares for purposes of calculating loan-to-value ratios, and decreased the threshold price of Ceridian shares and D&amp;B shares.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12, 2022, the Borrowers entered into a fourth amendment agreement to the 2020 Margin Facility, which reduced the borrowing capacity from $300.0 million to $250.0 million and changed the interest rate to three-month adjusted SOFR plus an applicable margin.</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2022, there was no outstanding balance under the 2020 Margin Facility, $250.0 million of unused capacity under the 2020 Margin Facility with an option to increase the capacity to $500.0 million upon amendment, and the 2020 Margin Facility was secured by 6 million shares of Ceridian and 35 million shares of D&amp;B.</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Restaurants Credit Facility</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December 31, 2021, 99 Restaurants, LLC and 99 West, LLC, both wholly-owned subsidiaries of 99 Restaurants, O'Charley's LLC, a wholly-owned subsidiary of O'Charley's and Restaurant Growth Services, LLC, a 65.4%-owned subsidiary of the Company (collectively, the "Restaurant Borrowers") entered into an amendment to the 99 Restaurants Credit Facility (the "2021 Restaurants Credit Facility"). The 2021 Restaurants Credit Facility principally provides for: (i) a revolving credit commitment of $25.0 million in the aggregate (the "Restaurant Revolver") and (ii) a sub-facility for an aggregate of $15.0 million of letters of credit. The 2021 Restaurants Credit Facility matures on December 31, 2026. The 2021 Restaurants Credit Facility is secured by certain assets of the Restaurant Borrowers and their subsidiaries and contains customary covenants and events of default.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2022, there was a $10.0 million outstanding 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Brasada Interstate Loans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29, 2016, FNF NV Brasada, LLC, an Oregon limited liability company and majority-owned subsidiary of Cannae ("NV Brasada"), entered into a credit agreement (the “Interstate Credit Agreement”) originally with Bank of the Cascades, and later assigned to First Interstate Bank, as lender. Subsequent to various amendments from 2016 through 2022, the Interstate Credit Agreement currently provides for (i) a $12.5 million acquisition loan (the "Acquisition Loan"), (ii) a $2.1 million construction loan ("C Note") and (iii) a $0.7 million line of credit loan (the "Interstate LOC" and collectively with the Acquisition Loan and C Note, the "Brasada Interstate Loans").</w:t>
      </w:r>
    </w:p>
    <w:p>
      <w:pPr>
        <w:spacing w:after="0" w:line="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Brasada Interstate Loans are secured by certain single-family residential lots that can be sold for construction, owned by NV Brasada, and certain other operating assets owned by NV Brasada. The Company does not provide any guaranty or stock pledge under the Interstate Credit Agreement.</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2022, the Acquisition Loan had $9.9 million outstanding and incurred interest at rates ranging from 2.84% to 4.51%; the C Note had $2.0 million outstanding and incurred interest at 3.05%; and the Interstate LOC had no outstanding balance.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FNF Revolver</w:t>
      </w:r>
    </w:p>
    <w:p>
      <w:pPr>
        <w:spacing w:after="0" w:line="10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On November 17, 2017, FNF issued to Cannae a revolver note in aggregate principal amount of up to $100.0 million. On May 12, 2022, FNF and Cannae amended and restated the revolver note to, among other things, limit the use of proceeds for borrowings thereunder to the repurchase of our own shares of common stock from FNF (as amended and restated, the "FNF Revolver"). Pursuant to the FNF Revolver, FNF may make one or more loans to us with up to $100.0 million outstanding at any time. The FNF Revolver accrues interest at one-month adjusted SOFR plus 450 basis points and matures on November 17, 2025. The maturity date is automatically extended for additional five-year terms unless notice of non-renewal is otherwise provided by either FNF or Cannae, in their sole discretion. On June 28, 2022, we completed the repurchase of all of our common stock previously held by FNF.</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2022, there was a $84.7 million outstanding principal amount under the FNF Revolver which incurs interest at 5.99%.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00" w:type="dxa"/>
            <w:vAlign w:val="bottom"/>
          </w:tcPr>
          <w:p>
            <w:pPr>
              <w:ind w:left="4500"/>
              <w:spacing w:after="0"/>
              <w:rPr>
                <w:sz w:val="20"/>
                <w:szCs w:val="20"/>
                <w:color w:val="auto"/>
              </w:rPr>
            </w:pPr>
            <w:r>
              <w:rPr>
                <w:rFonts w:ascii="Arial" w:cs="Arial" w:eastAsia="Arial" w:hAnsi="Arial"/>
                <w:sz w:val="18"/>
                <w:szCs w:val="18"/>
                <w:b w:val="1"/>
                <w:bCs w:val="1"/>
                <w:color w:val="auto"/>
              </w:rPr>
              <w:t>CANNAE HOLDINGS, INC.</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10100" w:type="dxa"/>
            <w:vAlign w:val="bottom"/>
          </w:tcPr>
          <w:p>
            <w:pPr>
              <w:ind w:left="1560"/>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810"/>
        </w:trPr>
        <w:tc>
          <w:tcPr>
            <w:tcW w:w="10100" w:type="dxa"/>
            <w:vAlign w:val="bottom"/>
          </w:tcPr>
          <w:p>
            <w:pPr>
              <w:ind w:left="340"/>
              <w:spacing w:after="0"/>
              <w:rPr>
                <w:sz w:val="20"/>
                <w:szCs w:val="20"/>
                <w:color w:val="auto"/>
              </w:rPr>
            </w:pPr>
            <w:r>
              <w:rPr>
                <w:rFonts w:ascii="Arial" w:cs="Arial" w:eastAsia="Arial" w:hAnsi="Arial"/>
                <w:sz w:val="18"/>
                <w:szCs w:val="18"/>
                <w:color w:val="auto"/>
              </w:rPr>
              <w:t>Gross principal maturities of notes payable at June 30, 2022 are as follows (in millions):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35"/>
        </w:trPr>
        <w:tc>
          <w:tcPr>
            <w:tcW w:w="10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29"/>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10100" w:type="dxa"/>
            <w:vAlign w:val="bottom"/>
          </w:tcPr>
          <w:p>
            <w:pPr>
              <w:ind w:left="2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10100" w:type="dxa"/>
            <w:vAlign w:val="bottom"/>
          </w:tcPr>
          <w:p>
            <w:pPr>
              <w:ind w:left="20"/>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85.4</w:t>
            </w:r>
          </w:p>
        </w:tc>
      </w:tr>
      <w:tr>
        <w:trPr>
          <w:trHeight w:val="230"/>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10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spacing w:after="0" w:line="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June 30, 2022 and December 31, 2021,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3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September 23, 2020, a stockholder derivative lawsuit styled Oklahoma Firefighters Pension &amp; Retirement System, derivatively on behalf of Cannae Holdings, Inc. v. William P. Foley, II, et al., was filed in the Court of Chancery of the State of Delaware against the Company, certain Board members and officers of the Company, and the Manager, alleging breach of fiduciary duties relating to the Company’s Management Services Agreement. The plaintiff further alleges the Board breached their fiduciary duties by approving bonuses in connection with the initial public offering of Ceridian and the approval of an Investment Success Incentive Plan in August 2018. Along with the Complaint, the plaintiff filed a motion for partial summary judgment as to the count seeking to void the Management Services Agreement. On January 27, 2021, the Company entered into an amendment to the Management Services Agreement and plaintiff withdrew its motion for partial summary judgment as moot. On February 1, 2021, the court ordered the plaintiff's summary judgment motion withdrawn and dismissed the related count of the plaintiff's complaint. On February 18, 2021, our Board formed a Special Litigation Committee (the "SLC") consisting of two of the Board’s Directors, and has authorized the SLC, among other things, to investigate and evaluate the claims and allegations asserted in the lawsuit. The Board has also given the SLC the sole authority and power to consider and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determine whether or not prosecution of the claims asserted in the lawsuit is in the best interest of the Company and its shareholders, and what action the Company should take with respect to the lawsuit. On March 9, 2021, the Court entered a stipulated Order staying the action for six months to allow the SLC to investigate, review, and evaluate the facts, circumstances, and claims asserted in or relating to the action and to determine the Company’s response thereto. The stay has subsequently been extended through September 28, 2022. The defendants will contest the remaining claims in the action vigorously.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certain unconditional purchase obligations, primarily in our Restaurant Group segment. These purchase obligations are with various vendors and are primarily related to food and beverage obligations with fixed commitments in regards to the time period of the contract and the quantities purchased with annual price adjustments that can fluctuate. We used both historical and projected volume and pricing as of June 30, 2022 to determine the amount of the obligations. Purchase obligations as of June 30, 2022 are as follows (in millions):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30"/>
        </w:trPr>
        <w:tc>
          <w:tcPr>
            <w:tcW w:w="10100" w:type="dxa"/>
            <w:vAlign w:val="bottom"/>
          </w:tcPr>
          <w:p>
            <w:pPr>
              <w:ind w:left="20"/>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10100" w:type="dxa"/>
            <w:vAlign w:val="bottom"/>
          </w:tcPr>
          <w:p>
            <w:pPr>
              <w:ind w:left="20"/>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10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48"/>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commitments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AAII FPA</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February 25, 2021, we entered into a forward purchase agreement (the "AAII FPA") with Austerlitz Acquisition Corp. II ("AAII"), a special purpose acquisition company ("SPAC") whose business purpose is to effect a merger, capital stock exchange, asset acquisition, stock purchase, reorganization or similar business combination with one or more businesses or entities (the "AAII Initial Business Combination"). AAII is co-sponsored by entities affiliated with William P. Foley II. Under the AAII FPA, we agreed to purchase an aggregate of 12,500,000 shares of AAII’s Class A common stock, plus an aggregate of 3,125,000 redeemable warrants to purchase one share of AAII's Class A common stock at $11.50 per share for an aggregate purchase price of $125.0 million in a private placement to occur concurrently with the closing of the AAII Initial Business Combination. The AAII FPA is contingent upon the closing of the AAII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a result of the Optimal Blue Disposition, Optimal Blue is no longer a reportable segment. As a result, the segment tables for the three and six months ended June 30, 2021 have been retrospectively revised to remove Optimal Blue as a reportable segment.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June 30,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color w:val="auto"/>
                <w:w w:val="84"/>
              </w:rPr>
              <w:t>Restaurant</w:t>
            </w:r>
          </w:p>
        </w:tc>
        <w:tc>
          <w:tcPr>
            <w:tcW w:w="14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color w:val="auto"/>
                <w:w w:val="93"/>
              </w:rPr>
              <w:t>Dun &amp;</w:t>
            </w:r>
          </w:p>
        </w:tc>
        <w:tc>
          <w:tcPr>
            <w:tcW w:w="160" w:type="dxa"/>
            <w:vAlign w:val="bottom"/>
          </w:tcPr>
          <w:p>
            <w:pPr>
              <w:spacing w:after="0"/>
              <w:rPr>
                <w:sz w:val="13"/>
                <w:szCs w:val="13"/>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3"/>
                <w:szCs w:val="13"/>
                <w:color w:val="auto"/>
              </w:rPr>
              <w:t>Paysafe</w:t>
            </w:r>
          </w:p>
        </w:tc>
        <w:tc>
          <w:tcPr>
            <w:tcW w:w="200" w:type="dxa"/>
            <w:vAlign w:val="bottom"/>
          </w:tcPr>
          <w:p>
            <w:pPr>
              <w:spacing w:after="0"/>
              <w:rPr>
                <w:sz w:val="13"/>
                <w:szCs w:val="13"/>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color w:val="auto"/>
              </w:rPr>
              <w:t>Alight</w:t>
            </w:r>
          </w:p>
        </w:tc>
        <w:tc>
          <w:tcPr>
            <w:tcW w:w="12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3"/>
                <w:szCs w:val="13"/>
                <w:color w:val="auto"/>
              </w:rPr>
              <w:t>AmeriLife</w:t>
            </w:r>
          </w:p>
        </w:tc>
        <w:tc>
          <w:tcPr>
            <w:tcW w:w="980" w:type="dxa"/>
            <w:vAlign w:val="bottom"/>
            <w:gridSpan w:val="3"/>
          </w:tcPr>
          <w:p>
            <w:pPr>
              <w:jc w:val="center"/>
              <w:ind w:right="120"/>
              <w:spacing w:after="0"/>
              <w:rPr>
                <w:sz w:val="20"/>
                <w:szCs w:val="20"/>
                <w:color w:val="auto"/>
              </w:rPr>
            </w:pPr>
            <w:r>
              <w:rPr>
                <w:rFonts w:ascii="Arial" w:cs="Arial" w:eastAsia="Arial" w:hAnsi="Arial"/>
                <w:sz w:val="13"/>
                <w:szCs w:val="13"/>
                <w:color w:val="auto"/>
                <w:w w:val="84"/>
              </w:rPr>
              <w:t>Corporate and</w:t>
            </w:r>
          </w:p>
        </w:tc>
        <w:tc>
          <w:tcPr>
            <w:tcW w:w="1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color w:val="auto"/>
                <w:w w:val="98"/>
              </w:rPr>
              <w:t>Affiliate</w:t>
            </w:r>
          </w:p>
        </w:tc>
        <w:tc>
          <w:tcPr>
            <w:tcW w:w="200" w:type="dxa"/>
            <w:vAlign w:val="bottom"/>
          </w:tcPr>
          <w:p>
            <w:pPr>
              <w:spacing w:after="0"/>
              <w:rPr>
                <w:sz w:val="13"/>
                <w:szCs w:val="13"/>
                <w:color w:val="auto"/>
              </w:rPr>
            </w:pPr>
          </w:p>
        </w:tc>
        <w:tc>
          <w:tcPr>
            <w:tcW w:w="660" w:type="dxa"/>
            <w:vAlign w:val="bottom"/>
            <w:vMerge w:val="restart"/>
          </w:tcPr>
          <w:p>
            <w:pPr>
              <w:jc w:val="right"/>
              <w:ind w:right="22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8"/>
              </w:rPr>
              <w:t>Group</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6"/>
              </w:rPr>
              <w:t>Bradstreet</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color w:val="auto"/>
                <w:w w:val="92"/>
              </w:rPr>
              <w:t>Other</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1"/>
              </w:rPr>
              <w:t>Elimination</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(1,810.8)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537.3</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367.7</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(1,810.8)</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174.5</w:t>
            </w:r>
          </w:p>
        </w:tc>
        <w:tc>
          <w:tcPr>
            <w:tcW w:w="0" w:type="dxa"/>
            <w:vAlign w:val="bottom"/>
          </w:tcPr>
          <w:p>
            <w:pPr>
              <w:spacing w:after="0"/>
              <w:rPr>
                <w:sz w:val="1"/>
                <w:szCs w:val="1"/>
                <w:color w:val="auto"/>
              </w:rPr>
            </w:pPr>
          </w:p>
        </w:tc>
      </w:tr>
      <w:tr>
        <w:trPr>
          <w:trHeight w:val="135"/>
        </w:trPr>
        <w:tc>
          <w:tcPr>
            <w:tcW w:w="3580" w:type="dxa"/>
            <w:vAlign w:val="bottom"/>
          </w:tcPr>
          <w:p>
            <w:pPr>
              <w:ind w:left="20"/>
              <w:spacing w:after="0" w:line="135" w:lineRule="exact"/>
              <w:rPr>
                <w:sz w:val="20"/>
                <w:szCs w:val="20"/>
                <w:color w:val="auto"/>
              </w:rPr>
            </w:pPr>
            <w:r>
              <w:rPr>
                <w:rFonts w:ascii="Arial" w:cs="Arial" w:eastAsia="Arial" w:hAnsi="Arial"/>
                <w:sz w:val="14"/>
                <w:szCs w:val="14"/>
                <w:color w:val="auto"/>
                <w:w w:val="95"/>
              </w:rPr>
              <w:t>Interest, investment and other income, including recognized</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95.0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(195.5)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(110.0)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(193.5)</w:t>
            </w: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Arial" w:cs="Arial" w:eastAsia="Arial" w:hAnsi="Arial"/>
                <w:sz w:val="14"/>
                <w:szCs w:val="14"/>
                <w:color w:val="auto"/>
              </w:rPr>
              <w:t>gains (losses), net</w:t>
            </w: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3"/>
              </w:rPr>
              <w:t>Total revenues, other income and realized gains (losses), net</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548.8</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371.2</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(187.7)</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(1,920.8)</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79"/>
        </w:trPr>
        <w:tc>
          <w:tcPr>
            <w:tcW w:w="35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147.0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(239.7)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2"/>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5"/>
        </w:trPr>
        <w:tc>
          <w:tcPr>
            <w:tcW w:w="3580" w:type="dxa"/>
            <w:vAlign w:val="bottom"/>
          </w:tcPr>
          <w:p>
            <w:pPr>
              <w:ind w:left="20"/>
              <w:spacing w:after="0" w:line="135" w:lineRule="exact"/>
              <w:rPr>
                <w:sz w:val="20"/>
                <w:szCs w:val="20"/>
                <w:color w:val="auto"/>
              </w:rPr>
            </w:pPr>
            <w:r>
              <w:rPr>
                <w:rFonts w:ascii="Arial" w:cs="Arial" w:eastAsia="Arial" w:hAnsi="Arial"/>
                <w:sz w:val="14"/>
                <w:szCs w:val="14"/>
                <w:color w:val="auto"/>
                <w:w w:val="96"/>
              </w:rPr>
              <w:t>(Loss) earnings before income taxes and equity in earnings</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(1,214.2)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(220.6)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1,143.2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(223.1)</w:t>
            </w: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Arial" w:cs="Arial" w:eastAsia="Arial" w:hAnsi="Arial"/>
                <w:sz w:val="14"/>
                <w:szCs w:val="14"/>
                <w:color w:val="auto"/>
              </w:rPr>
              <w:t>(losses) of unconsolidated affiliates</w:t>
            </w: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15"/>
        </w:trPr>
        <w:tc>
          <w:tcPr>
            <w:tcW w:w="3580" w:type="dxa"/>
            <w:vAlign w:val="bottom"/>
          </w:tcPr>
          <w:p>
            <w:pPr>
              <w:ind w:left="20"/>
              <w:spacing w:after="0" w:line="115" w:lineRule="exact"/>
              <w:rPr>
                <w:sz w:val="20"/>
                <w:szCs w:val="20"/>
                <w:color w:val="auto"/>
              </w:rPr>
            </w:pPr>
            <w:r>
              <w:rPr>
                <w:rFonts w:ascii="Arial" w:cs="Arial" w:eastAsia="Arial" w:hAnsi="Arial"/>
                <w:sz w:val="13"/>
                <w:szCs w:val="13"/>
                <w:color w:val="auto"/>
              </w:rPr>
              <w:t>(Loss) earnings, before equity in (losses) earnings of</w:t>
            </w: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(1,170.8)</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(154.1)</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1,090.7</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83"/>
        </w:trPr>
        <w:tc>
          <w:tcPr>
            <w:tcW w:w="358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(1,170.8)</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996.0</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(264.6)</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9,696.6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6,501.3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2,829.1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(28,967.2)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3,188.1</w:t>
            </w:r>
          </w:p>
        </w:tc>
        <w:tc>
          <w:tcPr>
            <w:tcW w:w="0" w:type="dxa"/>
            <w:vAlign w:val="bottom"/>
          </w:tcPr>
          <w:p>
            <w:pPr>
              <w:spacing w:after="0"/>
              <w:rPr>
                <w:sz w:val="1"/>
                <w:szCs w:val="1"/>
                <w:color w:val="auto"/>
              </w:rPr>
            </w:pPr>
          </w:p>
        </w:tc>
      </w:tr>
      <w:tr>
        <w:trPr>
          <w:trHeight w:val="182"/>
        </w:trPr>
        <w:tc>
          <w:tcPr>
            <w:tcW w:w="35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3,437.1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2,712.8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3,624.0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(10,758.2)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June 30, 2021:</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3"/>
                <w:szCs w:val="13"/>
                <w:color w:val="auto"/>
                <w:w w:val="98"/>
              </w:rPr>
              <w:t>Restaurant Group</w:t>
            </w:r>
          </w:p>
        </w:tc>
        <w:tc>
          <w:tcPr>
            <w:tcW w:w="1080" w:type="dxa"/>
            <w:vAlign w:val="bottom"/>
            <w:gridSpan w:val="3"/>
            <w:vMerge w:val="restart"/>
          </w:tcPr>
          <w:p>
            <w:pPr>
              <w:ind w:left="40"/>
              <w:spacing w:after="0"/>
              <w:rPr>
                <w:sz w:val="20"/>
                <w:szCs w:val="20"/>
                <w:color w:val="auto"/>
              </w:rPr>
            </w:pPr>
            <w:r>
              <w:rPr>
                <w:rFonts w:ascii="Arial" w:cs="Arial" w:eastAsia="Arial" w:hAnsi="Arial"/>
                <w:sz w:val="13"/>
                <w:szCs w:val="13"/>
                <w:color w:val="auto"/>
              </w:rPr>
              <w:t>Dun &amp; Bradstreet</w:t>
            </w:r>
          </w:p>
        </w:tc>
        <w:tc>
          <w:tcPr>
            <w:tcW w:w="14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auto"/>
              </w:rPr>
              <w:t>AmeriLife</w:t>
            </w:r>
          </w:p>
        </w:tc>
        <w:tc>
          <w:tcPr>
            <w:tcW w:w="180" w:type="dxa"/>
            <w:vAlign w:val="bottom"/>
          </w:tcPr>
          <w:p>
            <w:pPr>
              <w:spacing w:after="0"/>
              <w:rPr>
                <w:sz w:val="12"/>
                <w:szCs w:val="12"/>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color w:val="auto"/>
              </w:rPr>
              <w:t>Corporate</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color w:val="auto"/>
              </w:rPr>
              <w:t>Affiliate</w:t>
            </w:r>
          </w:p>
        </w:tc>
        <w:tc>
          <w:tcPr>
            <w:tcW w:w="240" w:type="dxa"/>
            <w:vAlign w:val="bottom"/>
          </w:tcPr>
          <w:p>
            <w:pPr>
              <w:spacing w:after="0"/>
              <w:rPr>
                <w:sz w:val="12"/>
                <w:szCs w:val="12"/>
                <w:color w:val="auto"/>
              </w:rPr>
            </w:pPr>
          </w:p>
        </w:tc>
        <w:tc>
          <w:tcPr>
            <w:tcW w:w="800" w:type="dxa"/>
            <w:vAlign w:val="bottom"/>
            <w:vMerge w:val="restart"/>
          </w:tcPr>
          <w:p>
            <w:pPr>
              <w:jc w:val="right"/>
              <w:ind w:right="32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080" w:type="dxa"/>
            <w:vAlign w:val="bottom"/>
            <w:tcBorders>
              <w:bottom w:val="single" w:sz="8" w:color="auto"/>
            </w:tcBorders>
            <w:gridSpan w:val="3"/>
            <w:vMerge w:val="continue"/>
          </w:tcPr>
          <w:p>
            <w:pPr>
              <w:spacing w:after="0"/>
              <w:rPr>
                <w:sz w:val="14"/>
                <w:szCs w:val="14"/>
                <w:color w:val="auto"/>
              </w:rPr>
            </w:pPr>
          </w:p>
        </w:tc>
        <w:tc>
          <w:tcPr>
            <w:tcW w:w="108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and Other</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94"/>
              </w:rPr>
              <w:t>Elimination</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5"/>
          </w:tcPr>
          <w:p>
            <w:pPr>
              <w:jc w:val="center"/>
              <w:ind w:right="18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w:t>
            </w:r>
          </w:p>
        </w:tc>
        <w:tc>
          <w:tcPr>
            <w:tcW w:w="0" w:type="dxa"/>
            <w:vAlign w:val="bottom"/>
          </w:tcPr>
          <w:p>
            <w:pPr>
              <w:spacing w:after="0"/>
              <w:rPr>
                <w:sz w:val="1"/>
                <w:szCs w:val="1"/>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3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149.3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3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189.9</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149.3</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(670.2)</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35"/>
        </w:trPr>
        <w:tc>
          <w:tcPr>
            <w:tcW w:w="4820" w:type="dxa"/>
            <w:vAlign w:val="bottom"/>
          </w:tcPr>
          <w:p>
            <w:pPr>
              <w:ind w:left="20"/>
              <w:spacing w:after="0" w:line="135" w:lineRule="exact"/>
              <w:rPr>
                <w:sz w:val="20"/>
                <w:szCs w:val="20"/>
                <w:color w:val="auto"/>
              </w:rPr>
            </w:pPr>
            <w:r>
              <w:rPr>
                <w:rFonts w:ascii="Arial" w:cs="Arial" w:eastAsia="Arial" w:hAnsi="Arial"/>
                <w:sz w:val="14"/>
                <w:szCs w:val="14"/>
                <w:color w:val="auto"/>
              </w:rPr>
              <w:t>Interest investment and other income (expense), including recognized gains</w:t>
            </w:r>
          </w:p>
        </w:tc>
        <w:tc>
          <w:tcPr>
            <w:tcW w:w="3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273.5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274.5</w:t>
            </w:r>
          </w:p>
        </w:tc>
        <w:tc>
          <w:tcPr>
            <w:tcW w:w="0" w:type="dxa"/>
            <w:vAlign w:val="bottom"/>
          </w:tcPr>
          <w:p>
            <w:pPr>
              <w:spacing w:after="0"/>
              <w:rPr>
                <w:sz w:val="1"/>
                <w:szCs w:val="1"/>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(losses), net</w:t>
            </w:r>
          </w:p>
        </w:tc>
        <w:tc>
          <w:tcPr>
            <w:tcW w:w="3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other income and recognized gains (losses), net</w:t>
            </w: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190.9</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149.3</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(682.8)</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476.9</w:t>
            </w:r>
          </w:p>
        </w:tc>
        <w:tc>
          <w:tcPr>
            <w:tcW w:w="0" w:type="dxa"/>
            <w:vAlign w:val="bottom"/>
          </w:tcPr>
          <w:p>
            <w:pPr>
              <w:spacing w:after="0"/>
              <w:rPr>
                <w:sz w:val="1"/>
                <w:szCs w:val="1"/>
                <w:color w:val="auto"/>
              </w:rPr>
            </w:pPr>
          </w:p>
        </w:tc>
      </w:tr>
      <w:tr>
        <w:trPr>
          <w:trHeight w:val="179"/>
        </w:trPr>
        <w:tc>
          <w:tcPr>
            <w:tcW w:w="48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19.1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35"/>
        </w:trPr>
        <w:tc>
          <w:tcPr>
            <w:tcW w:w="4820" w:type="dxa"/>
            <w:vAlign w:val="bottom"/>
          </w:tcPr>
          <w:p>
            <w:pPr>
              <w:ind w:left="20"/>
              <w:spacing w:after="0" w:line="135" w:lineRule="exact"/>
              <w:rPr>
                <w:sz w:val="20"/>
                <w:szCs w:val="20"/>
                <w:color w:val="auto"/>
              </w:rPr>
            </w:pPr>
            <w:r>
              <w:rPr>
                <w:rFonts w:ascii="Arial" w:cs="Arial" w:eastAsia="Arial" w:hAnsi="Arial"/>
                <w:sz w:val="14"/>
                <w:szCs w:val="14"/>
                <w:color w:val="auto"/>
              </w:rPr>
              <w:t>Earnings (loss) before income taxes and equity in earnings (losses) of</w:t>
            </w:r>
          </w:p>
        </w:tc>
        <w:tc>
          <w:tcPr>
            <w:tcW w:w="3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231.5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235.8</w:t>
            </w:r>
          </w:p>
        </w:tc>
        <w:tc>
          <w:tcPr>
            <w:tcW w:w="0" w:type="dxa"/>
            <w:vAlign w:val="bottom"/>
          </w:tcPr>
          <w:p>
            <w:pPr>
              <w:spacing w:after="0"/>
              <w:rPr>
                <w:sz w:val="1"/>
                <w:szCs w:val="1"/>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3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79"/>
        </w:trPr>
        <w:tc>
          <w:tcPr>
            <w:tcW w:w="4820" w:type="dxa"/>
            <w:vAlign w:val="bottom"/>
          </w:tcPr>
          <w:p>
            <w:pPr>
              <w:ind w:left="20"/>
              <w:spacing w:after="0"/>
              <w:rPr>
                <w:sz w:val="20"/>
                <w:szCs w:val="20"/>
                <w:color w:val="auto"/>
              </w:rPr>
            </w:pPr>
            <w:r>
              <w:rPr>
                <w:rFonts w:ascii="Arial" w:cs="Arial" w:eastAsia="Arial" w:hAnsi="Arial"/>
                <w:sz w:val="14"/>
                <w:szCs w:val="14"/>
                <w:color w:val="auto"/>
              </w:rPr>
              <w:t>Earnings (loss) before equity in earnings of unconsolidated affiliates</w:t>
            </w:r>
          </w:p>
        </w:tc>
        <w:tc>
          <w:tcPr>
            <w:tcW w:w="3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186.5</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3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Net earnings (loss) from continuing operations</w:t>
            </w:r>
          </w:p>
        </w:tc>
        <w:tc>
          <w:tcPr>
            <w:tcW w:w="3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1,749.3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(11,609.7)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4,439.6</w:t>
            </w:r>
          </w:p>
        </w:tc>
        <w:tc>
          <w:tcPr>
            <w:tcW w:w="0" w:type="dxa"/>
            <w:vAlign w:val="bottom"/>
          </w:tcPr>
          <w:p>
            <w:pPr>
              <w:spacing w:after="0"/>
              <w:rPr>
                <w:sz w:val="1"/>
                <w:szCs w:val="1"/>
                <w:color w:val="auto"/>
              </w:rPr>
            </w:pPr>
          </w:p>
        </w:tc>
      </w:tr>
      <w:tr>
        <w:trPr>
          <w:trHeight w:val="182"/>
        </w:trPr>
        <w:tc>
          <w:tcPr>
            <w:tcW w:w="4820" w:type="dxa"/>
            <w:vAlign w:val="bottom"/>
          </w:tcPr>
          <w:p>
            <w:pPr>
              <w:ind w:left="20"/>
              <w:spacing w:after="0"/>
              <w:rPr>
                <w:sz w:val="20"/>
                <w:szCs w:val="20"/>
                <w:color w:val="auto"/>
              </w:rPr>
            </w:pPr>
            <w:r>
              <w:rPr>
                <w:rFonts w:ascii="Arial" w:cs="Arial" w:eastAsia="Arial" w:hAnsi="Arial"/>
                <w:sz w:val="14"/>
                <w:szCs w:val="14"/>
                <w:color w:val="auto"/>
              </w:rPr>
              <w:t>Goodwill</w:t>
            </w: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3,331.1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875.1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(4,206.2)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six months ended June 30,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color w:val="auto"/>
                <w:w w:val="84"/>
              </w:rPr>
              <w:t>Restaurant</w:t>
            </w:r>
          </w:p>
        </w:tc>
        <w:tc>
          <w:tcPr>
            <w:tcW w:w="14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color w:val="auto"/>
                <w:w w:val="93"/>
              </w:rPr>
              <w:t>Dun &amp;</w:t>
            </w:r>
          </w:p>
        </w:tc>
        <w:tc>
          <w:tcPr>
            <w:tcW w:w="160" w:type="dxa"/>
            <w:vAlign w:val="bottom"/>
          </w:tcPr>
          <w:p>
            <w:pPr>
              <w:spacing w:after="0"/>
              <w:rPr>
                <w:sz w:val="13"/>
                <w:szCs w:val="13"/>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3"/>
                <w:szCs w:val="13"/>
                <w:color w:val="auto"/>
              </w:rPr>
              <w:t>Paysafe</w:t>
            </w:r>
          </w:p>
        </w:tc>
        <w:tc>
          <w:tcPr>
            <w:tcW w:w="200" w:type="dxa"/>
            <w:vAlign w:val="bottom"/>
          </w:tcPr>
          <w:p>
            <w:pPr>
              <w:spacing w:after="0"/>
              <w:rPr>
                <w:sz w:val="13"/>
                <w:szCs w:val="13"/>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color w:val="auto"/>
              </w:rPr>
              <w:t>Alight</w:t>
            </w:r>
          </w:p>
        </w:tc>
        <w:tc>
          <w:tcPr>
            <w:tcW w:w="12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3"/>
                <w:szCs w:val="13"/>
                <w:color w:val="auto"/>
              </w:rPr>
              <w:t>AmeriLife</w:t>
            </w:r>
          </w:p>
        </w:tc>
        <w:tc>
          <w:tcPr>
            <w:tcW w:w="980" w:type="dxa"/>
            <w:vAlign w:val="bottom"/>
            <w:gridSpan w:val="3"/>
          </w:tcPr>
          <w:p>
            <w:pPr>
              <w:jc w:val="center"/>
              <w:ind w:right="120"/>
              <w:spacing w:after="0"/>
              <w:rPr>
                <w:sz w:val="20"/>
                <w:szCs w:val="20"/>
                <w:color w:val="auto"/>
              </w:rPr>
            </w:pPr>
            <w:r>
              <w:rPr>
                <w:rFonts w:ascii="Arial" w:cs="Arial" w:eastAsia="Arial" w:hAnsi="Arial"/>
                <w:sz w:val="13"/>
                <w:szCs w:val="13"/>
                <w:color w:val="auto"/>
                <w:w w:val="84"/>
              </w:rPr>
              <w:t>Corporate and</w:t>
            </w:r>
          </w:p>
        </w:tc>
        <w:tc>
          <w:tcPr>
            <w:tcW w:w="1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color w:val="auto"/>
                <w:w w:val="98"/>
              </w:rPr>
              <w:t>Affiliate</w:t>
            </w:r>
          </w:p>
        </w:tc>
        <w:tc>
          <w:tcPr>
            <w:tcW w:w="200" w:type="dxa"/>
            <w:vAlign w:val="bottom"/>
          </w:tcPr>
          <w:p>
            <w:pPr>
              <w:spacing w:after="0"/>
              <w:rPr>
                <w:sz w:val="13"/>
                <w:szCs w:val="13"/>
                <w:color w:val="auto"/>
              </w:rPr>
            </w:pPr>
          </w:p>
        </w:tc>
        <w:tc>
          <w:tcPr>
            <w:tcW w:w="660" w:type="dxa"/>
            <w:vAlign w:val="bottom"/>
            <w:vMerge w:val="restart"/>
          </w:tcPr>
          <w:p>
            <w:pPr>
              <w:jc w:val="right"/>
              <w:ind w:right="22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8"/>
              </w:rPr>
              <w:t>Group</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6"/>
              </w:rPr>
              <w:t>Bradstreet</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color w:val="auto"/>
                <w:w w:val="92"/>
              </w:rPr>
              <w:t>Other</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1"/>
              </w:rPr>
              <w:t>Elimination</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328.8</w:t>
            </w: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739.3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1,440.0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(3,600.4)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8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1,073.3</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739.3</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(3,600.4)</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341.9</w:t>
            </w:r>
          </w:p>
        </w:tc>
        <w:tc>
          <w:tcPr>
            <w:tcW w:w="0" w:type="dxa"/>
            <w:vAlign w:val="bottom"/>
          </w:tcPr>
          <w:p>
            <w:pPr>
              <w:spacing w:after="0"/>
              <w:rPr>
                <w:sz w:val="1"/>
                <w:szCs w:val="1"/>
                <w:color w:val="auto"/>
              </w:rPr>
            </w:pPr>
          </w:p>
        </w:tc>
      </w:tr>
      <w:tr>
        <w:trPr>
          <w:trHeight w:val="135"/>
        </w:trPr>
        <w:tc>
          <w:tcPr>
            <w:tcW w:w="3580" w:type="dxa"/>
            <w:vAlign w:val="bottom"/>
          </w:tcPr>
          <w:p>
            <w:pPr>
              <w:ind w:left="20"/>
              <w:spacing w:after="0" w:line="135" w:lineRule="exact"/>
              <w:rPr>
                <w:sz w:val="20"/>
                <w:szCs w:val="20"/>
                <w:color w:val="auto"/>
              </w:rPr>
            </w:pPr>
            <w:r>
              <w:rPr>
                <w:rFonts w:ascii="Arial" w:cs="Arial" w:eastAsia="Arial" w:hAnsi="Arial"/>
                <w:sz w:val="14"/>
                <w:szCs w:val="14"/>
                <w:color w:val="auto"/>
                <w:w w:val="95"/>
              </w:rPr>
              <w:t>Interest, investment and other income, including recognized</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67.6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114.0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(460.1)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(184.1)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(458.7)</w:t>
            </w: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Arial" w:cs="Arial" w:eastAsia="Arial" w:hAnsi="Arial"/>
                <w:sz w:val="14"/>
                <w:szCs w:val="14"/>
                <w:color w:val="auto"/>
              </w:rPr>
              <w:t>gains (losses), net</w:t>
            </w: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1,075.8</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806.9</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1,554.0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(447.0)</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(3,784.5)</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179"/>
        </w:trPr>
        <w:tc>
          <w:tcPr>
            <w:tcW w:w="35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296.4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127.4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(479.5)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92"/>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5"/>
        </w:trPr>
        <w:tc>
          <w:tcPr>
            <w:tcW w:w="3580" w:type="dxa"/>
            <w:vAlign w:val="bottom"/>
          </w:tcPr>
          <w:p>
            <w:pPr>
              <w:ind w:left="20"/>
              <w:spacing w:after="0" w:line="135" w:lineRule="exact"/>
              <w:rPr>
                <w:sz w:val="20"/>
                <w:szCs w:val="20"/>
                <w:color w:val="auto"/>
              </w:rPr>
            </w:pPr>
            <w:r>
              <w:rPr>
                <w:rFonts w:ascii="Arial" w:cs="Arial" w:eastAsia="Arial" w:hAnsi="Arial"/>
                <w:sz w:val="14"/>
                <w:szCs w:val="14"/>
                <w:color w:val="auto"/>
                <w:w w:val="96"/>
              </w:rPr>
              <w:t>(Loss) earnings before income taxes and equity in earnings</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(1,142.7)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(558.5)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1,139.7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(566.3)</w:t>
            </w: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Arial" w:cs="Arial" w:eastAsia="Arial" w:hAnsi="Arial"/>
                <w:sz w:val="14"/>
                <w:szCs w:val="14"/>
                <w:color w:val="auto"/>
              </w:rPr>
              <w:t>(losses) of unconsolidated affiliates</w:t>
            </w: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w:t>
            </w:r>
          </w:p>
        </w:tc>
        <w:tc>
          <w:tcPr>
            <w:tcW w:w="0" w:type="dxa"/>
            <w:vAlign w:val="bottom"/>
          </w:tcPr>
          <w:p>
            <w:pPr>
              <w:spacing w:after="0"/>
              <w:rPr>
                <w:sz w:val="1"/>
                <w:szCs w:val="1"/>
                <w:color w:val="auto"/>
              </w:rPr>
            </w:pPr>
          </w:p>
        </w:tc>
      </w:tr>
      <w:tr>
        <w:trPr>
          <w:trHeight w:val="115"/>
        </w:trPr>
        <w:tc>
          <w:tcPr>
            <w:tcW w:w="3580" w:type="dxa"/>
            <w:vAlign w:val="bottom"/>
          </w:tcPr>
          <w:p>
            <w:pPr>
              <w:ind w:left="20"/>
              <w:spacing w:after="0" w:line="115" w:lineRule="exact"/>
              <w:rPr>
                <w:sz w:val="20"/>
                <w:szCs w:val="20"/>
                <w:color w:val="auto"/>
              </w:rPr>
            </w:pPr>
            <w:r>
              <w:rPr>
                <w:rFonts w:ascii="Arial" w:cs="Arial" w:eastAsia="Arial" w:hAnsi="Arial"/>
                <w:sz w:val="13"/>
                <w:szCs w:val="13"/>
                <w:color w:val="auto"/>
              </w:rPr>
              <w:t>(Loss) earnings, before equity in (losses) earnings of</w:t>
            </w: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(1,080.3)</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(430.8)</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1,059.9</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(437.9)</w:t>
            </w: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(1,080.3)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(413.7)</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965.4</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(514.0)</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9,696.6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6,501.3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2,829.1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(28,967.2)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3,188.1</w:t>
            </w:r>
          </w:p>
        </w:tc>
        <w:tc>
          <w:tcPr>
            <w:tcW w:w="0" w:type="dxa"/>
            <w:vAlign w:val="bottom"/>
          </w:tcPr>
          <w:p>
            <w:pPr>
              <w:spacing w:after="0"/>
              <w:rPr>
                <w:sz w:val="1"/>
                <w:szCs w:val="1"/>
                <w:color w:val="auto"/>
              </w:rPr>
            </w:pPr>
          </w:p>
        </w:tc>
      </w:tr>
      <w:tr>
        <w:trPr>
          <w:trHeight w:val="182"/>
        </w:trPr>
        <w:tc>
          <w:tcPr>
            <w:tcW w:w="35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3,437.1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2,712.8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3,624.0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(10,758.2)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six months ended June 30, 2021: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3"/>
                <w:szCs w:val="13"/>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3"/>
                <w:szCs w:val="13"/>
                <w:color w:val="auto"/>
                <w:w w:val="96"/>
              </w:rPr>
              <w:t>Restaurant Group</w:t>
            </w: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color w:val="auto"/>
              </w:rPr>
              <w:t>Dun &amp; Bradstreet</w:t>
            </w:r>
          </w:p>
        </w:tc>
        <w:tc>
          <w:tcPr>
            <w:tcW w:w="16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AmeriLife</w:t>
            </w:r>
          </w:p>
        </w:tc>
        <w:tc>
          <w:tcPr>
            <w:tcW w:w="16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3"/>
                <w:szCs w:val="13"/>
                <w:color w:val="auto"/>
              </w:rPr>
              <w:t>Corporate</w:t>
            </w: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color w:val="auto"/>
                <w:w w:val="98"/>
              </w:rPr>
              <w:t>Affiliate</w:t>
            </w:r>
          </w:p>
        </w:tc>
        <w:tc>
          <w:tcPr>
            <w:tcW w:w="220" w:type="dxa"/>
            <w:vAlign w:val="bottom"/>
          </w:tcPr>
          <w:p>
            <w:pPr>
              <w:spacing w:after="0"/>
              <w:rPr>
                <w:sz w:val="13"/>
                <w:szCs w:val="13"/>
                <w:color w:val="auto"/>
              </w:rPr>
            </w:pPr>
          </w:p>
        </w:tc>
        <w:tc>
          <w:tcPr>
            <w:tcW w:w="720" w:type="dxa"/>
            <w:vAlign w:val="bottom"/>
            <w:vMerge w:val="restart"/>
          </w:tcPr>
          <w:p>
            <w:pPr>
              <w:jc w:val="right"/>
              <w:ind w:right="26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1060" w:type="dxa"/>
            <w:vAlign w:val="bottom"/>
            <w:tcBorders>
              <w:bottom w:val="single" w:sz="8" w:color="auto"/>
            </w:tcBorders>
            <w:gridSpan w:val="3"/>
            <w:vMerge w:val="continue"/>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and Other</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94"/>
              </w:rPr>
              <w:t>Elimination</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5"/>
          </w:tcPr>
          <w:p>
            <w:pPr>
              <w:ind w:left="48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357.2</w:t>
            </w:r>
          </w:p>
        </w:tc>
        <w:tc>
          <w:tcPr>
            <w:tcW w:w="0" w:type="dxa"/>
            <w:vAlign w:val="bottom"/>
          </w:tcPr>
          <w:p>
            <w:pPr>
              <w:spacing w:after="0"/>
              <w:rPr>
                <w:sz w:val="1"/>
                <w:szCs w:val="1"/>
                <w:color w:val="auto"/>
              </w:rPr>
            </w:pPr>
          </w:p>
        </w:tc>
      </w:tr>
      <w:tr>
        <w:trPr>
          <w:trHeight w:val="186"/>
        </w:trPr>
        <w:tc>
          <w:tcPr>
            <w:tcW w:w="504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3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1,025.4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280.3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(1,305.7)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86"/>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3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357.2</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280.3</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(1,305.7)</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374.3</w:t>
            </w:r>
          </w:p>
        </w:tc>
        <w:tc>
          <w:tcPr>
            <w:tcW w:w="0" w:type="dxa"/>
            <w:vAlign w:val="bottom"/>
          </w:tcPr>
          <w:p>
            <w:pPr>
              <w:spacing w:after="0"/>
              <w:rPr>
                <w:sz w:val="1"/>
                <w:szCs w:val="1"/>
                <w:color w:val="auto"/>
              </w:rPr>
            </w:pPr>
          </w:p>
        </w:tc>
      </w:tr>
      <w:tr>
        <w:trPr>
          <w:trHeight w:val="186"/>
        </w:trPr>
        <w:tc>
          <w:tcPr>
            <w:tcW w:w="5040" w:type="dxa"/>
            <w:vAlign w:val="bottom"/>
          </w:tcPr>
          <w:p>
            <w:pPr>
              <w:ind w:left="20"/>
              <w:spacing w:after="0"/>
              <w:rPr>
                <w:sz w:val="20"/>
                <w:szCs w:val="20"/>
                <w:color w:val="auto"/>
              </w:rPr>
            </w:pPr>
            <w:r>
              <w:rPr>
                <w:rFonts w:ascii="Arial" w:cs="Arial" w:eastAsia="Arial" w:hAnsi="Arial"/>
                <w:sz w:val="14"/>
                <w:szCs w:val="14"/>
                <w:color w:val="auto"/>
                <w:w w:val="99"/>
              </w:rPr>
              <w:t>Interest investment and other income, including recognized gains and losses, net</w:t>
            </w: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86"/>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358.4</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1,044.9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280.3</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(1,325.2)</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337.2</w:t>
            </w:r>
          </w:p>
        </w:tc>
        <w:tc>
          <w:tcPr>
            <w:tcW w:w="0" w:type="dxa"/>
            <w:vAlign w:val="bottom"/>
          </w:tcPr>
          <w:p>
            <w:pPr>
              <w:spacing w:after="0"/>
              <w:rPr>
                <w:sz w:val="1"/>
                <w:szCs w:val="1"/>
                <w:color w:val="auto"/>
              </w:rPr>
            </w:pPr>
          </w:p>
        </w:tc>
      </w:tr>
      <w:tr>
        <w:trPr>
          <w:trHeight w:val="179"/>
        </w:trPr>
        <w:tc>
          <w:tcPr>
            <w:tcW w:w="50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(338.3)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92"/>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35"/>
        </w:trPr>
        <w:tc>
          <w:tcPr>
            <w:tcW w:w="5040" w:type="dxa"/>
            <w:vAlign w:val="bottom"/>
          </w:tcPr>
          <w:p>
            <w:pPr>
              <w:ind w:left="20"/>
              <w:spacing w:after="0" w:line="135" w:lineRule="exact"/>
              <w:rPr>
                <w:sz w:val="20"/>
                <w:szCs w:val="20"/>
                <w:color w:val="auto"/>
              </w:rPr>
            </w:pPr>
            <w:r>
              <w:rPr>
                <w:rFonts w:ascii="Arial" w:cs="Arial" w:eastAsia="Arial" w:hAnsi="Arial"/>
                <w:sz w:val="14"/>
                <w:szCs w:val="14"/>
                <w:color w:val="auto"/>
                <w:w w:val="93"/>
              </w:rPr>
              <w:t>(Loss) earnings before income taxes and equity in earnings (losses) of unconsolidated</w:t>
            </w:r>
          </w:p>
        </w:tc>
        <w:tc>
          <w:tcPr>
            <w:tcW w:w="3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186"/>
        </w:trPr>
        <w:tc>
          <w:tcPr>
            <w:tcW w:w="5040" w:type="dxa"/>
            <w:vAlign w:val="bottom"/>
          </w:tcPr>
          <w:p>
            <w:pPr>
              <w:ind w:left="20"/>
              <w:spacing w:after="0"/>
              <w:rPr>
                <w:sz w:val="20"/>
                <w:szCs w:val="20"/>
                <w:color w:val="auto"/>
              </w:rPr>
            </w:pPr>
            <w:r>
              <w:rPr>
                <w:rFonts w:ascii="Arial" w:cs="Arial" w:eastAsia="Arial" w:hAnsi="Arial"/>
                <w:sz w:val="14"/>
                <w:szCs w:val="14"/>
                <w:color w:val="auto"/>
              </w:rPr>
              <w:t>affiliates</w:t>
            </w:r>
          </w:p>
        </w:tc>
        <w:tc>
          <w:tcPr>
            <w:tcW w:w="3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3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79"/>
        </w:trPr>
        <w:tc>
          <w:tcPr>
            <w:tcW w:w="5040" w:type="dxa"/>
            <w:vAlign w:val="bottom"/>
          </w:tcPr>
          <w:p>
            <w:pPr>
              <w:ind w:left="20"/>
              <w:spacing w:after="0"/>
              <w:rPr>
                <w:sz w:val="20"/>
                <w:szCs w:val="20"/>
                <w:color w:val="auto"/>
              </w:rPr>
            </w:pPr>
            <w:r>
              <w:rPr>
                <w:rFonts w:ascii="Arial" w:cs="Arial" w:eastAsia="Arial" w:hAnsi="Arial"/>
                <w:sz w:val="14"/>
                <w:szCs w:val="14"/>
                <w:color w:val="auto"/>
              </w:rPr>
              <w:t>(Loss) earnings before equity in earnings (losses) of unconsolidated affiliates</w:t>
            </w: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(75.4)</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74.9</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3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86"/>
        </w:trPr>
        <w:tc>
          <w:tcPr>
            <w:tcW w:w="504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51.0</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9,860.4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(11,609.7)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4,439.6</w:t>
            </w:r>
          </w:p>
        </w:tc>
        <w:tc>
          <w:tcPr>
            <w:tcW w:w="0" w:type="dxa"/>
            <w:vAlign w:val="bottom"/>
          </w:tcPr>
          <w:p>
            <w:pPr>
              <w:spacing w:after="0"/>
              <w:rPr>
                <w:sz w:val="1"/>
                <w:szCs w:val="1"/>
                <w:color w:val="auto"/>
              </w:rPr>
            </w:pPr>
          </w:p>
        </w:tc>
      </w:tr>
      <w:tr>
        <w:trPr>
          <w:trHeight w:val="182"/>
        </w:trPr>
        <w:tc>
          <w:tcPr>
            <w:tcW w:w="5040" w:type="dxa"/>
            <w:vAlign w:val="bottom"/>
          </w:tcPr>
          <w:p>
            <w:pPr>
              <w:ind w:left="20"/>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3,331.1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875.1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(4,206.2)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ectPr>
          <w:pgSz w:w="11900" w:h="16838" w:orient="portrait"/>
          <w:cols w:equalWidth="0" w:num="1">
            <w:col w:w="11240"/>
          </w:cols>
          <w:pgMar w:left="320" w:top="121" w:right="339" w:bottom="1440" w:gutter="0" w:footer="0" w:header="0"/>
        </w:sectPr>
      </w:pP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hanging="4"/>
        <w:spacing w:after="0" w:line="274" w:lineRule="auto"/>
        <w:rPr>
          <w:sz w:val="20"/>
          <w:szCs w:val="20"/>
          <w:color w:val="auto"/>
        </w:rPr>
      </w:pPr>
      <w:r>
        <w:rPr>
          <w:rFonts w:ascii="Arial" w:cs="Arial" w:eastAsia="Arial" w:hAnsi="Arial"/>
          <w:sz w:val="17"/>
          <w:szCs w:val="17"/>
          <w:i w:val="1"/>
          <w:iCs w:val="1"/>
          <w:color w:val="auto"/>
        </w:rPr>
        <w:t xml:space="preserve">Restaurant Group. </w:t>
      </w:r>
      <w:r>
        <w:rPr>
          <w:rFonts w:ascii="Arial" w:cs="Arial" w:eastAsia="Arial" w:hAnsi="Arial"/>
          <w:sz w:val="17"/>
          <w:szCs w:val="17"/>
          <w:color w:val="auto"/>
        </w:rPr>
        <w:t>This segment consists primarily of the operations of O'Charley's and 99 Restaurants in which we have 65.4%</w:t>
      </w:r>
      <w:r>
        <w:rPr>
          <w:rFonts w:ascii="Arial" w:cs="Arial" w:eastAsia="Arial" w:hAnsi="Arial"/>
          <w:sz w:val="17"/>
          <w:szCs w:val="17"/>
          <w:i w:val="1"/>
          <w:iCs w:val="1"/>
          <w:color w:val="auto"/>
        </w:rPr>
        <w:t xml:space="preserve"> </w:t>
      </w:r>
      <w:r>
        <w:rPr>
          <w:rFonts w:ascii="Arial" w:cs="Arial" w:eastAsia="Arial" w:hAnsi="Arial"/>
          <w:sz w:val="17"/>
          <w:szCs w:val="17"/>
          <w:color w:val="auto"/>
        </w:rPr>
        <w:t>and 88.5% ownership interests, respectively. O'Charley's and 99 Restaurants and their affiliates are the owners and operators of the O'Charley's</w:t>
      </w:r>
    </w:p>
    <w:p>
      <w:pPr>
        <w:spacing w:after="0" w:line="1" w:lineRule="exact"/>
        <w:rPr>
          <w:sz w:val="20"/>
          <w:szCs w:val="20"/>
          <w:color w:val="auto"/>
        </w:rPr>
      </w:pPr>
    </w:p>
    <w:p>
      <w:pPr>
        <w:sectPr>
          <w:pgSz w:w="11900" w:h="16838" w:orient="portrait"/>
          <w:cols w:equalWidth="0" w:num="2">
            <w:col w:w="320" w:space="340"/>
            <w:col w:w="10580"/>
          </w:cols>
          <w:pgMar w:left="320" w:top="121" w:right="339" w:bottom="1440" w:gutter="0" w:footer="0" w:header="0"/>
          <w:type w:val="continuous"/>
        </w:sectPr>
      </w:pPr>
    </w:p>
    <w:p>
      <w:pPr>
        <w:jc w:val="both"/>
        <w:ind w:left="660"/>
        <w:spacing w:after="0" w:line="253" w:lineRule="auto"/>
        <w:rPr>
          <w:sz w:val="20"/>
          <w:szCs w:val="20"/>
          <w:color w:val="auto"/>
        </w:rPr>
      </w:pPr>
      <w:r>
        <w:rPr>
          <w:rFonts w:ascii="Arial" w:cs="Arial" w:eastAsia="Arial" w:hAnsi="Arial"/>
          <w:sz w:val="18"/>
          <w:szCs w:val="18"/>
          <w:color w:val="auto"/>
        </w:rPr>
        <w:t>and Ninety Nine Restaurants restaurant concepts, respectively. This segment also includes the operations of Legendary Baking and VIBSQ Holdco, LLC ("VIBSQ") prior to their respective sales in 2021. During the three and six months ended June 30, 2022, other than the winding down of certain immaterial retained assets and liabilities of Legendary Baking and VIBSQ, we have no further material interest in Legendary Baking and VIBSQ.</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ind w:left="660" w:hanging="409"/>
        <w:spacing w:after="0" w:line="288" w:lineRule="auto"/>
        <w:tabs>
          <w:tab w:leader="none" w:pos="655"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Dun &amp; Bradstreet. </w:t>
      </w:r>
      <w:r>
        <w:rPr>
          <w:rFonts w:ascii="Arial" w:cs="Arial" w:eastAsia="Arial" w:hAnsi="Arial"/>
          <w:sz w:val="16"/>
          <w:szCs w:val="16"/>
          <w:color w:val="auto"/>
        </w:rPr>
        <w:t>This segment consists of our ownership interest in Dun &amp; Bradstreet. Dun &amp; Bradstreet is a leading global provider of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decisioning data and analytics. Clients embed D&amp;B's trusted, end-to-end solutions into their daily workflows to enhance salesforce productivity, gain visibility into key markets, inform commercial credit decisions and confirm that suppliers are financially viable and compliant with laws and regulations. Dun &amp; Bradstreet's solutions support its clients’ mission critical business operations by providing proprietary and curated data and analytics to help drive informed decisions and improved outcomes. Dun &amp; Bradstreet's global commercial database as of December 31, 2021 contained hundreds of millions of business records. Our chief operating decision maker reviews the full financial results of Dun &amp; Bradstreet for purposes of assessing performance and allocating resources. Thus, we consider Dun &amp; Bradstreet a reportable segment and have included the full results of Dun &amp; Bradstreet in the tables above. We account for Dun &amp; Bradstreet using the equity method of accounting, and therefore, its results do not consolidate into ours. Accordingly, we have presented the elimination of Dun &amp; Bradstreet's results in the </w:t>
      </w:r>
      <w:r>
        <w:rPr>
          <w:rFonts w:ascii="Arial" w:cs="Arial" w:eastAsia="Arial" w:hAnsi="Arial"/>
          <w:sz w:val="16"/>
          <w:szCs w:val="16"/>
          <w:i w:val="1"/>
          <w:iCs w:val="1"/>
          <w:color w:val="auto"/>
        </w:rPr>
        <w:t>Affiliate Elimination</w:t>
      </w:r>
      <w:r>
        <w:rPr>
          <w:rFonts w:ascii="Arial" w:cs="Arial" w:eastAsia="Arial" w:hAnsi="Arial"/>
          <w:sz w:val="16"/>
          <w:szCs w:val="16"/>
          <w:color w:val="auto"/>
        </w:rPr>
        <w:t xml:space="preserve"> section of the segment presentation above. See Note D for further discussion of our ownership interest in Dun &amp; Bradstreet and related accounting.</w:t>
      </w:r>
    </w:p>
    <w:p>
      <w:pPr>
        <w:spacing w:after="0" w:line="60" w:lineRule="exact"/>
        <w:rPr>
          <w:rFonts w:ascii="Arial" w:cs="Arial" w:eastAsia="Arial" w:hAnsi="Arial"/>
          <w:sz w:val="16"/>
          <w:szCs w:val="16"/>
          <w:i w:val="1"/>
          <w:iCs w:val="1"/>
          <w:color w:val="auto"/>
        </w:rPr>
      </w:pPr>
    </w:p>
    <w:p>
      <w:pPr>
        <w:jc w:val="both"/>
        <w:ind w:left="660" w:hanging="409"/>
        <w:spacing w:after="0" w:line="287"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Alight</w:t>
      </w:r>
      <w:r>
        <w:rPr>
          <w:rFonts w:ascii="Arial" w:cs="Arial" w:eastAsia="Arial" w:hAnsi="Arial"/>
          <w:sz w:val="16"/>
          <w:szCs w:val="16"/>
          <w:color w:val="auto"/>
        </w:rPr>
        <w:t>. This segment consists of our 9.7% ownership interest in Alight. Alight is a leading cloud-based human capital technology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provider that powers confident health, wealth and wellbeing decisions for millions of people and their dependents. Its Alight Worklife® platform combines data and analytics with a simple, seamless user experience. Supported by its global delivery capabilities, Alight Worklife is transforming the employee experience for people around the world through personalized, data-driven health, wealth, pay and wellbeing insights. Our chief operating decision maker reviews the full financial results of Alight for purposes of assessing performance and allocating resources. Thus, we consider Alight a reportable segment and have included the full results of Alight subsequent to our initial acquisition of an ownership interest in the tables above. We account for Alight using the equity method of accounting, and therefore, its results do not consolidate into ours. Accordingly, we have presented the elimination of Alight's results in the </w:t>
      </w:r>
      <w:r>
        <w:rPr>
          <w:rFonts w:ascii="Arial" w:cs="Arial" w:eastAsia="Arial" w:hAnsi="Arial"/>
          <w:sz w:val="16"/>
          <w:szCs w:val="16"/>
          <w:i w:val="1"/>
          <w:iCs w:val="1"/>
          <w:color w:val="auto"/>
        </w:rPr>
        <w:t>Affiliate Elimination</w:t>
      </w:r>
      <w:r>
        <w:rPr>
          <w:rFonts w:ascii="Arial" w:cs="Arial" w:eastAsia="Arial" w:hAnsi="Arial"/>
          <w:sz w:val="16"/>
          <w:szCs w:val="16"/>
          <w:color w:val="auto"/>
        </w:rPr>
        <w:t xml:space="preserve"> section of the segment presentation above. We historically accounted for our equity ownership and proportionate share of earnings or losses in Alight utilizing a three-month reporting lag due to timeliness considerations. In the second quarter of 2022, the Company was able to obtain financial information for Alight on a more timely basis and began recording our investment in Alight on a current basis as opposed to the previous three-month lag. The elimination of the three-month reporting lag for our equity ownership in Alight did not result in any material adjustments to any current or prior period financial information.</w:t>
      </w:r>
    </w:p>
    <w:p>
      <w:pPr>
        <w:spacing w:after="0" w:line="59" w:lineRule="exact"/>
        <w:rPr>
          <w:rFonts w:ascii="Arial" w:cs="Arial" w:eastAsia="Arial" w:hAnsi="Arial"/>
          <w:sz w:val="16"/>
          <w:szCs w:val="16"/>
          <w:color w:val="auto"/>
        </w:rPr>
      </w:pPr>
    </w:p>
    <w:p>
      <w:pPr>
        <w:jc w:val="both"/>
        <w:ind w:left="660" w:hanging="409"/>
        <w:spacing w:after="0" w:line="269" w:lineRule="auto"/>
        <w:tabs>
          <w:tab w:leader="none" w:pos="655"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Paysafe</w:t>
      </w:r>
      <w:r>
        <w:rPr>
          <w:rFonts w:ascii="Arial" w:cs="Arial" w:eastAsia="Arial" w:hAnsi="Arial"/>
          <w:sz w:val="17"/>
          <w:szCs w:val="17"/>
          <w:color w:val="auto"/>
        </w:rPr>
        <w:t>. This segment consists of our 8.3% ownership interest in Paysafe. Paysafe provides payment solutions through several business lines.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These business lines are focused on card not present and card present solutions for small to medium size business merchants, wallet based online payment solutions through Skrill and NETELLER brands and solutions that enable consumers to use cash to facilitate online purchases through its paysafecard prepaid vouchers. Our chief operating decision maker reviews the full financial results of Paysafe for purposes of assessing performance and allocating resources. Thus, we consider Paysafe a reportable segment and have included the full results of Paysafe subsequent to our initial acquisition of an ownership interest in the tables above. We account for Paysafe using the equity method of accounting, and therefore, its results do not consolidate into ours. Accordingly, we have presented the elimination of Paysafe's results in the </w:t>
      </w:r>
      <w:r>
        <w:rPr>
          <w:rFonts w:ascii="Arial" w:cs="Arial" w:eastAsia="Arial" w:hAnsi="Arial"/>
          <w:sz w:val="17"/>
          <w:szCs w:val="17"/>
          <w:i w:val="1"/>
          <w:iCs w:val="1"/>
          <w:color w:val="auto"/>
        </w:rPr>
        <w:t>Affiliate Elimination</w:t>
      </w:r>
      <w:r>
        <w:rPr>
          <w:rFonts w:ascii="Arial" w:cs="Arial" w:eastAsia="Arial" w:hAnsi="Arial"/>
          <w:sz w:val="17"/>
          <w:szCs w:val="17"/>
          <w:color w:val="auto"/>
        </w:rPr>
        <w:t xml:space="preserve"> section of the segment presentation above. We report our equity in earnings or loss of Paysafe on a three-month lag and we acquired our ownership interest on March 30, 2021. Accordingly, our net earnings and the segment tables above, respectively, for the three and six months ended June 30, 2022, include our equity in Paysafe’s earnings and complete results of Paysafe, respectively, for the three and six months ended March 31, 2022, respectively.</w:t>
      </w:r>
    </w:p>
    <w:p>
      <w:pPr>
        <w:spacing w:after="0" w:line="73" w:lineRule="exact"/>
        <w:rPr>
          <w:rFonts w:ascii="Arial" w:cs="Arial" w:eastAsia="Arial" w:hAnsi="Arial"/>
          <w:sz w:val="17"/>
          <w:szCs w:val="17"/>
          <w:i w:val="1"/>
          <w:iCs w:val="1"/>
          <w:color w:val="auto"/>
        </w:rPr>
      </w:pPr>
    </w:p>
    <w:p>
      <w:pPr>
        <w:jc w:val="both"/>
        <w:ind w:left="660" w:hanging="409"/>
        <w:spacing w:after="0" w:line="289" w:lineRule="auto"/>
        <w:tabs>
          <w:tab w:leader="none" w:pos="655"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AmeriLife. </w:t>
      </w:r>
      <w:r>
        <w:rPr>
          <w:rFonts w:ascii="Arial" w:cs="Arial" w:eastAsia="Arial" w:hAnsi="Arial"/>
          <w:sz w:val="16"/>
          <w:szCs w:val="16"/>
          <w:color w:val="auto"/>
        </w:rPr>
        <w:t>This segment consists of our 19.6% ownership interest in AmeriLife, which we acquired on March 18, 2020. AmeriLife is a leader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marketing and distributing life, health, and retirement solutions. AmeriLife has partnered with the nation’s leading insurance carriers to provide value and quality to customers served through a national distribution network of insurance agents and advisors, marketing organizations, and insurance agency locations. AmeriLife exceeds certain of the quantitative thresholds prescribed by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and our chief operating decision maker reviews the financial results of AmeriLife for purposes of assessing performance and allocating resources. Thus, we consider AmeriLife a reportable segment and have included the results of operations of AmeriLife in the tables above. We account for our investment in AmeriLife as an equity method investment, and therefore, its results do not consolidate into ours. Accordingly, we have presented the elimination of AmeriLife's results in the </w:t>
      </w:r>
      <w:r>
        <w:rPr>
          <w:rFonts w:ascii="Arial" w:cs="Arial" w:eastAsia="Arial" w:hAnsi="Arial"/>
          <w:sz w:val="16"/>
          <w:szCs w:val="16"/>
          <w:i w:val="1"/>
          <w:iCs w:val="1"/>
          <w:color w:val="auto"/>
        </w:rPr>
        <w:t>Affiliate Elimination</w:t>
      </w:r>
      <w:r>
        <w:rPr>
          <w:rFonts w:ascii="Arial" w:cs="Arial" w:eastAsia="Arial" w:hAnsi="Arial"/>
          <w:sz w:val="16"/>
          <w:szCs w:val="16"/>
          <w:color w:val="auto"/>
        </w:rPr>
        <w:t xml:space="preserve"> section of the segment presentation above. We report our equity in earnings or loss of AmeriLife on a three-month lag. Our net earnings and the segment tables above, respectively, for the three and six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months ended June 30, 2022 and 2021 includes our equity in AmeriLife’s losses and the complete results of AmeriLife, respectively, for the three and six months ended March 31, 2022 and 2021, respectively.</w:t>
      </w:r>
    </w:p>
    <w:p>
      <w:pPr>
        <w:spacing w:after="0" w:line="62" w:lineRule="exact"/>
        <w:rPr>
          <w:sz w:val="20"/>
          <w:szCs w:val="20"/>
          <w:color w:val="auto"/>
        </w:rPr>
      </w:pPr>
    </w:p>
    <w:p>
      <w:pPr>
        <w:ind w:left="660" w:right="20" w:hanging="409"/>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nonreportable segment consists of our share in the operations of certain controlled portfolio companies and other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activity of the corporate holding company and certain intercompany eliminations and taxes.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Supplemental Cash Flow Information</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supplemental cash flow information is provided with respect to certain cash payments, as well as certain non-cash investing and financing activities.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50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4"/>
                <w:szCs w:val="14"/>
                <w:b w:val="1"/>
                <w:bCs w:val="1"/>
                <w:color w:val="auto"/>
                <w:w w:val="90"/>
              </w:rPr>
              <w:t>Six months ended June 30,</w:t>
            </w:r>
          </w:p>
        </w:tc>
        <w:tc>
          <w:tcPr>
            <w:tcW w:w="480" w:type="dxa"/>
            <w:vAlign w:val="bottom"/>
            <w:tcBorders>
              <w:bottom w:val="single" w:sz="8" w:color="auto"/>
            </w:tcBorders>
          </w:tcPr>
          <w:p>
            <w:pPr>
              <w:spacing w:after="0"/>
              <w:rPr>
                <w:sz w:val="16"/>
                <w:szCs w:val="16"/>
                <w:color w:val="auto"/>
              </w:rPr>
            </w:pPr>
          </w:p>
        </w:tc>
      </w:tr>
      <w:tr>
        <w:trPr>
          <w:trHeight w:val="187"/>
        </w:trPr>
        <w:tc>
          <w:tcPr>
            <w:tcW w:w="8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r>
      <w:tr>
        <w:trPr>
          <w:trHeight w:val="183"/>
        </w:trPr>
        <w:tc>
          <w:tcPr>
            <w:tcW w:w="8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w w:val="96"/>
              </w:rPr>
              <w:t>(In millions)</w:t>
            </w:r>
          </w:p>
        </w:tc>
        <w:tc>
          <w:tcPr>
            <w:tcW w:w="480" w:type="dxa"/>
            <w:vAlign w:val="bottom"/>
          </w:tcPr>
          <w:p>
            <w:pPr>
              <w:spacing w:after="0"/>
              <w:rPr>
                <w:sz w:val="15"/>
                <w:szCs w:val="15"/>
                <w:color w:val="auto"/>
              </w:rPr>
            </w:pPr>
          </w:p>
        </w:tc>
      </w:tr>
      <w:tr>
        <w:trPr>
          <w:trHeight w:val="23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the period:</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Interest</w:t>
            </w:r>
          </w:p>
        </w:tc>
        <w:tc>
          <w:tcPr>
            <w:tcW w:w="920" w:type="dxa"/>
            <w:vAlign w:val="bottom"/>
          </w:tcPr>
          <w:p>
            <w:pPr>
              <w:jc w:val="right"/>
              <w:ind w:right="722"/>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040" w:type="dxa"/>
            <w:vAlign w:val="bottom"/>
          </w:tcPr>
          <w:p>
            <w:pPr>
              <w:jc w:val="right"/>
              <w:ind w:right="75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920" w:type="dxa"/>
            <w:vAlign w:val="bottom"/>
          </w:tcPr>
          <w:p>
            <w:pPr>
              <w:spacing w:after="0"/>
              <w:rPr>
                <w:sz w:val="19"/>
                <w:szCs w:val="19"/>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18.3</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D&amp;B shares received as partial consideration for the Optimal Blue Disposition</w:t>
            </w:r>
          </w:p>
        </w:tc>
        <w:tc>
          <w:tcPr>
            <w:tcW w:w="920" w:type="dxa"/>
            <w:vAlign w:val="bottom"/>
          </w:tcPr>
          <w:p>
            <w:pPr>
              <w:spacing w:after="0"/>
              <w:rPr>
                <w:sz w:val="20"/>
                <w:szCs w:val="20"/>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435.0</w:t>
            </w:r>
          </w:p>
        </w:tc>
        <w:tc>
          <w:tcPr>
            <w:tcW w:w="10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and changes in macroeconomic conditions resulting from the outbreak of a pandemic such as the novel coronavirus COVID-19 ("COVID-19") and the current conflict between Russia and Ukraine; risks associated with the Investment Company Act of 1940; our potential inability to find suitable acquisition candidates, acquisitions in lines of business that will not necessarily be limited to our traditional areas of focus, or difficulties in integrating acquisitions; significant competition that our operating subsidiaries face; risks related to the externalization of certain of our management functions to our Manager; and other risks detailed in the "Statement Regarding Forward-Looking Information," "Risk Factors" and other sections of our Annual Report on Form 10-K for the year ended December 31, 2021 (our "Annual Report") and other filings with the SEC.</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For a description of our business, including descriptions of segments and recent business developments, see the discussion under </w:t>
      </w:r>
      <w:r>
        <w:rPr>
          <w:rFonts w:ascii="Arial" w:cs="Arial" w:eastAsia="Arial" w:hAnsi="Arial"/>
          <w:sz w:val="18"/>
          <w:szCs w:val="18"/>
          <w:i w:val="1"/>
          <w:iCs w:val="1"/>
          <w:color w:val="auto"/>
        </w:rPr>
        <w:t>Basis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Note A to the Condensed Consolidated Financial Statements included in Item 1 of Part I of this Quarterly Report, which is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into this Part I, Item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Dun &amp; Bradstreet. </w:t>
      </w:r>
      <w:r>
        <w:rPr>
          <w:rFonts w:ascii="Arial" w:cs="Arial" w:eastAsia="Arial" w:hAnsi="Arial"/>
          <w:sz w:val="18"/>
          <w:szCs w:val="18"/>
          <w:color w:val="auto"/>
        </w:rPr>
        <w:t>D&amp;B believes there are several key trends in the global macroeconomic environment generating additional growth in D&amp;B's TAM</w:t>
      </w:r>
      <w:r>
        <w:rPr>
          <w:rFonts w:ascii="Arial" w:cs="Arial" w:eastAsia="Arial" w:hAnsi="Arial"/>
          <w:sz w:val="18"/>
          <w:szCs w:val="18"/>
          <w:i w:val="1"/>
          <w:iCs w:val="1"/>
          <w:color w:val="auto"/>
        </w:rPr>
        <w:t xml:space="preserve"> </w:t>
      </w:r>
      <w:r>
        <w:rPr>
          <w:rFonts w:ascii="Arial" w:cs="Arial" w:eastAsia="Arial" w:hAnsi="Arial"/>
          <w:sz w:val="18"/>
          <w:szCs w:val="18"/>
          <w:color w:val="auto"/>
        </w:rPr>
        <w:t>and increasing the demand for its solutions, including growing recognition by business of the value of analytics and data-informed business decisioning, growth in data creation and applications driven by the proliferation of new technologies with new data sets and applications, advances in analytical capabilities that are unlocking the value of data, and heightened compliance requirements in the regulatory environment for business driven by the growth of new technologies.</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Restaurant Group</w:t>
      </w:r>
      <w:r>
        <w:rPr>
          <w:rFonts w:ascii="Arial" w:cs="Arial" w:eastAsia="Arial" w:hAnsi="Arial"/>
          <w:sz w:val="17"/>
          <w:szCs w:val="17"/>
          <w:color w:val="auto"/>
        </w:rPr>
        <w:t>. The restaurant industry is characterized by high capital investments for new restaurants and relatively high fixed or semi-variable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currently operating in a period of high inflation relative to long term inflation expectations in the United States. This inflationary environment is primarily impacting the commodity and labor costs of our Restaurant Group. We have adjusted menu pricing to account for these cost increases to an extent, but will continue to balance the impact of inflationary pressures on costs with the value proposition offered to customers with a focus on long term profitability.</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revenues and operating income in future periods will continue to be subject to these and other factors that are beyond our control and, as a result, are likely to fluctuate.</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COVID-19. </w:t>
      </w:r>
      <w:r>
        <w:rPr>
          <w:rFonts w:ascii="Arial" w:cs="Arial" w:eastAsia="Arial" w:hAnsi="Arial"/>
          <w:sz w:val="17"/>
          <w:szCs w:val="17"/>
          <w:color w:val="auto"/>
        </w:rPr>
        <w:t>As described in our Annual Report, pandemics and other health emergencies such as COVID-19 may impact the operations and results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various businesses. The spread of COVID-19 in early 2020 and the associated government and social response adversely affected our Restaurant Group brands' guest traffic, sales and operating costs in fiscal years 2020 and 2021. While we believe the operations of our businesses are no longer being materially, adversely impacted by COVID-19, if another variant of COVID-19 results in government and social responses similar to those experienced with the initial spread of COVID-19 in 2020, our results of operations may be adversely impacted again in the future.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consolidated financial statements are prepared in accordance with U.S. GAAP. The Critical Accounting Policies and Estimates disclosed in Item 7 of our Annual Report are hereby incorporated by reference. Other than as described below, there have been no changes to our critical accounting policies and estimates.</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Investments in unconsolidated affiliates</w:t>
      </w:r>
      <w:r>
        <w:rPr>
          <w:rFonts w:ascii="Arial" w:cs="Arial" w:eastAsia="Arial" w:hAnsi="Arial"/>
          <w:sz w:val="18"/>
          <w:szCs w:val="18"/>
          <w:color w:val="auto"/>
        </w:rPr>
        <w:t>. On an ongoing basis, management monitors the Company's investments in unconsolidated affiliates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whether there are indications that the fair value of an investment may be other-than-temporarily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prospects of the investee, and the intent and ability of the Company to retain its investment in the investee for a period of time sufficient to allow for any anticipated recovery in market value.</w:t>
      </w:r>
    </w:p>
    <w:p>
      <w:pPr>
        <w:spacing w:after="0" w:line="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March 31, 2022, the fair value of our investment in Paysafe based on quoted market prices was $202.6 million and the book value of our investment in Paysafe was $438.6 million prior to any impairment. Due primarily to the quantum of the decrease in the fair market value of our investment, as well as negative trends in the alternative payments industry and decreasing market multiples of peer companies, management determined the decrease in value of our investment in Paysafe was other-than-temporary. Accordingly, we recorded an impairment charge of $236.0 million in the six months ended June 30, 2022 which is included in Recognized losses, net, on our Condensed Consolidated Statement of Operations.</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200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83"/>
        </w:trPr>
        <w:tc>
          <w:tcPr>
            <w:tcW w:w="644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r>
      <w:tr>
        <w:trPr>
          <w:trHeight w:val="183"/>
        </w:trPr>
        <w:tc>
          <w:tcPr>
            <w:tcW w:w="6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189.9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328.8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357.2</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07"/>
        </w:trPr>
        <w:tc>
          <w:tcPr>
            <w:tcW w:w="6440" w:type="dxa"/>
            <w:vAlign w:val="bottom"/>
          </w:tcPr>
          <w:p>
            <w:pPr>
              <w:ind w:left="480"/>
              <w:spacing w:after="0"/>
              <w:rPr>
                <w:sz w:val="20"/>
                <w:szCs w:val="20"/>
                <w:color w:val="auto"/>
              </w:rPr>
            </w:pPr>
            <w:r>
              <w:rPr>
                <w:rFonts w:ascii="Arial" w:cs="Arial" w:eastAsia="Arial" w:hAnsi="Arial"/>
                <w:sz w:val="16"/>
                <w:szCs w:val="16"/>
                <w:color w:val="auto"/>
              </w:rPr>
              <w:t>Total operating revenues</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374.3</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308.0</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w:t>
            </w:r>
          </w:p>
        </w:tc>
      </w:tr>
      <w:tr>
        <w:trPr>
          <w:trHeight w:val="207"/>
        </w:trPr>
        <w:tc>
          <w:tcPr>
            <w:tcW w:w="64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446.5</w:t>
            </w:r>
          </w:p>
        </w:tc>
      </w:tr>
      <w:tr>
        <w:trPr>
          <w:trHeight w:val="212"/>
        </w:trPr>
        <w:tc>
          <w:tcPr>
            <w:tcW w:w="64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Operating loss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w:t>
            </w:r>
          </w:p>
        </w:tc>
      </w:tr>
      <w:tr>
        <w:trPr>
          <w:trHeight w:val="193"/>
        </w:trPr>
        <w:tc>
          <w:tcPr>
            <w:tcW w:w="644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investment and other income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Recognized (losses) gains, net</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r>
      <w:tr>
        <w:trPr>
          <w:trHeight w:val="206"/>
        </w:trPr>
        <w:tc>
          <w:tcPr>
            <w:tcW w:w="64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expense</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r>
      <w:tr>
        <w:trPr>
          <w:trHeight w:val="21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before income taxes and equity in earnings of unconsolidated affiliates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r>
      <w:tr>
        <w:trPr>
          <w:trHeight w:val="21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expense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r>
      <w:tr>
        <w:trPr>
          <w:trHeight w:val="212"/>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before equity in (losses) earnings of unconsolidated affiliates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r>
      <w:tr>
        <w:trPr>
          <w:trHeight w:val="21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(losses) earnings of unconsolidated affiliates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r>
      <w:tr>
        <w:trPr>
          <w:trHeight w:val="21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earnings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r>
      <w:tr>
        <w:trPr>
          <w:trHeight w:val="21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(loss) earnings attributable to non-controlling interests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r>
      <w:tr>
        <w:trPr>
          <w:trHeight w:val="23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earnings attributable to Cannae Holdings, Inc.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revenues decreased $27.9 million, or 13.8%, in the three months ended June 30, 2022 and decreased $32.4 million, or 8.7%, in the six months ended June 30, 2022 compared to the corresponding periods in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revenues and net loss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operating expenses consist primarily of personnel costs, cost of restaurant revenue, other operating expenses, and depreciation and amortization.</w:t>
      </w:r>
    </w:p>
    <w:p>
      <w:pPr>
        <w:spacing w:after="0" w:line="14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operating expenses include management fees, carried interest fees, professional fees, advertising costs, travel expenses and impairments of operating assets.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expense consists of our depreciation related to investments in property and equipment as well as amortization of intangible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Pre-Tax Loss.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(Loss) earnings before income taxes and equity in earnings of unconsolidated affiliates decreased $458.9 million, or 194.6%, in the three months ended June 30, 2022 and decreased $452.4 million, or 397.2%, in the six months ended June 30, 2022 compared to the corresponding periods in 2021.</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revenues, expenses and pre-tax loss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Income tax (benefit) expense was $(66.5) million and $49.3 million in the three-month periods ended June 30, 2022 and 2021, respectively, and $(128.4) million and $(12.7) million in the six-month periods ended June 30, 2022 and 2021, respectively. Our effective tax rate was 29.8% and 20.9% in the three months ended June 30, 2022 and 2021, respectively, and 22.7% and 11.2% in the six months ended June 30, 2022 and 2021, respectively. Our 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all periods presented is primarily attributable to the varying impact of equity in earnings of unconsolidated affiliates on income tax (benefit) expense.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Unconsolidated Affiliates.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Equity in (losses) earnings of unconsolidated affiliates for the three and six months ended June 30, 2022 and 2021 consisted of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2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r>
      <w:tr>
        <w:trPr>
          <w:trHeight w:val="183"/>
        </w:trPr>
        <w:tc>
          <w:tcPr>
            <w:tcW w:w="4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31"/>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42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Paysafe/FTAC II Sponsor </w:t>
            </w:r>
            <w:r>
              <w:rPr>
                <w:rFonts w:ascii="Arial" w:cs="Arial" w:eastAsia="Arial" w:hAnsi="Arial"/>
                <w:sz w:val="23"/>
                <w:szCs w:val="23"/>
                <w:color w:val="auto"/>
                <w:vertAlign w:val="superscript"/>
              </w:rPr>
              <w:t>(1)</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Alight/FTAC Sponsor</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System1/Trebia Sponsor</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AmeriLife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Sightline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(108.0)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_____________________________________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The amount for the three and six months ended June 30, 2022 represents the Company's equity in earnings of FTAC II Sponsor only.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equity in earnings of unconsolidated affiliates in the six months ended June 30, 2022 from the table above includes $23.9 million for our ownership interest in Triple Tree Holdings which was primarily driven by its sale of its investment banking business.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Restaurant Group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266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6"/>
                <w:szCs w:val="16"/>
                <w:color w:val="auto"/>
              </w:rPr>
            </w:pPr>
          </w:p>
        </w:tc>
        <w:tc>
          <w:tcPr>
            <w:tcW w:w="21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87"/>
        </w:trPr>
        <w:tc>
          <w:tcPr>
            <w:tcW w:w="59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r>
      <w:tr>
        <w:trPr>
          <w:trHeight w:val="183"/>
        </w:trPr>
        <w:tc>
          <w:tcPr>
            <w:tcW w:w="5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Restaurant revenue</w:t>
            </w:r>
          </w:p>
        </w:tc>
        <w:tc>
          <w:tcPr>
            <w:tcW w:w="780" w:type="dxa"/>
            <w:vAlign w:val="bottom"/>
            <w:tcBorders>
              <w:bottom w:val="single" w:sz="8" w:color="auto"/>
            </w:tcBorders>
          </w:tcPr>
          <w:p>
            <w:pPr>
              <w:jc w:val="right"/>
              <w:ind w:right="60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166.7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357.2</w:t>
            </w:r>
          </w:p>
        </w:tc>
      </w:tr>
      <w:tr>
        <w:trPr>
          <w:trHeight w:val="213"/>
        </w:trPr>
        <w:tc>
          <w:tcPr>
            <w:tcW w:w="59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revenues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166.7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357.2</w:t>
            </w: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restaurant revenue</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308.0</w:t>
            </w:r>
          </w:p>
        </w:tc>
      </w:tr>
      <w:tr>
        <w:trPr>
          <w:trHeight w:val="213"/>
        </w:trPr>
        <w:tc>
          <w:tcPr>
            <w:tcW w:w="598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19"/>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3"/>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expenses</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r>
      <w:tr>
        <w:trPr>
          <w:trHeight w:val="213"/>
        </w:trPr>
        <w:tc>
          <w:tcPr>
            <w:tcW w:w="59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7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170.1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357.2</w:t>
            </w:r>
          </w:p>
        </w:tc>
      </w:tr>
      <w:tr>
        <w:trPr>
          <w:trHeight w:val="207"/>
        </w:trPr>
        <w:tc>
          <w:tcPr>
            <w:tcW w:w="59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Operating (loss) income</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3"/>
        </w:trPr>
        <w:tc>
          <w:tcPr>
            <w:tcW w:w="59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9"/>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Recognized gains, net</w:t>
            </w: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7"/>
        </w:trPr>
        <w:tc>
          <w:tcPr>
            <w:tcW w:w="59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income (expense)</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3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(Loss) earnings before income taxes and equity in earnings of unconsolidated affiliates</w:t>
            </w:r>
          </w:p>
        </w:tc>
        <w:tc>
          <w:tcPr>
            <w:tcW w:w="780" w:type="dxa"/>
            <w:vAlign w:val="bottom"/>
            <w:tcBorders>
              <w:bottom w:val="single" w:sz="8" w:color="auto"/>
            </w:tcBorders>
            <w:shd w:val="clear" w:color="auto" w:fill="CCEEFF"/>
          </w:tcPr>
          <w:p>
            <w:pPr>
              <w:jc w:val="right"/>
              <w:ind w:right="60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revenues for the Restaurant Group segment decreased $23.2 million, or 12.2%, in the three months ended June 30, 2022 and decreased $28.4 million, or 8.0%, in the six months ended June 30, 2022 compared to the corresponding periods in 2021. The decrease was primarily driven by decreased revenue related to our sale of the Village Inn, Baker's Square, and Legendary Baking concepts subsequent to the prior year period. The decrease was partially offset by an overall increase in comparable store sales.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associated with our Legendary Baking, Village Inn, and Baker's Square brands was $23.9 million and $44.2 million in the three and six months ended June 30, 2021, respectively.</w:t>
      </w:r>
    </w:p>
    <w:p>
      <w:pPr>
        <w:spacing w:after="0" w:line="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Comparable Store Sales. </w:t>
      </w:r>
      <w:r>
        <w:rPr>
          <w:rFonts w:ascii="Arial" w:cs="Arial" w:eastAsia="Arial" w:hAnsi="Arial"/>
          <w:sz w:val="17"/>
          <w:szCs w:val="17"/>
          <w:color w:val="auto"/>
        </w:rPr>
        <w:t>One method we use in evaluating the performance of our restaurants is to compare sales results for restaurants period over</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O'Charley's and 99 Restaurants brands (decreased) increased by (5.1)% and 10.2%, respectively, in the three months ended June 30, 2022 and (decreased) increased by (2.7)% and 17.1%, respectively, in the six months ended June 30, 2022, compared to the comparable periods in 2021. The decrease in 2022 for our O'Charley's brand is primarily attributable to a decrease in guest counts, mostly offset by an increase in the average amount spent by customers each visit. The increase in 2022 for our 99 Restaurants brand is primarily attributable to increased guest counts and an increase in the average amount spent by customers each visit.</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Cost of restaurant revenue decreased directionally consistent with Restaurant revenues. Cost of restaurant revenue as a percentage of restaurant revenue was 88.7% and 84.4% in the three months ended June 30, 2022 and 2021, respectively, and 89.2% and 86.2% in the six months ended June 30, 2022 and 2021, respectively. The increase in cost of restaurant revenue as a percentage of restaurant revenue in the three and six months ended June 30, 2022 compared to the comparable period in 2021 is primarily attributable to increased costs of labor, food, and supplies.</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(Loss) earnings before income taxes decreased by $6.8 million, or 158.1%, in the three months ended June 30, 2022 and decreased (increased loss) by $4.1 million, or 110.8%, in the six months ended June 30, 2022 from the corresponding periods in 2021. The change in income was primarily attributable to the factors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Dun &amp; Bradstreet</w:t>
      </w:r>
    </w:p>
    <w:p>
      <w:pPr>
        <w:spacing w:after="0" w:line="11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As of June 30, 2022, we own approximately 20.3% of the outstanding common stock of Dun &amp; Bradstreet. We account for our ownership interest in Dun &amp; Bradstreet under the equity method of accounting; therefore, its results of operations do not consolidate into ours. Subsequent to June 30, 2022, we completed the sale of 9.2 million shares of common stock of Dun &amp; Bradstreet to a broker pursuant to Rule 144. In connection with the sale, we received proceeds of $127.2 million.</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Summarized financial information for Dun &amp; Bradstreet for the relevant dates and time periods included in Equity in earnings of unconsolidated affiliates in our Condensed Consolidated Balance Sheets and Statements of Operations, respectively, is presented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1960" w:type="dxa"/>
            <w:vAlign w:val="bottom"/>
            <w:gridSpan w:val="3"/>
          </w:tcPr>
          <w:p>
            <w:pPr>
              <w:jc w:val="right"/>
              <w:ind w:right="173"/>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87"/>
        </w:trPr>
        <w:tc>
          <w:tcPr>
            <w:tcW w:w="64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r>
      <w:tr>
        <w:trPr>
          <w:trHeight w:val="183"/>
        </w:trPr>
        <w:tc>
          <w:tcPr>
            <w:tcW w:w="6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31"/>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537.3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1,073.3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(40.5)</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attributable to Dun &amp; Bradstreet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r>
    </w:tbl>
    <w:p>
      <w:pPr>
        <w:spacing w:after="0" w:line="94" w:lineRule="exact"/>
        <w:rPr>
          <w:sz w:val="20"/>
          <w:szCs w:val="20"/>
          <w:color w:val="auto"/>
        </w:rPr>
      </w:pPr>
    </w:p>
    <w:p>
      <w:pPr>
        <w:ind w:right="1100" w:firstLine="324"/>
        <w:spacing w:after="0" w:line="375" w:lineRule="auto"/>
        <w:rPr>
          <w:sz w:val="20"/>
          <w:szCs w:val="20"/>
          <w:color w:val="auto"/>
        </w:rPr>
      </w:pPr>
      <w:r>
        <w:rPr>
          <w:rFonts w:ascii="Arial" w:cs="Arial" w:eastAsia="Arial" w:hAnsi="Arial"/>
          <w:sz w:val="18"/>
          <w:szCs w:val="18"/>
          <w:color w:val="auto"/>
        </w:rPr>
        <w:t xml:space="preserve">Details relating to the results of operations of Dun &amp; Bradstreet (NYSE: "DNB") can be found in its periodic reports filed with the SEC. </w:t>
      </w:r>
      <w:r>
        <w:rPr>
          <w:rFonts w:ascii="Arial" w:cs="Arial" w:eastAsia="Arial" w:hAnsi="Arial"/>
          <w:sz w:val="18"/>
          <w:szCs w:val="18"/>
          <w:b w:val="1"/>
          <w:bCs w:val="1"/>
          <w:i w:val="1"/>
          <w:iCs w:val="1"/>
          <w:color w:val="auto"/>
        </w:rPr>
        <w:t>Alight</w:t>
      </w:r>
    </w:p>
    <w:p>
      <w:pPr>
        <w:spacing w:after="0" w:line="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July 2, 2021, we closed on the acquisition of our ownership interest in Alight. As of June 30, 2022, we own approximately 9.7% of the outstanding common stock of Alight. We account for our ownership of Alight under the equity method of accounting; therefore, its results do not consolidate into ours. We historically accounted for our equity ownership and proportionate share of equity in earnings or loss of Alight on a three-month lag. In the second quarter of 2022, the Company was able to obtain financial information for Alight on a more timely basis and determined it was preferable to record our investment in Alight on a current basis as opposed to the previous three-month lag. Accordingly, our net earnings and the segment table above, respectively, for the three months ended June 30, 2022, include our equity in Alight’s earnings for both the first and second quarters of 2022. The elimination of the three-month reporting lag for our equity ownership in Alight did not result in any material adjustments for any current or prior periods presented.</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Summarized financial information for Alight for the relevant dates and time periods included in Equity in earnings of unconsolidated affiliates in our Condensed Consolidated Statements of Operations is presented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820" w:type="dxa"/>
            <w:vAlign w:val="bottom"/>
            <w:gridSpan w:val="2"/>
          </w:tcPr>
          <w:p>
            <w:pPr>
              <w:jc w:val="right"/>
              <w:ind w:right="57"/>
              <w:spacing w:after="0"/>
              <w:rPr>
                <w:sz w:val="20"/>
                <w:szCs w:val="20"/>
                <w:color w:val="auto"/>
              </w:rPr>
            </w:pPr>
            <w:r>
              <w:rPr>
                <w:rFonts w:ascii="Arial" w:cs="Arial" w:eastAsia="Arial" w:hAnsi="Arial"/>
                <w:sz w:val="14"/>
                <w:szCs w:val="14"/>
                <w:b w:val="1"/>
                <w:bCs w:val="1"/>
                <w:color w:val="auto"/>
                <w:w w:val="95"/>
              </w:rPr>
              <w:t>Three months ended June</w:t>
            </w: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Six months ended June 30,</w:t>
            </w:r>
          </w:p>
        </w:tc>
      </w:tr>
      <w:tr>
        <w:trPr>
          <w:trHeight w:val="188"/>
        </w:trPr>
        <w:tc>
          <w:tcPr>
            <w:tcW w:w="76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30, 2022</w:t>
            </w: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r>
      <w:tr>
        <w:trPr>
          <w:trHeight w:val="183"/>
        </w:trPr>
        <w:tc>
          <w:tcPr>
            <w:tcW w:w="7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5"/>
                <w:szCs w:val="15"/>
                <w:color w:val="auto"/>
              </w:rPr>
            </w:pP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715.0</w:t>
            </w:r>
          </w:p>
        </w:tc>
        <w:tc>
          <w:tcPr>
            <w:tcW w:w="58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(23.0)</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Alight</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51.0</w:t>
            </w: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bl>
    <w:p>
      <w:pPr>
        <w:spacing w:after="0" w:line="188" w:lineRule="exact"/>
        <w:rPr>
          <w:sz w:val="20"/>
          <w:szCs w:val="20"/>
          <w:color w:val="auto"/>
        </w:rPr>
      </w:pPr>
    </w:p>
    <w:p>
      <w:pPr>
        <w:ind w:right="1880" w:firstLine="324"/>
        <w:spacing w:after="0" w:line="367" w:lineRule="auto"/>
        <w:rPr>
          <w:sz w:val="20"/>
          <w:szCs w:val="20"/>
          <w:color w:val="auto"/>
        </w:rPr>
      </w:pPr>
      <w:r>
        <w:rPr>
          <w:rFonts w:ascii="Arial" w:cs="Arial" w:eastAsia="Arial" w:hAnsi="Arial"/>
          <w:sz w:val="18"/>
          <w:szCs w:val="18"/>
          <w:color w:val="auto"/>
        </w:rPr>
        <w:t xml:space="preserve">Details relating to the results of operations of Alight (NYSE: "ALIT") can be found in its periodic reports filed with the SEC. </w:t>
      </w:r>
      <w:r>
        <w:rPr>
          <w:rFonts w:ascii="Arial" w:cs="Arial" w:eastAsia="Arial" w:hAnsi="Arial"/>
          <w:sz w:val="18"/>
          <w:szCs w:val="18"/>
          <w:b w:val="1"/>
          <w:bCs w:val="1"/>
          <w:i w:val="1"/>
          <w:iCs w:val="1"/>
          <w:color w:val="auto"/>
        </w:rPr>
        <w:t>Paysafe</w:t>
      </w:r>
    </w:p>
    <w:p>
      <w:pPr>
        <w:spacing w:after="0" w:line="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March 30, 2021, we closed on the acquisition of our ownership interest in Paysafe. As of June 30, 2022, we own approximately 8.3% of the outstanding common stock of Paysafe. We account for our ownership of Paysafe under the equity method of accounting; therefore, its results do not consolidate into ours. We report our equity in the earnings or loss of Paysafe on a three-month lag. Accordingly, our net loss for the three and six months ended June 30, 2022 includes our equity in Paysafe’s losses for the three and six months ended March 31, 2022, respectively. Because we closed on our investment in Paysafe at the end of the first quarter of 2021 and record our share of its earnings or loss on a three-month lag, there is no equity in earnings or loss of Paysafe included in our results of operations for the three or six months ended June 30, 2021.</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Summarized financial information for Paysafe for the relevant dates and time periods included in Equity in earnings of unconsolidated affiliates in our Condensed Consolidated Statements of Operations is presented below.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237"/>
              <w:spacing w:after="0"/>
              <w:rPr>
                <w:sz w:val="20"/>
                <w:szCs w:val="20"/>
                <w:color w:val="auto"/>
              </w:rPr>
            </w:pPr>
            <w:r>
              <w:rPr>
                <w:rFonts w:ascii="Arial" w:cs="Arial" w:eastAsia="Arial" w:hAnsi="Arial"/>
                <w:sz w:val="14"/>
                <w:szCs w:val="14"/>
                <w:b w:val="1"/>
                <w:bCs w:val="1"/>
                <w:color w:val="auto"/>
                <w:w w:val="94"/>
              </w:rPr>
              <w:t>Three months ended</w:t>
            </w:r>
          </w:p>
        </w:tc>
        <w:tc>
          <w:tcPr>
            <w:tcW w:w="260" w:type="dxa"/>
            <w:vAlign w:val="bottom"/>
          </w:tcPr>
          <w:p>
            <w:pPr>
              <w:spacing w:after="0"/>
              <w:rPr>
                <w:sz w:val="14"/>
                <w:szCs w:val="14"/>
                <w:color w:val="auto"/>
              </w:rPr>
            </w:pPr>
          </w:p>
        </w:tc>
        <w:tc>
          <w:tcPr>
            <w:tcW w:w="15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Six Months Ended</w:t>
            </w:r>
          </w:p>
        </w:tc>
      </w:tr>
      <w:tr>
        <w:trPr>
          <w:trHeight w:val="188"/>
        </w:trPr>
        <w:tc>
          <w:tcPr>
            <w:tcW w:w="7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March 31, 2022</w:t>
            </w:r>
          </w:p>
        </w:tc>
      </w:tr>
      <w:tr>
        <w:trPr>
          <w:trHeight w:val="183"/>
        </w:trPr>
        <w:tc>
          <w:tcPr>
            <w:tcW w:w="7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60" w:type="dxa"/>
            <w:vAlign w:val="bottom"/>
            <w:gridSpan w:val="3"/>
          </w:tcPr>
          <w:p>
            <w:pPr>
              <w:jc w:val="right"/>
              <w:ind w:right="1355"/>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367.7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(1,191.7)</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(1,162.7)</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(1,170.8)</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(1,080.3)</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180" w:type="dxa"/>
            <w:vAlign w:val="bottom"/>
          </w:tcPr>
          <w:p>
            <w:pPr>
              <w:spacing w:after="0"/>
              <w:rPr>
                <w:sz w:val="19"/>
                <w:szCs w:val="19"/>
                <w:color w:val="auto"/>
              </w:rPr>
            </w:pPr>
          </w:p>
        </w:tc>
        <w:tc>
          <w:tcPr>
            <w:tcW w:w="1640" w:type="dxa"/>
            <w:vAlign w:val="bottom"/>
          </w:tcPr>
          <w:p>
            <w:pPr>
              <w:jc w:val="right"/>
              <w:ind w:right="37"/>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Paysafe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(1,171.2)</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(1,080.9)</w:t>
            </w:r>
          </w:p>
        </w:tc>
      </w:tr>
    </w:tbl>
    <w:p>
      <w:pPr>
        <w:spacing w:after="0" w:line="188" w:lineRule="exact"/>
        <w:rPr>
          <w:sz w:val="20"/>
          <w:szCs w:val="20"/>
          <w:color w:val="auto"/>
        </w:rPr>
      </w:pPr>
    </w:p>
    <w:p>
      <w:pPr>
        <w:ind w:right="1780" w:firstLine="324"/>
        <w:spacing w:after="0" w:line="375" w:lineRule="auto"/>
        <w:rPr>
          <w:sz w:val="20"/>
          <w:szCs w:val="20"/>
          <w:color w:val="auto"/>
        </w:rPr>
      </w:pPr>
      <w:r>
        <w:rPr>
          <w:rFonts w:ascii="Arial" w:cs="Arial" w:eastAsia="Arial" w:hAnsi="Arial"/>
          <w:sz w:val="18"/>
          <w:szCs w:val="18"/>
          <w:color w:val="auto"/>
        </w:rPr>
        <w:t xml:space="preserve">Details relating to the results of operations of Paysafe (NYSE: "PSFE") can be found in its periodic reports filed with the SEC. </w:t>
      </w:r>
      <w:r>
        <w:rPr>
          <w:rFonts w:ascii="Arial" w:cs="Arial" w:eastAsia="Arial" w:hAnsi="Arial"/>
          <w:sz w:val="18"/>
          <w:szCs w:val="18"/>
          <w:b w:val="1"/>
          <w:bCs w:val="1"/>
          <w:i w:val="1"/>
          <w:iCs w:val="1"/>
          <w:color w:val="auto"/>
        </w:rPr>
        <w:t>Corporate and Other</w:t>
      </w:r>
    </w:p>
    <w:p>
      <w:pPr>
        <w:spacing w:after="0" w:line="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Corporate and Other segment consists of our share in the operations of certain controlled businesses and other equity ownership interests, activity of the corporate holding company and certain intercompany eliminations and taxes.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non-reportable Corporate and other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1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87"/>
        </w:trPr>
        <w:tc>
          <w:tcPr>
            <w:tcW w:w="61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r>
      <w:tr>
        <w:trPr>
          <w:trHeight w:val="183"/>
        </w:trPr>
        <w:tc>
          <w:tcPr>
            <w:tcW w:w="6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6100" w:type="dxa"/>
            <w:vAlign w:val="bottom"/>
          </w:tcPr>
          <w:p>
            <w:pPr>
              <w:ind w:left="220"/>
              <w:spacing w:after="0"/>
              <w:rPr>
                <w:sz w:val="20"/>
                <w:szCs w:val="20"/>
                <w:color w:val="auto"/>
              </w:rPr>
            </w:pPr>
            <w:r>
              <w:rPr>
                <w:rFonts w:ascii="Arial" w:cs="Arial" w:eastAsia="Arial" w:hAnsi="Arial"/>
                <w:sz w:val="16"/>
                <w:szCs w:val="16"/>
                <w:color w:val="auto"/>
              </w:rPr>
              <w:t>Other operating 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610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19"/>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expenses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r>
      <w:tr>
        <w:trPr>
          <w:trHeight w:val="212"/>
        </w:trPr>
        <w:tc>
          <w:tcPr>
            <w:tcW w:w="6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w:t>
            </w:r>
          </w:p>
        </w:tc>
      </w:tr>
      <w:tr>
        <w:trPr>
          <w:trHeight w:val="207"/>
        </w:trPr>
        <w:tc>
          <w:tcPr>
            <w:tcW w:w="61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Operating loss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w:t>
            </w:r>
          </w:p>
        </w:tc>
      </w:tr>
      <w:tr>
        <w:trPr>
          <w:trHeight w:val="19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610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(losses) gains, net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r>
      <w:tr>
        <w:trPr>
          <w:trHeight w:val="212"/>
        </w:trPr>
        <w:tc>
          <w:tcPr>
            <w:tcW w:w="6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other (expense) income</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r>
      <w:tr>
        <w:trPr>
          <w:trHeight w:val="204"/>
        </w:trPr>
        <w:tc>
          <w:tcPr>
            <w:tcW w:w="6100" w:type="dxa"/>
            <w:vAlign w:val="bottom"/>
          </w:tcPr>
          <w:p>
            <w:pPr>
              <w:ind w:left="20"/>
              <w:spacing w:after="0"/>
              <w:rPr>
                <w:sz w:val="20"/>
                <w:szCs w:val="20"/>
                <w:color w:val="auto"/>
              </w:rPr>
            </w:pPr>
            <w:r>
              <w:rPr>
                <w:rFonts w:ascii="Arial" w:cs="Arial" w:eastAsia="Arial" w:hAnsi="Arial"/>
                <w:sz w:val="16"/>
                <w:szCs w:val="16"/>
                <w:color w:val="auto"/>
                <w:w w:val="98"/>
              </w:rPr>
              <w:t>(Loss) earnings before income taxes and equity in earnings of unconsolidated affiliates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(220.6)</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231.5</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(558.5)</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(110.2)</w:t>
            </w:r>
          </w:p>
        </w:tc>
      </w:tr>
    </w:tbl>
    <w:p>
      <w:pPr>
        <w:spacing w:after="0" w:line="20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Personnel costs decreased $5.6 million in the three months ended June 30, 2022 and increased $5.5 million in the six months ended June 30, 2022 compared to the corresponding periods in 2021. The change in personnel costs was primarily driven by changes in the amounts of success bonuses paid related to our sales of shares of Ceridian.</w:t>
      </w:r>
    </w:p>
    <w:p>
      <w:pPr>
        <w:spacing w:after="0" w:line="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Other operating expenses decreased by $17.3 million in the three months ended June 30, 2022 and increased $14.3 million in the six months ended June 30, 2022 compared to the corresponding periods in 2021. The decrease in the three month period was primarily driven by management fees and carried interest incurred with our Manager of $10.6 million and $2.2 million, respectively, for the three months ended June 30, 2022 compared with $8.2 million and $20.3 million, respectively, for the same period in 2021. The increase in the six month period was primarily driven by management fees and carried interest incurred with our Manager of $21.2 million and $47.4 million, respectively, for the six months ended June 30, 2022 compared with $15.7 million and $37.4 million, respectively, for the same period in 2021. The carried interest for the period ended June 30, 2022 was primarily attributable to the Optimal Blue Disposition, of which $31.8 million was paid in D&amp;B stock. The carried interest for the periods ended June 30, 2021 were primarily related to our distributions from the Senator JV and sale of D&amp;B stock.</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Recognized (losses) gains, net, decreased $468.6 million in the three months ended June 30, 2022 and decreased (increased loss) $420.5 million in the six months ended June 30, 2022 compared to the corresponding periods in 2021. The decrease in the three months ended June 30, 2022 is primarily attributable to increased losses on equity securities in the three months ended June 30, 2022 compared to the corresponding period in 2021, a gain of $111.1 million on the sale of D&amp;B shares recorded in the 2021 period and a non-cash impairment of $32.8 million on our ownership interest in QOMPLX in the 2022 period.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decrease in the six months ended June 30, 2022 is also attributable to a $236.0 million impairment charge recorded on our ownership interest in Paysafe in the six months ended June 30, 2022 and increased losses on equity securities in the six months ended June 30, 2022 compared to the corresponding period in 2021. This was partially offset by the $313.0 million gain on the sale of Optimal Blue recorded in the six months ended June 30, 2022. See Note D for further information on recognized gains and losses on equity securities.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(Loss) earnings before income taxes decreased $452.1 million in the three months ended June 30, 2022 and decreased (increased loss) $448.3 million in the six months ended June 30, 2022 compared to the corresponding periods in 2021. The increase earnings was primarily attributable to the factors noted above.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taxes, payments of interest and principal on our debt,</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the AAII FPA, and business acquisitions. There are no restrictions on our retained earnings regarding our ability to pay dividends to stockholders, although there are limits on the ability of certain subsidiaries to pay dividends to us, as a result of provisions in certain debt agreements. The declaration of any future dividends is at the discretion of our Board of Directors. Additional uses of cash flow are expected to include stock repurchases, acquisitions, and debt repayments.</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2022, we had cash and cash equivalents of $100.6 million, of which $75.7 million was cash held by the corporate holding company, and $250.0 million of capacity under our existing holding company credit facilities with the ability to add an additional $250.0 million of borrowing capacity by amending our 2020 Margin Facility.</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focused on evaluating our assets and ownership interests as potential vehicles for creating liquidity. Our intent is to use that liquidity for general corporate purposes, including future acquisitions, potentially reducing debt, repurchasing shares of our stock, other strategic initiatives and/or conserving cash.</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Operating Cash Flow</w:t>
      </w:r>
      <w:r>
        <w:rPr>
          <w:rFonts w:ascii="Arial" w:cs="Arial" w:eastAsia="Arial" w:hAnsi="Arial"/>
          <w:sz w:val="18"/>
          <w:szCs w:val="18"/>
          <w:color w:val="auto"/>
        </w:rPr>
        <w:t>. Our cash flows used in operations for the six months ended June 30, 2022 and 2021 totaled $133.0 million and $67.2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in cash used in operations of $65.8 million is primarily attributable to the timing of payment and receipt of working capital assets and liabilities.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Our cash flows provided by (used in) investing activities for the six months ended June 30, 2022 and 2021 were $201.7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$(282.0) million, respectively. The increase in cash provided by (decrease in cash used in) investing activities of $483.7 million in the 2022 period from the 2021 period is primarily attributable to proceeds from sales of investments, net of new and additional investments in unconsolidated affiliates in the 2022 period compared to the 2021 period.</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other intangible assets were $7.6 million and $4.9 million for the six-month periods ended June 30, 2022 and 2021, respectively. The capital expenditures in 2022 and 2021 primarily consisted of purchases of equipment in our Restaurant Group segment.</w:t>
      </w:r>
    </w:p>
    <w:p>
      <w:pPr>
        <w:spacing w:after="0" w:line="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Financing Cash Flows. </w:t>
      </w:r>
      <w:r>
        <w:rPr>
          <w:rFonts w:ascii="Arial" w:cs="Arial" w:eastAsia="Arial" w:hAnsi="Arial"/>
          <w:sz w:val="17"/>
          <w:szCs w:val="17"/>
          <w:color w:val="auto"/>
        </w:rPr>
        <w:t>Our cash flows used in financing activities for the six months ended June 30, 2022 and 2021 were $53.9 million and $100.2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The decrease in cash used in financing activities of $46.3 million is primarily attributable to an increase in debt, net of paydowns, of $104.2 million, partially offset by increased treasury repurchases of $57.8 million in the six months ended June 30, 2022.</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E included in Item 1 of Part I of this Quarterly Report,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into this Item 2 of Part I.</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There have been no material changes to the seasonality experienced in our businesses from those described for the period as of and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2021 included in our Annual Report.</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Our long term contractual obligations generally include our credit agreements and other debt facilities, lease payments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obligations on certain of our premises and equipment, purchase obligations of the Restaurant Group and payments to our Manager.</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lease payments include the expected future rent payments of the Company and its operating subsidiaries, primarily for the Restaurant Group.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operating leases are accounted for pursuant to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regards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June 30, 2022 to determine the amount of these obligations.</w:t>
      </w:r>
    </w:p>
    <w:p>
      <w:pPr>
        <w:spacing w:after="0" w:line="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the terms of the Management Services Agreement between Cannae LLC and our Manager, Cannae LLC is obligated to pay our Manager a quarterly management fee equal to 0.375% (1.5% annualized) of the Company’s cost of invested capital (as defined in the Management Services Agreement) as of the last day of each fiscal quarter, payable in arrears in cash, as may be adjusted pursuant to the terms of the Management Services Agreement. Management fees payable to our Manager are included for the initial 5-year term of the Management Services Agreement that began in September 2019 and are based on our cost of invested capital of $2,918.1 million as of June 30, 2022.</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Restaurant Group financing obligations include its agreements to lease its corporate office and certain O'Charley's restaurant locations, which are accounted for as failed sale and leaseback transactions.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2022, our required annual payments relating to these contractual obligations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187"/>
        </w:trPr>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1"/>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payments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Unconditional purchase obligations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Management fees payable to Manager</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98.8</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Restaurant Group financing obligations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w:t>
            </w: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A and Note F to our Condensed Consolidated Financial Statements included in Item 1 of Part I of this Quarterly Report for further discussion of our commitments to fund the Eagle Commitment and the AAII FPA.</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Capital Stock Transactions</w:t>
      </w:r>
      <w:r>
        <w:rPr>
          <w:rFonts w:ascii="Arial" w:cs="Arial" w:eastAsia="Arial" w:hAnsi="Arial"/>
          <w:sz w:val="18"/>
          <w:szCs w:val="18"/>
          <w:color w:val="auto"/>
        </w:rPr>
        <w:t>. Effective February 26, 2021, our Board authorized a three-year stock repurchase program, (the "2021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under which the Company may repurchase up to 10 million shares of its common stock. Purchases may be made from time to time in the open market at prevailing prices or in privately negotiated transactions through February 26, 2024. The repurchase program does not obligate the Company to acquire any specific number of shares and may be suspended or terminated at any time.</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2021 Repurchase Program, we repurchased 6,775,598 shares of CNNE common stock during the six months ended June 30, 2022 for approximately $138.6 million in the aggregate, or an average of $20.46 per share. Since the original commencement of the 2021 Repurchase Program through market close on June 30, 2022, we repurchased a total of 7,292,182 common shares for approximately $157.2 million in the aggregate, or an average of $21.56 per share.</w:t>
      </w:r>
    </w:p>
    <w:p>
      <w:pPr>
        <w:spacing w:after="0" w:line="79"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On August 3, 2022, our Board authorized the 2022 Repurchase Program, under which the Company may repurchase up to 10.0 million shares of its common stock. Purchases may be made from time to time in the open market at prevailing prices or in privately negotiated transactions through August 3, 2025. The repurchase program does not obligate the Company to acquire any specific number of shares and may be suspended or terminated at any time.</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There have been no significant changes to our off-balance sheet arrangements since our Annual Report.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6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left="60"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56" w:lineRule="exact"/>
        <w:rPr>
          <w:sz w:val="20"/>
          <w:szCs w:val="20"/>
          <w:color w:val="auto"/>
        </w:rPr>
      </w:pPr>
    </w:p>
    <w:p>
      <w:pPr>
        <w:jc w:val="both"/>
        <w:ind w:left="6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2022 that have materially affected, or are reasonably likely to materially affect, our internal control over financial reporting.</w:t>
      </w:r>
    </w:p>
    <w:p>
      <w:pPr>
        <w:spacing w:after="0" w:line="2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left="60" w:firstLine="324"/>
        <w:spacing w:after="0" w:line="277" w:lineRule="auto"/>
        <w:rPr>
          <w:sz w:val="20"/>
          <w:szCs w:val="20"/>
          <w:color w:val="auto"/>
        </w:rPr>
      </w:pPr>
      <w:r>
        <w:rPr>
          <w:rFonts w:ascii="Arial" w:cs="Arial" w:eastAsia="Arial" w:hAnsi="Arial"/>
          <w:sz w:val="18"/>
          <w:szCs w:val="18"/>
          <w:color w:val="auto"/>
        </w:rPr>
        <w:t xml:space="preserve">See discussion of legal proceedings in Note F.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included in Item 1 of Part I of this Quarterly Report, which is incorporated by reference into this Item 1 of Part II.</w:t>
      </w:r>
    </w:p>
    <w:p>
      <w:pPr>
        <w:spacing w:after="0" w:line="200" w:lineRule="exact"/>
        <w:rPr>
          <w:sz w:val="20"/>
          <w:szCs w:val="20"/>
          <w:color w:val="auto"/>
        </w:rPr>
      </w:pPr>
    </w:p>
    <w:p>
      <w:pPr>
        <w:spacing w:after="0" w:line="25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repurchases of equity securities by the Company during the three months ended June 30,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4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Total Number of Shares PurchasedMaximumasNumber of Shares that May</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420" w:type="dxa"/>
            <w:vAlign w:val="bottom"/>
            <w:gridSpan w:val="7"/>
            <w:vMerge w:val="restart"/>
          </w:tcPr>
          <w:p>
            <w:pPr>
              <w:ind w:left="1220"/>
              <w:spacing w:after="0"/>
              <w:rPr>
                <w:sz w:val="20"/>
                <w:szCs w:val="20"/>
                <w:color w:val="auto"/>
              </w:rPr>
            </w:pPr>
            <w:r>
              <w:rPr>
                <w:rFonts w:ascii="Arial" w:cs="Arial" w:eastAsia="Arial" w:hAnsi="Arial"/>
                <w:sz w:val="14"/>
                <w:szCs w:val="14"/>
                <w:b w:val="1"/>
                <w:bCs w:val="1"/>
                <w:color w:val="auto"/>
                <w:w w:val="97"/>
              </w:rPr>
              <w:t>Total Number of Shares PurchasedAverage Price Paid per Share</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420" w:type="dxa"/>
            <w:vAlign w:val="bottom"/>
            <w:gridSpan w:val="7"/>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 (2)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 (3)</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78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/30/2022</w:t>
            </w:r>
          </w:p>
        </w:tc>
        <w:tc>
          <w:tcPr>
            <w:tcW w:w="1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7,483,416</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780" w:type="dxa"/>
            <w:vAlign w:val="bottom"/>
          </w:tcPr>
          <w:p>
            <w:pPr>
              <w:jc w:val="right"/>
              <w:ind w:right="1110"/>
              <w:spacing w:after="0"/>
              <w:rPr>
                <w:sz w:val="20"/>
                <w:szCs w:val="20"/>
                <w:color w:val="auto"/>
              </w:rPr>
            </w:pPr>
            <w:r>
              <w:rPr>
                <w:rFonts w:ascii="Arial" w:cs="Arial" w:eastAsia="Arial" w:hAnsi="Arial"/>
                <w:sz w:val="18"/>
                <w:szCs w:val="18"/>
                <w:color w:val="auto"/>
                <w:w w:val="79"/>
              </w:rPr>
              <w:t>/31/2022</w:t>
            </w:r>
          </w:p>
        </w:tc>
        <w:tc>
          <w:tcPr>
            <w:tcW w:w="3520" w:type="dxa"/>
            <w:vAlign w:val="bottom"/>
            <w:gridSpan w:val="4"/>
          </w:tcPr>
          <w:p>
            <w:pPr>
              <w:jc w:val="right"/>
              <w:spacing w:after="0"/>
              <w:rPr>
                <w:sz w:val="20"/>
                <w:szCs w:val="20"/>
                <w:color w:val="auto"/>
              </w:rPr>
            </w:pPr>
            <w:r>
              <w:rPr>
                <w:rFonts w:ascii="Arial" w:cs="Arial" w:eastAsia="Arial" w:hAnsi="Arial"/>
                <w:sz w:val="18"/>
                <w:szCs w:val="18"/>
                <w:color w:val="auto"/>
              </w:rPr>
              <w:t>2,000,000$</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2,000,000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5,483,416</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78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/30/2022</w:t>
            </w:r>
          </w:p>
        </w:tc>
        <w:tc>
          <w:tcPr>
            <w:tcW w:w="3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2,775,598$</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2,775,598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2,707,818</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gridSpan w:val="2"/>
          </w:tcPr>
          <w:p>
            <w:pPr>
              <w:jc w:val="right"/>
              <w:spacing w:after="0" w:line="223" w:lineRule="exact"/>
              <w:rPr>
                <w:sz w:val="20"/>
                <w:szCs w:val="20"/>
                <w:color w:val="auto"/>
              </w:rPr>
            </w:pPr>
            <w:r>
              <w:rPr>
                <w:rFonts w:ascii="Arial" w:cs="Arial" w:eastAsia="Arial" w:hAnsi="Arial"/>
                <w:sz w:val="25"/>
                <w:szCs w:val="25"/>
                <w:b w:val="1"/>
                <w:bCs w:val="1"/>
                <w:color w:val="auto"/>
                <w:vertAlign w:val="superscript"/>
              </w:rPr>
              <w:t>(1)</w:t>
            </w:r>
            <w:r>
              <w:rPr>
                <w:rFonts w:ascii="Arial" w:cs="Arial" w:eastAsia="Arial" w:hAnsi="Arial"/>
                <w:sz w:val="16"/>
                <w:szCs w:val="16"/>
                <w:color w:val="auto"/>
              </w:rPr>
              <w:t>4,775,598$</w:t>
            </w:r>
          </w:p>
        </w:tc>
        <w:tc>
          <w:tcPr>
            <w:tcW w:w="3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4,775,598</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00" w:hanging="332"/>
        <w:spacing w:after="0" w:line="277" w:lineRule="auto"/>
        <w:tabs>
          <w:tab w:leader="none" w:pos="488"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shares repurchased during the three months ended June 30, 2022 were purchased from FNF in privately negotiated transactions for an aggregate amount of $84.7 million.</w:t>
      </w:r>
    </w:p>
    <w:p>
      <w:pPr>
        <w:spacing w:after="0" w:line="48" w:lineRule="exact"/>
        <w:rPr>
          <w:rFonts w:ascii="Arial" w:cs="Arial" w:eastAsia="Arial" w:hAnsi="Arial"/>
          <w:sz w:val="18"/>
          <w:szCs w:val="18"/>
          <w:color w:val="auto"/>
        </w:rPr>
      </w:pPr>
    </w:p>
    <w:p>
      <w:pPr>
        <w:ind w:left="400" w:hanging="332"/>
        <w:spacing w:after="0" w:line="277" w:lineRule="auto"/>
        <w:tabs>
          <w:tab w:leader="none" w:pos="524"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March 1, 2021, our Board of Directors approved the 2021 Repurchase Program, under which we may purchase up to 10 million shares of our CNNE common stock through February 26, 2024.</w:t>
      </w:r>
    </w:p>
    <w:p>
      <w:pPr>
        <w:spacing w:after="0" w:line="35" w:lineRule="exact"/>
        <w:rPr>
          <w:rFonts w:ascii="Arial" w:cs="Arial" w:eastAsia="Arial" w:hAnsi="Arial"/>
          <w:sz w:val="18"/>
          <w:szCs w:val="18"/>
          <w:color w:val="auto"/>
        </w:rPr>
      </w:pPr>
    </w:p>
    <w:p>
      <w:pPr>
        <w:ind w:left="440" w:hanging="37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680" w:type="dxa"/>
            <w:vAlign w:val="bottom"/>
            <w:gridSpan w:val="2"/>
          </w:tcPr>
          <w:p>
            <w:pPr>
              <w:jc w:val="center"/>
              <w:ind w:right="320"/>
              <w:spacing w:after="0"/>
              <w:rPr>
                <w:rFonts w:ascii="Arial" w:cs="Arial" w:eastAsia="Arial" w:hAnsi="Arial"/>
                <w:sz w:val="18"/>
                <w:szCs w:val="18"/>
                <w:b w:val="1"/>
                <w:bCs w:val="1"/>
                <w:color w:val="0000FF"/>
                <w:w w:val="89"/>
              </w:rPr>
            </w:pPr>
            <w:hyperlink w:anchor="page1">
              <w:r>
                <w:rPr>
                  <w:rFonts w:ascii="Arial" w:cs="Arial" w:eastAsia="Arial" w:hAnsi="Arial"/>
                  <w:sz w:val="18"/>
                  <w:szCs w:val="18"/>
                  <w:b w:val="1"/>
                  <w:bCs w:val="1"/>
                  <w:color w:val="0000FF"/>
                  <w:w w:val="89"/>
                </w:rPr>
                <w:t>Table of Contents</w:t>
              </w:r>
            </w:hyperlink>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360" w:type="dxa"/>
            <w:vAlign w:val="bottom"/>
            <w:tcBorders>
              <w:top w:val="single" w:sz="8" w:color="0000FF"/>
            </w:tcBorders>
          </w:tcPr>
          <w:p>
            <w:pPr>
              <w:jc w:val="center"/>
              <w:ind w:right="30"/>
              <w:spacing w:after="0"/>
              <w:rPr>
                <w:sz w:val="20"/>
                <w:szCs w:val="20"/>
                <w:color w:val="auto"/>
              </w:rPr>
            </w:pPr>
            <w:r>
              <w:rPr>
                <w:rFonts w:ascii="Arial" w:cs="Arial" w:eastAsia="Arial" w:hAnsi="Arial"/>
                <w:sz w:val="18"/>
                <w:szCs w:val="18"/>
                <w:b w:val="1"/>
                <w:bCs w:val="1"/>
                <w:color w:val="auto"/>
                <w:w w:val="93"/>
              </w:rPr>
              <w:t>Item 6. Exhibits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 Exhibits:</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40" w:type="dxa"/>
            <w:vAlign w:val="bottom"/>
            <w:gridSpan w:val="10"/>
            <w:vMerge w:val="restart"/>
          </w:tcPr>
          <w:p>
            <w:pPr>
              <w:ind w:left="2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40" w:type="dxa"/>
            <w:vAlign w:val="bottom"/>
            <w:gridSpan w:val="10"/>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23"/>
                <w:szCs w:val="23"/>
                <w:color w:val="auto"/>
              </w:rPr>
            </w:pPr>
          </w:p>
        </w:tc>
        <w:tc>
          <w:tcPr>
            <w:tcW w:w="9600" w:type="dxa"/>
            <w:vAlign w:val="bottom"/>
            <w:gridSpan w:val="14"/>
          </w:tcPr>
          <w:p>
            <w:pPr>
              <w:spacing w:after="0"/>
              <w:rPr>
                <w:rFonts w:ascii="Arial" w:cs="Arial" w:eastAsia="Arial" w:hAnsi="Arial"/>
                <w:sz w:val="18"/>
                <w:szCs w:val="18"/>
                <w:color w:val="0000FF"/>
                <w:w w:val="94"/>
              </w:rPr>
            </w:pPr>
            <w:hyperlink w:anchor="page37">
              <w:r>
                <w:rPr>
                  <w:rFonts w:ascii="Arial" w:cs="Arial" w:eastAsia="Arial" w:hAnsi="Arial"/>
                  <w:sz w:val="18"/>
                  <w:szCs w:val="18"/>
                  <w:color w:val="0000FF"/>
                  <w:w w:val="94"/>
                </w:rPr>
                <w:t>Amended and Restated Revolver Note, dated as of May 12, 2022, by and between Cannae Holdings, Inc. and Fidelity National</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5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37">
              <w:r>
                <w:rPr>
                  <w:rFonts w:ascii="Arial" w:cs="Arial" w:eastAsia="Arial" w:hAnsi="Arial"/>
                  <w:sz w:val="18"/>
                  <w:szCs w:val="18"/>
                  <w:color w:val="0000FF"/>
                </w:rPr>
                <w:t>Financial,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20" w:type="dxa"/>
            <w:vAlign w:val="bottom"/>
          </w:tcPr>
          <w:p>
            <w:pPr>
              <w:spacing w:after="0"/>
              <w:rPr>
                <w:sz w:val="22"/>
                <w:szCs w:val="22"/>
                <w:color w:val="auto"/>
              </w:rPr>
            </w:pPr>
          </w:p>
        </w:tc>
        <w:tc>
          <w:tcPr>
            <w:tcW w:w="9600" w:type="dxa"/>
            <w:vAlign w:val="bottom"/>
            <w:gridSpan w:val="14"/>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Amendment Agreement dated as of May 12, 2022, to the Margin Loan Agreement, dated as of November 30, 2020, among Cannae</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560" w:type="dxa"/>
            <w:vAlign w:val="bottom"/>
            <w:tcBorders>
              <w:top w:val="single" w:sz="8" w:color="0000FF"/>
            </w:tcBorders>
            <w:gridSpan w:val="12"/>
          </w:tcPr>
          <w:p>
            <w:pPr>
              <w:spacing w:after="0" w:line="156" w:lineRule="exact"/>
              <w:rPr>
                <w:rFonts w:ascii="Arial" w:cs="Arial" w:eastAsia="Arial" w:hAnsi="Arial"/>
                <w:sz w:val="18"/>
                <w:szCs w:val="18"/>
                <w:color w:val="0000FF"/>
                <w:w w:val="94"/>
              </w:rPr>
            </w:pPr>
            <w:hyperlink w:anchor="page44">
              <w:r>
                <w:rPr>
                  <w:rFonts w:ascii="Arial" w:cs="Arial" w:eastAsia="Arial" w:hAnsi="Arial"/>
                  <w:sz w:val="18"/>
                  <w:szCs w:val="18"/>
                  <w:color w:val="0000FF"/>
                  <w:w w:val="94"/>
                </w:rPr>
                <w:t>Funding C, LLC, as Borrower 1, Cannae Funding D, LLC, as Borrower 2, the lenders from time to time party thereto and Royal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Bank of Canada, as administrative agent.</w:t>
              </w:r>
            </w:hyperlink>
          </w:p>
        </w:tc>
        <w:tc>
          <w:tcPr>
            <w:tcW w:w="654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3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20" w:type="dxa"/>
            <w:vAlign w:val="bottom"/>
          </w:tcPr>
          <w:p>
            <w:pPr>
              <w:spacing w:after="0"/>
              <w:rPr>
                <w:sz w:val="22"/>
                <w:szCs w:val="22"/>
                <w:color w:val="auto"/>
              </w:rPr>
            </w:pPr>
          </w:p>
        </w:tc>
        <w:tc>
          <w:tcPr>
            <w:tcW w:w="9600" w:type="dxa"/>
            <w:vAlign w:val="bottom"/>
            <w:gridSpan w:val="14"/>
          </w:tcPr>
          <w:p>
            <w:pPr>
              <w:spacing w:after="0"/>
              <w:rPr>
                <w:rFonts w:ascii="Arial" w:cs="Arial" w:eastAsia="Arial" w:hAnsi="Arial"/>
                <w:sz w:val="18"/>
                <w:szCs w:val="18"/>
                <w:color w:val="0000FF"/>
              </w:rPr>
            </w:pPr>
            <w:hyperlink w:anchor="page163">
              <w:r>
                <w:rPr>
                  <w:rFonts w:ascii="Arial" w:cs="Arial" w:eastAsia="Arial" w:hAnsi="Arial"/>
                  <w:sz w:val="18"/>
                  <w:szCs w:val="18"/>
                  <w:color w:val="0000FF"/>
                </w:rPr>
                <w:t>Letter Agreement by and between the Company and John Textor</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60" w:type="dxa"/>
            <w:vAlign w:val="bottom"/>
          </w:tcPr>
          <w:p>
            <w:pPr>
              <w:jc w:val="center"/>
              <w:spacing w:after="0"/>
              <w:rPr>
                <w:sz w:val="20"/>
                <w:szCs w:val="20"/>
                <w:color w:val="auto"/>
              </w:rPr>
            </w:pPr>
            <w:r>
              <w:rPr>
                <w:rFonts w:ascii="Arial" w:cs="Arial" w:eastAsia="Arial" w:hAnsi="Arial"/>
                <w:sz w:val="18"/>
                <w:szCs w:val="18"/>
                <w:color w:val="auto"/>
                <w:w w:val="91"/>
              </w:rPr>
              <w:t>18.1</w:t>
            </w:r>
          </w:p>
        </w:tc>
        <w:tc>
          <w:tcPr>
            <w:tcW w:w="320" w:type="dxa"/>
            <w:vAlign w:val="bottom"/>
          </w:tcPr>
          <w:p>
            <w:pPr>
              <w:spacing w:after="0"/>
              <w:rPr>
                <w:sz w:val="22"/>
                <w:szCs w:val="22"/>
                <w:color w:val="auto"/>
              </w:rPr>
            </w:pPr>
          </w:p>
        </w:tc>
        <w:tc>
          <w:tcPr>
            <w:tcW w:w="752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165">
              <w:r>
                <w:rPr>
                  <w:rFonts w:ascii="Arial" w:cs="Arial" w:eastAsia="Arial" w:hAnsi="Arial"/>
                  <w:sz w:val="18"/>
                  <w:szCs w:val="18"/>
                  <w:color w:val="0000FF"/>
                  <w:w w:val="91"/>
                </w:rPr>
                <w:t>Letter from Independent Registered Public Accounting Firm Regarding Change in Accounting Principle</w:t>
              </w:r>
            </w:hyperlink>
          </w:p>
        </w:tc>
        <w:tc>
          <w:tcPr>
            <w:tcW w:w="208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20" w:type="dxa"/>
            <w:vAlign w:val="bottom"/>
          </w:tcPr>
          <w:p>
            <w:pPr>
              <w:spacing w:after="0"/>
              <w:rPr>
                <w:sz w:val="22"/>
                <w:szCs w:val="22"/>
                <w:color w:val="auto"/>
              </w:rPr>
            </w:pPr>
          </w:p>
        </w:tc>
        <w:tc>
          <w:tcPr>
            <w:tcW w:w="9600" w:type="dxa"/>
            <w:vAlign w:val="bottom"/>
            <w:gridSpan w:val="14"/>
          </w:tcPr>
          <w:p>
            <w:pPr>
              <w:spacing w:after="0"/>
              <w:rPr>
                <w:rFonts w:ascii="Arial" w:cs="Arial" w:eastAsia="Arial" w:hAnsi="Arial"/>
                <w:sz w:val="18"/>
                <w:szCs w:val="18"/>
                <w:color w:val="0000FF"/>
              </w:rPr>
            </w:pPr>
            <w:hyperlink w:anchor="page166">
              <w:r>
                <w:rPr>
                  <w:rFonts w:ascii="Arial" w:cs="Arial" w:eastAsia="Arial" w:hAnsi="Arial"/>
                  <w:sz w:val="18"/>
                  <w:szCs w:val="18"/>
                  <w:color w:val="0000FF"/>
                </w:rPr>
                <w:t>Certification of Principal Executive Officer pursuant to Section 302 of the Sarbanes-Oxley Act of 2002.</w:t>
              </w:r>
            </w:hyperlink>
          </w:p>
        </w:tc>
        <w:tc>
          <w:tcPr>
            <w:tcW w:w="0" w:type="dxa"/>
            <w:vAlign w:val="bottom"/>
          </w:tcPr>
          <w:p>
            <w:pPr>
              <w:spacing w:after="0"/>
              <w:rPr>
                <w:sz w:val="1"/>
                <w:szCs w:val="1"/>
                <w:color w:val="auto"/>
              </w:rPr>
            </w:pPr>
          </w:p>
        </w:tc>
      </w:tr>
      <w:tr>
        <w:trPr>
          <w:trHeight w:val="439"/>
        </w:trPr>
        <w:tc>
          <w:tcPr>
            <w:tcW w:w="13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20" w:type="dxa"/>
            <w:vAlign w:val="bottom"/>
          </w:tcPr>
          <w:p>
            <w:pPr>
              <w:spacing w:after="0"/>
              <w:rPr>
                <w:sz w:val="24"/>
                <w:szCs w:val="24"/>
                <w:color w:val="auto"/>
              </w:rPr>
            </w:pPr>
          </w:p>
        </w:tc>
        <w:tc>
          <w:tcPr>
            <w:tcW w:w="7480" w:type="dxa"/>
            <w:vAlign w:val="bottom"/>
            <w:tcBorders>
              <w:top w:val="single" w:sz="8" w:color="0000FF"/>
            </w:tcBorders>
            <w:gridSpan w:val="7"/>
          </w:tcPr>
          <w:p>
            <w:pPr>
              <w:spacing w:after="0"/>
              <w:rPr>
                <w:rFonts w:ascii="Arial" w:cs="Arial" w:eastAsia="Arial" w:hAnsi="Arial"/>
                <w:sz w:val="18"/>
                <w:szCs w:val="18"/>
                <w:color w:val="0000FF"/>
                <w:w w:val="95"/>
              </w:rPr>
            </w:pPr>
            <w:hyperlink w:anchor="page167">
              <w:r>
                <w:rPr>
                  <w:rFonts w:ascii="Arial" w:cs="Arial" w:eastAsia="Arial" w:hAnsi="Arial"/>
                  <w:sz w:val="18"/>
                  <w:szCs w:val="18"/>
                  <w:color w:val="0000FF"/>
                  <w:w w:val="95"/>
                </w:rPr>
                <w:t>Certification of Chief Financial Officer pursuant to Section 302 of the Sarbanes-Oxley Act of 2002.</w:t>
              </w:r>
            </w:hyperlink>
          </w:p>
        </w:tc>
        <w:tc>
          <w:tcPr>
            <w:tcW w:w="21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980" w:type="dxa"/>
            <w:vAlign w:val="bottom"/>
            <w:gridSpan w:val="3"/>
            <w:shd w:val="clear" w:color="auto" w:fill="0000FF"/>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20" w:type="dxa"/>
            <w:vAlign w:val="bottom"/>
          </w:tcPr>
          <w:p>
            <w:pPr>
              <w:spacing w:after="0"/>
              <w:rPr>
                <w:sz w:val="24"/>
                <w:szCs w:val="24"/>
                <w:color w:val="auto"/>
              </w:rPr>
            </w:pPr>
          </w:p>
        </w:tc>
        <w:tc>
          <w:tcPr>
            <w:tcW w:w="9600" w:type="dxa"/>
            <w:vAlign w:val="bottom"/>
            <w:gridSpan w:val="14"/>
          </w:tcPr>
          <w:p>
            <w:pPr>
              <w:spacing w:after="0"/>
              <w:rPr>
                <w:rFonts w:ascii="Arial" w:cs="Arial" w:eastAsia="Arial" w:hAnsi="Arial"/>
                <w:sz w:val="18"/>
                <w:szCs w:val="18"/>
                <w:color w:val="0000FF"/>
                <w:w w:val="95"/>
              </w:rPr>
            </w:pPr>
            <w:hyperlink w:anchor="page168">
              <w:r>
                <w:rPr>
                  <w:rFonts w:ascii="Arial" w:cs="Arial" w:eastAsia="Arial" w:hAnsi="Arial"/>
                  <w:sz w:val="18"/>
                  <w:szCs w:val="18"/>
                  <w:color w:val="0000FF"/>
                  <w:w w:val="95"/>
                </w:rPr>
                <w:t>Certification by Principal Executive Officer of Periodic Financial Reports pursuant to Section 906 of the Sarbanes-Oxley Act of</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5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168">
              <w:r>
                <w:rPr>
                  <w:rFonts w:ascii="Arial" w:cs="Arial" w:eastAsia="Arial" w:hAnsi="Arial"/>
                  <w:sz w:val="18"/>
                  <w:szCs w:val="18"/>
                  <w:color w:val="0000FF"/>
                </w:rPr>
                <w:t>2002, 18 U.S.C. Section 1350.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3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320" w:type="dxa"/>
            <w:vAlign w:val="bottom"/>
          </w:tcPr>
          <w:p>
            <w:pPr>
              <w:spacing w:after="0"/>
              <w:rPr>
                <w:sz w:val="24"/>
                <w:szCs w:val="24"/>
                <w:color w:val="auto"/>
              </w:rPr>
            </w:pPr>
          </w:p>
        </w:tc>
        <w:tc>
          <w:tcPr>
            <w:tcW w:w="9600" w:type="dxa"/>
            <w:vAlign w:val="bottom"/>
            <w:gridSpan w:val="14"/>
          </w:tcPr>
          <w:p>
            <w:pPr>
              <w:spacing w:after="0"/>
              <w:rPr>
                <w:rFonts w:ascii="Arial" w:cs="Arial" w:eastAsia="Arial" w:hAnsi="Arial"/>
                <w:sz w:val="18"/>
                <w:szCs w:val="18"/>
                <w:color w:val="0000FF"/>
                <w:w w:val="94"/>
              </w:rPr>
            </w:pPr>
            <w:hyperlink w:anchor="page169">
              <w:r>
                <w:rPr>
                  <w:rFonts w:ascii="Arial" w:cs="Arial" w:eastAsia="Arial" w:hAnsi="Arial"/>
                  <w:sz w:val="18"/>
                  <w:szCs w:val="18"/>
                  <w:color w:val="0000FF"/>
                  <w:w w:val="94"/>
                </w:rPr>
                <w:t>Certification by Chief Financial Officer of Periodic Financial Reports pursuant to Section 906 of the Sarbanes-Oxley Act of 2002,</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169">
              <w:r>
                <w:rPr>
                  <w:rFonts w:ascii="Arial" w:cs="Arial" w:eastAsia="Arial" w:hAnsi="Arial"/>
                  <w:sz w:val="18"/>
                  <w:szCs w:val="18"/>
                  <w:color w:val="0000FF"/>
                  <w:w w:val="90"/>
                </w:rPr>
                <w:t>18 U.S.C. Section 1350.</w:t>
              </w:r>
            </w:hyperlink>
          </w:p>
        </w:tc>
        <w:tc>
          <w:tcPr>
            <w:tcW w:w="78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101.INS</w:t>
            </w:r>
          </w:p>
        </w:tc>
        <w:tc>
          <w:tcPr>
            <w:tcW w:w="9600" w:type="dxa"/>
            <w:vAlign w:val="bottom"/>
            <w:gridSpan w:val="14"/>
          </w:tcPr>
          <w:p>
            <w:pPr>
              <w:spacing w:after="0"/>
              <w:rPr>
                <w:sz w:val="20"/>
                <w:szCs w:val="20"/>
                <w:color w:val="auto"/>
              </w:rPr>
            </w:pPr>
            <w:r>
              <w:rPr>
                <w:rFonts w:ascii="Arial" w:cs="Arial" w:eastAsia="Arial" w:hAnsi="Arial"/>
                <w:sz w:val="18"/>
                <w:szCs w:val="18"/>
                <w:color w:val="auto"/>
              </w:rPr>
              <w:t>Inline XBRL Instance Document *</w:t>
            </w:r>
          </w:p>
        </w:tc>
        <w:tc>
          <w:tcPr>
            <w:tcW w:w="0" w:type="dxa"/>
            <w:vAlign w:val="bottom"/>
          </w:tcPr>
          <w:p>
            <w:pPr>
              <w:spacing w:after="0"/>
              <w:rPr>
                <w:sz w:val="1"/>
                <w:szCs w:val="1"/>
                <w:color w:val="auto"/>
              </w:rPr>
            </w:pPr>
          </w:p>
        </w:tc>
      </w:tr>
      <w:tr>
        <w:trPr>
          <w:trHeight w:val="324"/>
        </w:trPr>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101.SCH</w:t>
            </w:r>
          </w:p>
        </w:tc>
        <w:tc>
          <w:tcPr>
            <w:tcW w:w="960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101.CAL</w:t>
            </w:r>
          </w:p>
        </w:tc>
        <w:tc>
          <w:tcPr>
            <w:tcW w:w="960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101.DEF</w:t>
            </w:r>
          </w:p>
        </w:tc>
        <w:tc>
          <w:tcPr>
            <w:tcW w:w="960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101.PRE</w:t>
            </w:r>
          </w:p>
        </w:tc>
        <w:tc>
          <w:tcPr>
            <w:tcW w:w="960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101.LAB</w:t>
            </w:r>
          </w:p>
        </w:tc>
        <w:tc>
          <w:tcPr>
            <w:tcW w:w="960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680" w:hanging="1179"/>
        <w:spacing w:after="0"/>
        <w:tabs>
          <w:tab w:leader="none" w:pos="1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7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040" w:type="dxa"/>
            <w:vAlign w:val="bottom"/>
          </w:tcPr>
          <w:p>
            <w:pPr>
              <w:spacing w:after="0"/>
              <w:rPr>
                <w:sz w:val="20"/>
                <w:szCs w:val="20"/>
                <w:color w:val="auto"/>
              </w:rPr>
            </w:pPr>
            <w:r>
              <w:rPr>
                <w:rFonts w:ascii="Arial" w:cs="Arial" w:eastAsia="Arial" w:hAnsi="Arial"/>
                <w:sz w:val="18"/>
                <w:szCs w:val="18"/>
                <w:color w:val="auto"/>
              </w:rPr>
              <w:t>Date: August 8, 2022</w:t>
            </w:r>
          </w:p>
        </w:tc>
        <w:tc>
          <w:tcPr>
            <w:tcW w:w="6880" w:type="dxa"/>
            <w:vAlign w:val="bottom"/>
            <w:gridSpan w:val="2"/>
          </w:tcPr>
          <w:p>
            <w:pPr>
              <w:ind w:left="1520"/>
              <w:spacing w:after="0"/>
              <w:rPr>
                <w:sz w:val="20"/>
                <w:szCs w:val="20"/>
                <w:color w:val="auto"/>
              </w:rPr>
            </w:pPr>
            <w:r>
              <w:rPr>
                <w:rFonts w:ascii="Arial" w:cs="Arial" w:eastAsia="Arial" w:hAnsi="Arial"/>
                <w:sz w:val="18"/>
                <w:szCs w:val="18"/>
                <w:color w:val="auto"/>
              </w:rPr>
              <w:t>CANNAE HOLDINGS, INC.</w:t>
            </w:r>
          </w:p>
        </w:tc>
      </w:tr>
      <w:tr>
        <w:trPr>
          <w:trHeight w:val="230"/>
        </w:trPr>
        <w:tc>
          <w:tcPr>
            <w:tcW w:w="3040" w:type="dxa"/>
            <w:vAlign w:val="bottom"/>
          </w:tcPr>
          <w:p>
            <w:pPr>
              <w:spacing w:after="0"/>
              <w:rPr>
                <w:sz w:val="20"/>
                <w:szCs w:val="20"/>
                <w:color w:val="auto"/>
              </w:rPr>
            </w:pPr>
          </w:p>
        </w:tc>
        <w:tc>
          <w:tcPr>
            <w:tcW w:w="6880" w:type="dxa"/>
            <w:vAlign w:val="bottom"/>
            <w:gridSpan w:val="2"/>
          </w:tcPr>
          <w:p>
            <w:pPr>
              <w:ind w:left="1520"/>
              <w:spacing w:after="0"/>
              <w:rPr>
                <w:sz w:val="20"/>
                <w:szCs w:val="20"/>
                <w:color w:val="auto"/>
              </w:rPr>
            </w:pPr>
            <w:r>
              <w:rPr>
                <w:rFonts w:ascii="Arial" w:cs="Arial" w:eastAsia="Arial" w:hAnsi="Arial"/>
                <w:sz w:val="18"/>
                <w:szCs w:val="18"/>
                <w:color w:val="auto"/>
              </w:rPr>
              <w:t>(registrant)</w:t>
            </w:r>
          </w:p>
        </w:tc>
      </w:tr>
      <w:tr>
        <w:trPr>
          <w:trHeight w:val="404"/>
        </w:trPr>
        <w:tc>
          <w:tcPr>
            <w:tcW w:w="3040" w:type="dxa"/>
            <w:vAlign w:val="bottom"/>
          </w:tcPr>
          <w:p>
            <w:pPr>
              <w:spacing w:after="0"/>
              <w:rPr>
                <w:sz w:val="24"/>
                <w:szCs w:val="24"/>
                <w:color w:val="auto"/>
              </w:rPr>
            </w:pPr>
          </w:p>
        </w:tc>
        <w:tc>
          <w:tcPr>
            <w:tcW w:w="6880" w:type="dxa"/>
            <w:vAlign w:val="bottom"/>
            <w:gridSpan w:val="2"/>
          </w:tcPr>
          <w:p>
            <w:pPr>
              <w:ind w:left="1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D. Coy</w:t>
            </w:r>
          </w:p>
        </w:tc>
      </w:tr>
      <w:tr>
        <w:trPr>
          <w:trHeight w:val="222"/>
        </w:trPr>
        <w:tc>
          <w:tcPr>
            <w:tcW w:w="30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Bryan D. Coy</w:t>
            </w:r>
          </w:p>
        </w:tc>
      </w:tr>
      <w:tr>
        <w:trPr>
          <w:trHeight w:val="176"/>
        </w:trPr>
        <w:tc>
          <w:tcPr>
            <w:tcW w:w="30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92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0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877"/>
        </w:trPr>
        <w:tc>
          <w:tcPr>
            <w:tcW w:w="3040" w:type="dxa"/>
            <w:vAlign w:val="bottom"/>
          </w:tcPr>
          <w:p>
            <w:pPr>
              <w:spacing w:after="0"/>
              <w:rPr>
                <w:sz w:val="24"/>
                <w:szCs w:val="24"/>
                <w:color w:val="auto"/>
              </w:rPr>
            </w:pPr>
          </w:p>
        </w:tc>
        <w:tc>
          <w:tcPr>
            <w:tcW w:w="6880" w:type="dxa"/>
            <w:vAlign w:val="bottom"/>
            <w:gridSpan w:val="2"/>
          </w:tcPr>
          <w:p>
            <w:pPr>
              <w:jc w:val="right"/>
              <w:ind w:right="457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120"/>
          </w:cols>
          <w:pgMar w:left="320" w:top="121" w:right="45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b w:val="1"/>
          <w:bCs w:val="1"/>
          <w:color w:val="auto"/>
        </w:rPr>
        <w:t>Exhibit 10.1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REVOLVER NOTE</w:t>
      </w:r>
    </w:p>
    <w:p>
      <w:pPr>
        <w:spacing w:after="0" w:line="200" w:lineRule="exact"/>
        <w:rPr>
          <w:sz w:val="20"/>
          <w:szCs w:val="20"/>
          <w:color w:val="auto"/>
        </w:rPr>
      </w:pPr>
    </w:p>
    <w:p>
      <w:pPr>
        <w:spacing w:after="0" w:line="282" w:lineRule="exact"/>
        <w:rPr>
          <w:sz w:val="20"/>
          <w:szCs w:val="20"/>
          <w:color w:val="auto"/>
        </w:rPr>
      </w:pPr>
    </w:p>
    <w:p>
      <w:pPr>
        <w:ind w:left="80"/>
        <w:spacing w:after="0"/>
        <w:tabs>
          <w:tab w:leader="none" w:pos="9420" w:val="left"/>
        </w:tabs>
        <w:rPr>
          <w:sz w:val="20"/>
          <w:szCs w:val="20"/>
          <w:color w:val="auto"/>
        </w:rPr>
      </w:pPr>
      <w:r>
        <w:rPr>
          <w:rFonts w:ascii="Arial" w:cs="Arial" w:eastAsia="Arial" w:hAnsi="Arial"/>
          <w:sz w:val="22"/>
          <w:szCs w:val="22"/>
          <w:color w:val="auto"/>
        </w:rPr>
        <w:t>US $100,000,000.00</w:t>
      </w:r>
      <w:r>
        <w:rPr>
          <w:sz w:val="20"/>
          <w:szCs w:val="20"/>
          <w:color w:val="auto"/>
        </w:rPr>
        <w:tab/>
      </w:r>
      <w:r>
        <w:rPr>
          <w:rFonts w:ascii="Arial" w:cs="Arial" w:eastAsia="Arial" w:hAnsi="Arial"/>
          <w:sz w:val="19"/>
          <w:szCs w:val="19"/>
          <w:color w:val="auto"/>
        </w:rPr>
        <w:t>Dated May 12, 2022</w:t>
      </w:r>
    </w:p>
    <w:p>
      <w:pPr>
        <w:spacing w:after="0" w:line="8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This Amended and Restated Revolver Note (this “</w:t>
      </w:r>
      <w:r>
        <w:rPr>
          <w:rFonts w:ascii="Arial" w:cs="Arial" w:eastAsia="Arial" w:hAnsi="Arial"/>
          <w:sz w:val="21"/>
          <w:szCs w:val="21"/>
          <w:b w:val="1"/>
          <w:bCs w:val="1"/>
          <w:i w:val="1"/>
          <w:iCs w:val="1"/>
          <w:color w:val="auto"/>
        </w:rPr>
        <w:t>Note</w:t>
      </w:r>
      <w:r>
        <w:rPr>
          <w:rFonts w:ascii="Arial" w:cs="Arial" w:eastAsia="Arial" w:hAnsi="Arial"/>
          <w:sz w:val="21"/>
          <w:szCs w:val="21"/>
          <w:color w:val="auto"/>
        </w:rPr>
        <w:t>”) amends and restates that certain Revolver Note dated November 17, 2017 by and between Fidelity National Financial, Inc., a Delaware corporation (the “</w:t>
      </w:r>
      <w:r>
        <w:rPr>
          <w:rFonts w:ascii="Arial" w:cs="Arial" w:eastAsia="Arial" w:hAnsi="Arial"/>
          <w:sz w:val="21"/>
          <w:szCs w:val="21"/>
          <w:b w:val="1"/>
          <w:bCs w:val="1"/>
          <w:i w:val="1"/>
          <w:iCs w:val="1"/>
          <w:color w:val="auto"/>
        </w:rPr>
        <w:t>Lender</w:t>
      </w:r>
      <w:r>
        <w:rPr>
          <w:rFonts w:ascii="Arial" w:cs="Arial" w:eastAsia="Arial" w:hAnsi="Arial"/>
          <w:sz w:val="21"/>
          <w:szCs w:val="21"/>
          <w:color w:val="auto"/>
        </w:rPr>
        <w:t>”) and Cannae Holdings, Inc., a Delaware corporation (the “</w:t>
      </w:r>
      <w:r>
        <w:rPr>
          <w:rFonts w:ascii="Arial" w:cs="Arial" w:eastAsia="Arial" w:hAnsi="Arial"/>
          <w:sz w:val="21"/>
          <w:szCs w:val="21"/>
          <w:b w:val="1"/>
          <w:bCs w:val="1"/>
          <w:i w:val="1"/>
          <w:iCs w:val="1"/>
          <w:color w:val="auto"/>
        </w:rPr>
        <w:t>Borrower</w:t>
      </w:r>
      <w:r>
        <w:rPr>
          <w:rFonts w:ascii="Arial" w:cs="Arial" w:eastAsia="Arial" w:hAnsi="Arial"/>
          <w:sz w:val="21"/>
          <w:szCs w:val="21"/>
          <w:color w:val="auto"/>
        </w:rPr>
        <w:t>”). FOR VALUE RECEIVED, Lender, agrees to make loans (each such loan, a “</w:t>
      </w:r>
      <w:r>
        <w:rPr>
          <w:rFonts w:ascii="Arial" w:cs="Arial" w:eastAsia="Arial" w:hAnsi="Arial"/>
          <w:sz w:val="21"/>
          <w:szCs w:val="21"/>
          <w:b w:val="1"/>
          <w:bCs w:val="1"/>
          <w:i w:val="1"/>
          <w:iCs w:val="1"/>
          <w:color w:val="auto"/>
        </w:rPr>
        <w:t>Revolving</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Loan</w:t>
      </w:r>
      <w:r>
        <w:rPr>
          <w:rFonts w:ascii="Arial" w:cs="Arial" w:eastAsia="Arial" w:hAnsi="Arial"/>
          <w:sz w:val="21"/>
          <w:szCs w:val="21"/>
          <w:color w:val="auto"/>
        </w:rPr>
        <w:t>”) to Borrower, from time to time in an aggregate amount not to exceed the principal sum of one hundred million United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States dollars (US $100,000,000.00) (the “</w:t>
      </w:r>
      <w:r>
        <w:rPr>
          <w:rFonts w:ascii="Arial" w:cs="Arial" w:eastAsia="Arial" w:hAnsi="Arial"/>
          <w:sz w:val="21"/>
          <w:szCs w:val="21"/>
          <w:b w:val="1"/>
          <w:bCs w:val="1"/>
          <w:i w:val="1"/>
          <w:iCs w:val="1"/>
          <w:color w:val="auto"/>
        </w:rPr>
        <w:t>Commitment</w:t>
      </w:r>
      <w:r>
        <w:rPr>
          <w:rFonts w:ascii="Arial" w:cs="Arial" w:eastAsia="Arial" w:hAnsi="Arial"/>
          <w:sz w:val="21"/>
          <w:szCs w:val="21"/>
          <w:color w:val="auto"/>
        </w:rPr>
        <w:t>”), on the terms set forth below.</w:t>
      </w:r>
    </w:p>
    <w:p>
      <w:pPr>
        <w:spacing w:after="0" w:line="153"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Adjusted Term SOFR Rate</w:t>
      </w:r>
      <w:r>
        <w:rPr>
          <w:rFonts w:ascii="Arial" w:cs="Arial" w:eastAsia="Arial" w:hAnsi="Arial"/>
          <w:sz w:val="22"/>
          <w:szCs w:val="22"/>
          <w:color w:val="auto"/>
        </w:rPr>
        <w:t xml:space="preserve">” means, for purposes of any calculation, the rate per annum equal to (i) Term SOFR for such calculation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0.11448% per annum;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Adjusted Term SOFR Rate as so determined shall ever be less than zero, then the Adjusted Term SOFR Rate shall be deemed to be zero.</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Borrower</w:t>
      </w:r>
      <w:r>
        <w:rPr>
          <w:rFonts w:ascii="Arial" w:cs="Arial" w:eastAsia="Arial" w:hAnsi="Arial"/>
          <w:sz w:val="22"/>
          <w:szCs w:val="22"/>
          <w:i w:val="1"/>
          <w:iCs w:val="1"/>
          <w:color w:val="auto"/>
        </w:rPr>
        <w:t>”</w:t>
      </w:r>
      <w:r>
        <w:rPr>
          <w:rFonts w:ascii="Arial" w:cs="Arial" w:eastAsia="Arial" w:hAnsi="Arial"/>
          <w:sz w:val="22"/>
          <w:szCs w:val="22"/>
          <w:color w:val="auto"/>
        </w:rPr>
        <w:t xml:space="preserve"> has the meaning assigned to such term in the preamble to this Note.</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any day other than a Saturday, Sunday or other day on which commercial banks are authorized to close under the laws of, or are in fact closed in, the state where the Lender is located and, if such day relates to any Revolving Loan, shall also exclude any day that is not a U.S. Government Securities Business Day.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Commitment</w:t>
      </w:r>
      <w:r>
        <w:rPr>
          <w:rFonts w:ascii="Arial" w:cs="Arial" w:eastAsia="Arial" w:hAnsi="Arial"/>
          <w:sz w:val="22"/>
          <w:szCs w:val="22"/>
          <w:color w:val="auto"/>
        </w:rPr>
        <w:t>” has the meaning assigned to such term in the preamble to this Note.</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Debtor Relief Laws</w:t>
      </w:r>
      <w:r>
        <w:rPr>
          <w:rFonts w:ascii="Arial" w:cs="Arial" w:eastAsia="Arial" w:hAnsi="Arial"/>
          <w:sz w:val="22"/>
          <w:szCs w:val="22"/>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of America, any state thereof or other applicable jurisdictions from time to time in effect and affecting the rights of creditors generally.</w:t>
      </w:r>
    </w:p>
    <w:p>
      <w:pPr>
        <w:spacing w:after="0" w:line="16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Default Rate</w:t>
      </w:r>
      <w:r>
        <w:rPr>
          <w:rFonts w:ascii="Arial" w:cs="Arial" w:eastAsia="Arial" w:hAnsi="Arial"/>
          <w:sz w:val="22"/>
          <w:szCs w:val="22"/>
          <w:color w:val="auto"/>
        </w:rPr>
        <w:t>” means an interest rate equal to the interest rate otherwise applicable to a Revolving Loan plus 2% per annum, in each case to the fullest extent permitted by applicable Laws.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Dollar</w:t>
      </w:r>
      <w:r>
        <w:rPr>
          <w:rFonts w:ascii="Arial" w:cs="Arial" w:eastAsia="Arial" w:hAnsi="Arial"/>
          <w:sz w:val="22"/>
          <w:szCs w:val="22"/>
          <w:color w:val="auto"/>
        </w:rPr>
        <w:t>” and “</w:t>
      </w:r>
      <w:r>
        <w:rPr>
          <w:rFonts w:ascii="Arial" w:cs="Arial" w:eastAsia="Arial" w:hAnsi="Arial"/>
          <w:sz w:val="22"/>
          <w:szCs w:val="22"/>
          <w:b w:val="1"/>
          <w:bCs w:val="1"/>
          <w:i w:val="1"/>
          <w:iCs w:val="1"/>
          <w:color w:val="auto"/>
        </w:rPr>
        <w:t>$</w:t>
      </w:r>
      <w:r>
        <w:rPr>
          <w:rFonts w:ascii="Arial" w:cs="Arial" w:eastAsia="Arial" w:hAnsi="Arial"/>
          <w:sz w:val="22"/>
          <w:szCs w:val="22"/>
          <w:color w:val="auto"/>
        </w:rPr>
        <w:t>” mean lawful money of the United States.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Event of Default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Governmental Authority</w:t>
      </w:r>
      <w:r>
        <w:rPr>
          <w:rFonts w:ascii="Arial" w:cs="Arial" w:eastAsia="Arial" w:hAnsi="Arial"/>
          <w:sz w:val="19"/>
          <w:szCs w:val="19"/>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ectPr>
          <w:pgSz w:w="11900" w:h="16838" w:orient="portrait"/>
          <w:cols w:equalWidth="0" w:num="1">
            <w:col w:w="11240"/>
          </w:cols>
          <w:pgMar w:left="320" w:top="1395" w:right="339" w:bottom="1440" w:gutter="0" w:footer="0" w:header="0"/>
        </w:sectPr>
      </w:pPr>
    </w:p>
    <w:bookmarkStart w:id="37" w:name="page38"/>
    <w:bookmarkEnd w:id="37"/>
    <w:p>
      <w:pPr>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Interest Period</w:t>
      </w:r>
      <w:r>
        <w:rPr>
          <w:rFonts w:ascii="Arial" w:cs="Arial" w:eastAsia="Arial" w:hAnsi="Arial"/>
          <w:sz w:val="21"/>
          <w:szCs w:val="21"/>
          <w:color w:val="auto"/>
        </w:rPr>
        <w:t xml:space="preserve">” means, as to each Revolving Loan, the period commencing on the date such Revolving Loan is disbursed or continued and ending on the date one month thereafter (subject to </w:t>
      </w:r>
      <w:r>
        <w:rPr>
          <w:rFonts w:ascii="Arial" w:cs="Arial" w:eastAsia="Arial" w:hAnsi="Arial"/>
          <w:sz w:val="21"/>
          <w:szCs w:val="21"/>
          <w:u w:val="single" w:color="auto"/>
          <w:color w:val="auto"/>
        </w:rPr>
        <w:t>Section 6(a)</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51" w:lineRule="exact"/>
        <w:rPr>
          <w:sz w:val="20"/>
          <w:szCs w:val="20"/>
          <w:color w:val="auto"/>
        </w:rPr>
      </w:pPr>
    </w:p>
    <w:p>
      <w:pPr>
        <w:jc w:val="both"/>
        <w:ind w:left="660" w:firstLine="644"/>
        <w:spacing w:after="0" w:line="223" w:lineRule="auto"/>
        <w:tabs>
          <w:tab w:leader="none" w:pos="1944" w:val="left"/>
        </w:tabs>
        <w:numPr>
          <w:ilvl w:val="0"/>
          <w:numId w:val="10"/>
        </w:numPr>
        <w:rPr>
          <w:rFonts w:ascii="Arial" w:cs="Arial" w:eastAsia="Arial" w:hAnsi="Arial"/>
          <w:sz w:val="22"/>
          <w:szCs w:val="22"/>
          <w:color w:val="auto"/>
        </w:rPr>
      </w:pPr>
      <w:r>
        <w:rPr>
          <w:rFonts w:ascii="Arial" w:cs="Arial" w:eastAsia="Arial" w:hAnsi="Arial"/>
          <w:sz w:val="22"/>
          <w:szCs w:val="22"/>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 and</w:t>
      </w:r>
    </w:p>
    <w:p>
      <w:pPr>
        <w:spacing w:after="0" w:line="158" w:lineRule="exact"/>
        <w:rPr>
          <w:rFonts w:ascii="Arial" w:cs="Arial" w:eastAsia="Arial" w:hAnsi="Arial"/>
          <w:sz w:val="22"/>
          <w:szCs w:val="22"/>
          <w:color w:val="auto"/>
        </w:rPr>
      </w:pPr>
    </w:p>
    <w:p>
      <w:pPr>
        <w:jc w:val="both"/>
        <w:ind w:left="660" w:right="20" w:firstLine="644"/>
        <w:spacing w:after="0" w:line="223" w:lineRule="auto"/>
        <w:tabs>
          <w:tab w:leader="none" w:pos="195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5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Laws</w:t>
      </w:r>
      <w:r>
        <w:rPr>
          <w:rFonts w:ascii="Arial" w:cs="Arial" w:eastAsia="Arial" w:hAnsi="Arial"/>
          <w:sz w:val="22"/>
          <w:szCs w:val="22"/>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and agreements with, any Governmental Authority, in each case whether or not having the force of Law.</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Lender</w:t>
      </w:r>
      <w:r>
        <w:rPr>
          <w:rFonts w:ascii="Arial" w:cs="Arial" w:eastAsia="Arial" w:hAnsi="Arial"/>
          <w:sz w:val="22"/>
          <w:szCs w:val="22"/>
          <w:color w:val="auto"/>
        </w:rPr>
        <w:t>” has the meaning assigned to such term in the preamble to this Note.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Maturity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w:t>
      </w:r>
      <w:r>
        <w:rPr>
          <w:rFonts w:ascii="Arial" w:cs="Arial" w:eastAsia="Arial" w:hAnsi="Arial"/>
          <w:sz w:val="22"/>
          <w:szCs w:val="22"/>
          <w:color w:val="auto"/>
        </w:rPr>
        <w:t>.</w:t>
      </w:r>
    </w:p>
    <w:p>
      <w:pPr>
        <w:spacing w:after="0" w:line="179"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Obligations</w:t>
      </w:r>
      <w:r>
        <w:rPr>
          <w:rFonts w:ascii="Arial" w:cs="Arial" w:eastAsia="Arial" w:hAnsi="Arial"/>
          <w:sz w:val="21"/>
          <w:szCs w:val="21"/>
          <w:color w:val="auto"/>
        </w:rPr>
        <w:t>” means all advances to, and debts, liabilities and monetary obligations of, the Borrower to the Lender arising under this Note, whether direct or indirect (including those acquired by assumption), absolute or contingent, due or to become due, now existing or hereafter arising, including interest and fees that accrue after the commencement by or against the Borrower of any proceeding under any Debtor Relief Laws naming the Borrower as the debtor in such proceeding, regardless of whether such interest and fees are allowed claims in such proceeding.</w:t>
      </w:r>
    </w:p>
    <w:p>
      <w:pPr>
        <w:spacing w:after="0" w:line="159"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Outstanding Amount</w:t>
      </w:r>
      <w:r>
        <w:rPr>
          <w:rFonts w:ascii="Arial" w:cs="Arial" w:eastAsia="Arial" w:hAnsi="Arial"/>
          <w:sz w:val="21"/>
          <w:szCs w:val="21"/>
          <w:color w:val="auto"/>
        </w:rPr>
        <w:t>” means, on any date, the aggregate outstanding principal amount of the Revolving Loans after giving effect to any borrowings and prepayments or repayments of the Revolving Loans, occurring on such date.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Revolving Loan</w:t>
      </w:r>
      <w:r>
        <w:rPr>
          <w:rFonts w:ascii="Arial" w:cs="Arial" w:eastAsia="Arial" w:hAnsi="Arial"/>
          <w:sz w:val="22"/>
          <w:szCs w:val="22"/>
          <w:color w:val="auto"/>
        </w:rPr>
        <w:t>” has the meaning assigned to such term in the preamble to this Note.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SOFR</w:t>
      </w:r>
      <w:r>
        <w:rPr>
          <w:rFonts w:ascii="Arial" w:cs="Arial" w:eastAsia="Arial" w:hAnsi="Arial"/>
          <w:sz w:val="21"/>
          <w:szCs w:val="21"/>
          <w:color w:val="auto"/>
        </w:rPr>
        <w:t>” means a rate equal to the secured overnight financing rate as administered by the SOFR Administrator.</w:t>
      </w:r>
    </w:p>
    <w:p>
      <w:pPr>
        <w:spacing w:after="0" w:line="191"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SOFR Administrator</w:t>
      </w:r>
      <w:r>
        <w:rPr>
          <w:rFonts w:ascii="Arial" w:cs="Arial" w:eastAsia="Arial" w:hAnsi="Arial"/>
          <w:sz w:val="22"/>
          <w:szCs w:val="22"/>
          <w:color w:val="auto"/>
        </w:rPr>
        <w:t>” means the Federal Reserve Bank of New York (or a successor administrator of the secured overnight financing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38" w:name="page39"/>
    <w:bookmarkEnd w:id="38"/>
    <w:p>
      <w:pPr>
        <w:jc w:val="both"/>
        <w:ind w:firstLine="648"/>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Term SOFR</w:t>
      </w:r>
      <w:r>
        <w:rPr>
          <w:rFonts w:ascii="Arial" w:cs="Arial" w:eastAsia="Arial" w:hAnsi="Arial"/>
          <w:sz w:val="21"/>
          <w:szCs w:val="21"/>
          <w:color w:val="auto"/>
        </w:rPr>
        <w:t>” means the Term SOFR Reference Rate for a tenor comparable to the applicable Interest Period on the day (such day, the “</w:t>
      </w:r>
      <w:r>
        <w:rPr>
          <w:rFonts w:ascii="Arial" w:cs="Arial" w:eastAsia="Arial" w:hAnsi="Arial"/>
          <w:sz w:val="21"/>
          <w:szCs w:val="21"/>
          <w:b w:val="1"/>
          <w:bCs w:val="1"/>
          <w:i w:val="1"/>
          <w:iCs w:val="1"/>
          <w:color w:val="auto"/>
        </w:rPr>
        <w:t>Periodic Term SOFR Determination Day</w:t>
      </w:r>
      <w:r>
        <w:rPr>
          <w:rFonts w:ascii="Arial" w:cs="Arial" w:eastAsia="Arial" w:hAnsi="Arial"/>
          <w:sz w:val="21"/>
          <w:szCs w:val="21"/>
          <w:color w:val="auto"/>
        </w:rPr>
        <w:t xml:space="preserve">”) that is two U.S. Government Securities Business Days prior to the first day of such Interest Period, as such rate is published by the Term SOFR Administrator;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if as of 5:00 p.m. (New York City time) on any Periodic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Periodic Term SOFR Determination Day.</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 SOFR Administrator</w:t>
      </w:r>
      <w:r>
        <w:rPr>
          <w:rFonts w:ascii="Arial" w:cs="Arial" w:eastAsia="Arial" w:hAnsi="Arial"/>
          <w:sz w:val="22"/>
          <w:szCs w:val="22"/>
          <w:color w:val="auto"/>
        </w:rPr>
        <w:t>” means CME Group Benchmark Administration Limited (CBA) (or a successor administrator of the Term SOFR Reference Rate selected by the Lender in its reasonable discretion in consultation with the Borrower).</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 SOFR Reference Rate</w:t>
      </w:r>
      <w:r>
        <w:rPr>
          <w:rFonts w:ascii="Arial" w:cs="Arial" w:eastAsia="Arial" w:hAnsi="Arial"/>
          <w:sz w:val="22"/>
          <w:szCs w:val="22"/>
          <w:color w:val="auto"/>
        </w:rPr>
        <w:t>” means the forward-looking term rate based on SOFR.</w:t>
      </w:r>
    </w:p>
    <w:p>
      <w:pPr>
        <w:spacing w:after="0" w:line="17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U.S. Government Securities Business Day</w:t>
      </w:r>
      <w:r>
        <w:rPr>
          <w:rFonts w:ascii="Arial" w:cs="Arial" w:eastAsia="Arial" w:hAnsi="Arial"/>
          <w:sz w:val="21"/>
          <w:szCs w:val="21"/>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2" w:lineRule="exact"/>
        <w:rPr>
          <w:sz w:val="20"/>
          <w:szCs w:val="20"/>
          <w:color w:val="auto"/>
        </w:rPr>
      </w:pPr>
    </w:p>
    <w:p>
      <w:pPr>
        <w:jc w:val="both"/>
        <w:ind w:firstLine="656"/>
        <w:spacing w:after="0" w:line="250" w:lineRule="auto"/>
        <w:tabs>
          <w:tab w:leader="none" w:pos="1296"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Borrowings</w:t>
      </w:r>
      <w:r>
        <w:rPr>
          <w:rFonts w:ascii="Arial" w:cs="Arial" w:eastAsia="Arial" w:hAnsi="Arial"/>
          <w:sz w:val="19"/>
          <w:szCs w:val="19"/>
          <w:color w:val="auto"/>
        </w:rPr>
        <w:t>. Each borrowing, shall be made upon the Borrower’s irrevocable notice to the Lender, which may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given by telephone. Each such notice (whether telephonic or written) must (i) be received by the Lender not later than 10:00 a.m. (New York time) on the requested date of any such borrowing and (ii) specify the date and principal amount of such borrowing. Each telephonic notice by the Borrower pursuant to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must be confirmed promptly by delivery to the Lender of a written notice, signed by an officer of the Borrower. The Outstanding Amount may not exceed the Commitment at any time. Each borrowing shall be in a principal amount of $1,000,000 or a whole multiple of $1,000,000 in excess thereof.</w:t>
      </w:r>
    </w:p>
    <w:p>
      <w:pPr>
        <w:spacing w:after="0" w:line="146" w:lineRule="exact"/>
        <w:rPr>
          <w:rFonts w:ascii="Arial" w:cs="Arial" w:eastAsia="Arial" w:hAnsi="Arial"/>
          <w:sz w:val="19"/>
          <w:szCs w:val="19"/>
          <w:b w:val="1"/>
          <w:bCs w:val="1"/>
          <w:color w:val="auto"/>
        </w:rPr>
      </w:pPr>
    </w:p>
    <w:p>
      <w:pPr>
        <w:jc w:val="both"/>
        <w:ind w:firstLine="656"/>
        <w:spacing w:after="0" w:line="213" w:lineRule="auto"/>
        <w:tabs>
          <w:tab w:leader="none" w:pos="1296"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Repayment</w:t>
      </w:r>
      <w:r>
        <w:rPr>
          <w:rFonts w:ascii="Arial" w:cs="Arial" w:eastAsia="Arial" w:hAnsi="Arial"/>
          <w:sz w:val="22"/>
          <w:szCs w:val="22"/>
          <w:color w:val="auto"/>
        </w:rPr>
        <w:t>. The Borrower shall repay to the Lender the aggregate outstanding principal amount of each</w:t>
      </w:r>
      <w:r>
        <w:rPr>
          <w:rFonts w:ascii="Arial" w:cs="Arial" w:eastAsia="Arial" w:hAnsi="Arial"/>
          <w:sz w:val="22"/>
          <w:szCs w:val="22"/>
          <w:b w:val="1"/>
          <w:bCs w:val="1"/>
          <w:color w:val="auto"/>
        </w:rPr>
        <w:t xml:space="preserve"> </w:t>
      </w:r>
      <w:r>
        <w:rPr>
          <w:rFonts w:ascii="Arial" w:cs="Arial" w:eastAsia="Arial" w:hAnsi="Arial"/>
          <w:sz w:val="22"/>
          <w:szCs w:val="22"/>
          <w:color w:val="auto"/>
        </w:rPr>
        <w:t>Revolving Loan on November 17, 2025 (the “</w:t>
      </w:r>
      <w:r>
        <w:rPr>
          <w:rFonts w:ascii="Arial" w:cs="Arial" w:eastAsia="Arial" w:hAnsi="Arial"/>
          <w:sz w:val="22"/>
          <w:szCs w:val="22"/>
          <w:b w:val="1"/>
          <w:bCs w:val="1"/>
          <w:i w:val="1"/>
          <w:iCs w:val="1"/>
          <w:color w:val="auto"/>
        </w:rPr>
        <w:t>Maturity 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such Maturity Date shall be automatically extended for additional five (5) year terms on each subsequent anniversary date, unless the Borrower or the Lender in its sole discretion provides notice, at least five (5) Business Days prior to such Maturity Date, that the maturity of such Revolving Loans shall not be extended. The Borrower shall have the right to prepay, at any time and from time to time, all or any portion of the outstanding principal amount hereunder, without premium or penalty other than customary breakage costs. Amounts repaid under this Note shall be available to be re-borrowed.</w:t>
      </w:r>
    </w:p>
    <w:p>
      <w:pPr>
        <w:spacing w:after="0" w:line="156" w:lineRule="exact"/>
        <w:rPr>
          <w:rFonts w:ascii="Arial" w:cs="Arial" w:eastAsia="Arial" w:hAnsi="Arial"/>
          <w:sz w:val="22"/>
          <w:szCs w:val="22"/>
          <w:b w:val="1"/>
          <w:bCs w:val="1"/>
          <w:color w:val="auto"/>
        </w:rPr>
      </w:pPr>
    </w:p>
    <w:p>
      <w:pPr>
        <w:ind w:right="20" w:firstLine="656"/>
        <w:spacing w:after="0" w:line="235" w:lineRule="auto"/>
        <w:tabs>
          <w:tab w:leader="none" w:pos="1296"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Use of Proceeds</w:t>
      </w:r>
      <w:r>
        <w:rPr>
          <w:rFonts w:ascii="Arial" w:cs="Arial" w:eastAsia="Arial" w:hAnsi="Arial"/>
          <w:sz w:val="22"/>
          <w:szCs w:val="22"/>
          <w:color w:val="auto"/>
        </w:rPr>
        <w:t>. The Borrower shall use the proceeds of the Revolving Loans to repurchase shares of its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 from Lender.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39" w:name="page40"/>
    <w:bookmarkEnd w:id="39"/>
    <w:p>
      <w:pPr>
        <w:jc w:val="both"/>
        <w:ind w:firstLine="656"/>
        <w:spacing w:after="0" w:line="220" w:lineRule="auto"/>
        <w:tabs>
          <w:tab w:leader="none" w:pos="1296"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Place of Payment</w:t>
      </w:r>
      <w:r>
        <w:rPr>
          <w:rFonts w:ascii="Arial" w:cs="Arial" w:eastAsia="Arial" w:hAnsi="Arial"/>
          <w:sz w:val="22"/>
          <w:szCs w:val="22"/>
          <w:color w:val="auto"/>
        </w:rPr>
        <w:t>. All amounts payable hereunder shall be payable to the Lender by wire transfer of immediately</w:t>
      </w:r>
      <w:r>
        <w:rPr>
          <w:rFonts w:ascii="Arial" w:cs="Arial" w:eastAsia="Arial" w:hAnsi="Arial"/>
          <w:sz w:val="22"/>
          <w:szCs w:val="22"/>
          <w:b w:val="1"/>
          <w:bCs w:val="1"/>
          <w:color w:val="auto"/>
        </w:rPr>
        <w:t xml:space="preserve"> </w:t>
      </w:r>
      <w:r>
        <w:rPr>
          <w:rFonts w:ascii="Arial" w:cs="Arial" w:eastAsia="Arial" w:hAnsi="Arial"/>
          <w:sz w:val="22"/>
          <w:szCs w:val="22"/>
          <w:color w:val="auto"/>
        </w:rPr>
        <w:t>available funds into an account or accounts designated by the Lender in writing from time to time. All payments shall be made in lawful money of United States and shall include all fees and costs, including any currency exchange costs, applicable to such payments.</w:t>
      </w:r>
    </w:p>
    <w:p>
      <w:pPr>
        <w:spacing w:after="0" w:line="152" w:lineRule="exact"/>
        <w:rPr>
          <w:rFonts w:ascii="Arial" w:cs="Arial" w:eastAsia="Arial" w:hAnsi="Arial"/>
          <w:sz w:val="22"/>
          <w:szCs w:val="22"/>
          <w:b w:val="1"/>
          <w:bCs w:val="1"/>
          <w:color w:val="auto"/>
        </w:rPr>
      </w:pPr>
    </w:p>
    <w:p>
      <w:pPr>
        <w:ind w:left="1300" w:hanging="644"/>
        <w:spacing w:after="0"/>
        <w:tabs>
          <w:tab w:leader="none" w:pos="130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Interest</w:t>
      </w:r>
      <w:r>
        <w:rPr>
          <w:rFonts w:ascii="Arial" w:cs="Arial" w:eastAsia="Arial" w:hAnsi="Arial"/>
          <w:sz w:val="22"/>
          <w:szCs w:val="22"/>
          <w:color w:val="auto"/>
        </w:rPr>
        <w:t>.</w:t>
      </w:r>
    </w:p>
    <w:p>
      <w:pPr>
        <w:spacing w:after="0" w:line="185" w:lineRule="exact"/>
        <w:rPr>
          <w:sz w:val="20"/>
          <w:szCs w:val="20"/>
          <w:color w:val="auto"/>
        </w:rPr>
      </w:pPr>
    </w:p>
    <w:p>
      <w:pPr>
        <w:jc w:val="both"/>
        <w:ind w:firstLine="656"/>
        <w:spacing w:after="0" w:line="252" w:lineRule="auto"/>
        <w:tabs>
          <w:tab w:leader="none" w:pos="1293"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below, the Revolving Loans shall bear interest at the Adjusted Term SOFR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450 basis points. No more than one Interest Period may be applicable to the Revolving Loans at any one time. If after giving effect to a proposed borrowing of Revolving Loans, more than one Interest Period would be in effect, such proposed borrowing shall have the same Interest Period as the existing Revolving Loans. At the end of any Interest Period, to the extent any Revolving Loans remain outstanding, such Revolving Loans will be continued in a new Interest Period.</w:t>
      </w:r>
    </w:p>
    <w:p>
      <w:pPr>
        <w:spacing w:after="0" w:line="148" w:lineRule="exact"/>
        <w:rPr>
          <w:rFonts w:ascii="Arial" w:cs="Arial" w:eastAsia="Arial" w:hAnsi="Arial"/>
          <w:sz w:val="19"/>
          <w:szCs w:val="19"/>
          <w:color w:val="auto"/>
        </w:rPr>
      </w:pPr>
    </w:p>
    <w:p>
      <w:pPr>
        <w:jc w:val="both"/>
        <w:ind w:firstLine="656"/>
        <w:spacing w:after="0" w:line="268" w:lineRule="auto"/>
        <w:tabs>
          <w:tab w:leader="none" w:pos="13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If any amount of principal of any Revolving Loan is not paid when due (without regard to any applicable grace periods), whether at stated maturity, by acceleration or otherwise, such amount shall thereafter bear interest at a fluctuating interest rate per annum at all times equal to, at the Default Rate, to the fullest extent permitted by applicable Laws.</w:t>
      </w:r>
    </w:p>
    <w:p>
      <w:pPr>
        <w:spacing w:after="0" w:line="132" w:lineRule="exact"/>
        <w:rPr>
          <w:rFonts w:ascii="Arial" w:cs="Arial" w:eastAsia="Arial" w:hAnsi="Arial"/>
          <w:sz w:val="19"/>
          <w:szCs w:val="19"/>
          <w:color w:val="auto"/>
        </w:rPr>
      </w:pPr>
    </w:p>
    <w:p>
      <w:pPr>
        <w:jc w:val="both"/>
        <w:ind w:left="660" w:firstLine="644"/>
        <w:spacing w:after="0" w:line="229" w:lineRule="auto"/>
        <w:tabs>
          <w:tab w:leader="none" w:pos="1950" w:val="left"/>
        </w:tabs>
        <w:numPr>
          <w:ilvl w:val="1"/>
          <w:numId w:val="13"/>
        </w:numPr>
        <w:rPr>
          <w:rFonts w:ascii="Arial" w:cs="Arial" w:eastAsia="Arial" w:hAnsi="Arial"/>
          <w:sz w:val="21"/>
          <w:szCs w:val="21"/>
          <w:color w:val="auto"/>
        </w:rPr>
      </w:pPr>
      <w:r>
        <w:rPr>
          <w:rFonts w:ascii="Arial" w:cs="Arial" w:eastAsia="Arial" w:hAnsi="Arial"/>
          <w:sz w:val="21"/>
          <w:szCs w:val="21"/>
          <w:color w:val="auto"/>
        </w:rPr>
        <w:t>If any amount (other than principal of any Revolving Loan) payable by the Borrower under this Note is not paid when due (without regard to any applicable grace periods), whether at stated maturity, by acceleration or otherwise, then upon the request of the Lender, such amount shall thereafter bear interest at a fluctuating interest rate per annum at all times equal to the Default Rate, to the fullest extent permitted by applicable Laws.</w:t>
      </w:r>
    </w:p>
    <w:p>
      <w:pPr>
        <w:spacing w:after="0" w:line="158" w:lineRule="exact"/>
        <w:rPr>
          <w:rFonts w:ascii="Arial" w:cs="Arial" w:eastAsia="Arial" w:hAnsi="Arial"/>
          <w:sz w:val="21"/>
          <w:szCs w:val="21"/>
          <w:color w:val="auto"/>
        </w:rPr>
      </w:pPr>
    </w:p>
    <w:p>
      <w:pPr>
        <w:jc w:val="both"/>
        <w:ind w:left="660" w:firstLine="644"/>
        <w:spacing w:after="0" w:line="218" w:lineRule="auto"/>
        <w:tabs>
          <w:tab w:leader="none" w:pos="1956" w:val="left"/>
        </w:tabs>
        <w:numPr>
          <w:ilvl w:val="1"/>
          <w:numId w:val="13"/>
        </w:numPr>
        <w:rPr>
          <w:rFonts w:ascii="Arial" w:cs="Arial" w:eastAsia="Arial" w:hAnsi="Arial"/>
          <w:sz w:val="22"/>
          <w:szCs w:val="22"/>
          <w:color w:val="auto"/>
        </w:rPr>
      </w:pPr>
      <w:r>
        <w:rPr>
          <w:rFonts w:ascii="Arial" w:cs="Arial" w:eastAsia="Arial" w:hAnsi="Arial"/>
          <w:sz w:val="22"/>
          <w:szCs w:val="22"/>
          <w:color w:val="auto"/>
        </w:rPr>
        <w:t xml:space="preserve">Upon the request of the Lender, while any Event of Default exists (other than as set forth in </w:t>
      </w:r>
      <w:r>
        <w:rPr>
          <w:rFonts w:ascii="Arial" w:cs="Arial" w:eastAsia="Arial" w:hAnsi="Arial"/>
          <w:sz w:val="22"/>
          <w:szCs w:val="22"/>
          <w:u w:val="single" w:color="auto"/>
          <w:color w:val="auto"/>
        </w:rPr>
        <w:t>clauses (b)(i)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(b)(ii)</w:t>
      </w:r>
      <w:r>
        <w:rPr>
          <w:rFonts w:ascii="Arial" w:cs="Arial" w:eastAsia="Arial" w:hAnsi="Arial"/>
          <w:sz w:val="22"/>
          <w:szCs w:val="22"/>
          <w:color w:val="auto"/>
        </w:rPr>
        <w:t xml:space="preserve"> above), the Borrower shall pay interest on the principal amount of all outstanding Obligations hereunder at a fluctuating interest rate per annum at all times equal to the Default Rate, to the fullest extent permitted by applicable Laws.</w:t>
      </w:r>
    </w:p>
    <w:p>
      <w:pPr>
        <w:spacing w:after="0" w:line="160" w:lineRule="exact"/>
        <w:rPr>
          <w:rFonts w:ascii="Arial" w:cs="Arial" w:eastAsia="Arial" w:hAnsi="Arial"/>
          <w:sz w:val="22"/>
          <w:szCs w:val="22"/>
          <w:color w:val="auto"/>
        </w:rPr>
      </w:pPr>
    </w:p>
    <w:p>
      <w:pPr>
        <w:ind w:left="660" w:firstLine="644"/>
        <w:spacing w:after="0" w:line="232" w:lineRule="auto"/>
        <w:tabs>
          <w:tab w:leader="none" w:pos="1944" w:val="left"/>
        </w:tabs>
        <w:numPr>
          <w:ilvl w:val="1"/>
          <w:numId w:val="13"/>
        </w:numPr>
        <w:rPr>
          <w:rFonts w:ascii="Arial" w:cs="Arial" w:eastAsia="Arial" w:hAnsi="Arial"/>
          <w:sz w:val="22"/>
          <w:szCs w:val="22"/>
          <w:color w:val="auto"/>
        </w:rPr>
      </w:pPr>
      <w:r>
        <w:rPr>
          <w:rFonts w:ascii="Arial" w:cs="Arial" w:eastAsia="Arial" w:hAnsi="Arial"/>
          <w:sz w:val="22"/>
          <w:szCs w:val="22"/>
          <w:color w:val="auto"/>
        </w:rPr>
        <w:t>Accrued and unpaid interest on past due amounts (including interest on past due interest) shall be due and payable upon demand.</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293"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Interest on each Revolving Loan shall be due and payable in arrears on the last day of each Interest Period. Interest hereunder shall be due and payable in accordance with the terms hereof before and after judgment, and before and after the commencement of any proceeding under any Debtor Relief Law.</w:t>
      </w:r>
    </w:p>
    <w:p>
      <w:pPr>
        <w:spacing w:after="0" w:line="153" w:lineRule="exact"/>
        <w:rPr>
          <w:sz w:val="20"/>
          <w:szCs w:val="20"/>
          <w:color w:val="auto"/>
        </w:rPr>
      </w:pPr>
    </w:p>
    <w:p>
      <w:pPr>
        <w:jc w:val="both"/>
        <w:ind w:firstLine="656"/>
        <w:spacing w:after="0" w:line="246" w:lineRule="auto"/>
        <w:tabs>
          <w:tab w:leader="none" w:pos="1296" w:val="left"/>
        </w:tabs>
        <w:numPr>
          <w:ilvl w:val="1"/>
          <w:numId w:val="1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Creditor Rights</w:t>
      </w:r>
      <w:r>
        <w:rPr>
          <w:rFonts w:ascii="Arial" w:cs="Arial" w:eastAsia="Arial" w:hAnsi="Arial"/>
          <w:sz w:val="19"/>
          <w:szCs w:val="19"/>
          <w:color w:val="auto"/>
        </w:rPr>
        <w:t>. In the event that (i)(a) the Borrower shall fail to make within two (2) Business Days 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same becomes due, any scheduled payment of interest or principal hereunder and/or (b) the Borrower shall fail to observe or perform any other provision of this Note (other than </w:t>
      </w:r>
      <w:r>
        <w:rPr>
          <w:rFonts w:ascii="Arial" w:cs="Arial" w:eastAsia="Arial" w:hAnsi="Arial"/>
          <w:sz w:val="19"/>
          <w:szCs w:val="19"/>
          <w:u w:val="single" w:color="auto"/>
          <w:color w:val="auto"/>
        </w:rPr>
        <w:t>Section 4</w:t>
      </w:r>
      <w:r>
        <w:rPr>
          <w:rFonts w:ascii="Arial" w:cs="Arial" w:eastAsia="Arial" w:hAnsi="Arial"/>
          <w:sz w:val="19"/>
          <w:szCs w:val="19"/>
          <w:color w:val="auto"/>
        </w:rPr>
        <w:t>) and such failure shall continue unremedied for a period of thirty</w:t>
      </w:r>
    </w:p>
    <w:p>
      <w:pPr>
        <w:jc w:val="both"/>
        <w:ind w:firstLine="8"/>
        <w:spacing w:after="0" w:line="211" w:lineRule="auto"/>
        <w:tabs>
          <w:tab w:leader="none" w:pos="451" w:val="left"/>
        </w:tabs>
        <w:numPr>
          <w:ilvl w:val="0"/>
          <w:numId w:val="15"/>
        </w:numPr>
        <w:rPr>
          <w:rFonts w:ascii="Arial" w:cs="Arial" w:eastAsia="Arial" w:hAnsi="Arial"/>
          <w:sz w:val="22"/>
          <w:szCs w:val="22"/>
          <w:color w:val="auto"/>
        </w:rPr>
      </w:pPr>
      <w:r>
        <w:rPr>
          <w:rFonts w:ascii="Arial" w:cs="Arial" w:eastAsia="Arial" w:hAnsi="Arial"/>
          <w:sz w:val="22"/>
          <w:szCs w:val="22"/>
          <w:color w:val="auto"/>
        </w:rPr>
        <w:t>days, (ii) the Borrower shall be dissolved or adjudicated insolvent, (iii) the Borrower shall cease engaging in business operations, (iv) any legal proceeding by any judgment creditor is commenced against the Borrower to attach or levy upon any material property of the Borrower, which is not dismissed within forty-five (45) days, (v) the Borrower shall become the subject of any bankruptcy (including, without limitation, any reorganization under Chapter 11 of Title 11 of the United States Code and /or its foreign equivalent), insolvency, receivership, liquidation (including, without limitation, any liquidation under Chapter 7 of Title 11 of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95" w:right="339" w:bottom="1440" w:gutter="0" w:footer="0" w:header="0"/>
        </w:sectPr>
      </w:pPr>
    </w:p>
    <w:bookmarkStart w:id="40" w:name="page41"/>
    <w:bookmarkEnd w:id="40"/>
    <w:p>
      <w:pPr>
        <w:jc w:val="both"/>
        <w:spacing w:after="0" w:line="222" w:lineRule="auto"/>
        <w:rPr>
          <w:sz w:val="20"/>
          <w:szCs w:val="20"/>
          <w:color w:val="auto"/>
        </w:rPr>
      </w:pPr>
      <w:r>
        <w:rPr>
          <w:rFonts w:ascii="Arial" w:cs="Arial" w:eastAsia="Arial" w:hAnsi="Arial"/>
          <w:sz w:val="21"/>
          <w:szCs w:val="21"/>
          <w:color w:val="auto"/>
        </w:rPr>
        <w:t xml:space="preserve">United States Code and/or its foreign equivalent), or dissolution under applicable law or statute, (vi) the Borrower shall make a general assignment for the benefit of its creditors and/or (vii) unless otherwise approved by the Lender, the Borrower shall breach the requirements of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(each event described in clauses (i) through (vii), an “</w:t>
      </w:r>
      <w:r>
        <w:rPr>
          <w:rFonts w:ascii="Arial" w:cs="Arial" w:eastAsia="Arial" w:hAnsi="Arial"/>
          <w:sz w:val="21"/>
          <w:szCs w:val="21"/>
          <w:b w:val="1"/>
          <w:bCs w:val="1"/>
          <w:i w:val="1"/>
          <w:iCs w:val="1"/>
          <w:color w:val="auto"/>
        </w:rPr>
        <w:t>Event of Default</w:t>
      </w:r>
      <w:r>
        <w:rPr>
          <w:rFonts w:ascii="Arial" w:cs="Arial" w:eastAsia="Arial" w:hAnsi="Arial"/>
          <w:sz w:val="21"/>
          <w:szCs w:val="21"/>
          <w:color w:val="auto"/>
        </w:rPr>
        <w:t>”), then, in each case of clauses (i) through (vii) above, the Lender, at its option, shall have the right to declare the entirety of the Obligations outstanding hereunder to be immediately due and payable and terminate the Commitments, in each case, without notice or demand. In such event, the Borrower shall be required to make immediate payment of the entire outstanding principal balance of this Note, together with all accrued and unpaid interest thereon.</w:t>
      </w:r>
    </w:p>
    <w:p>
      <w:pPr>
        <w:spacing w:after="0" w:line="158"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u w:val="single" w:color="auto"/>
          <w:color w:val="auto"/>
        </w:rPr>
        <w:t>.</w:t>
      </w:r>
    </w:p>
    <w:p>
      <w:pPr>
        <w:spacing w:after="0" w:line="179" w:lineRule="exact"/>
        <w:rPr>
          <w:sz w:val="20"/>
          <w:szCs w:val="20"/>
          <w:color w:val="auto"/>
        </w:rPr>
      </w:pPr>
    </w:p>
    <w:p>
      <w:pPr>
        <w:jc w:val="both"/>
        <w:ind w:firstLine="656"/>
        <w:spacing w:after="0" w:line="242" w:lineRule="auto"/>
        <w:tabs>
          <w:tab w:leader="none" w:pos="1293" w:val="left"/>
        </w:tabs>
        <w:numPr>
          <w:ilvl w:val="0"/>
          <w:numId w:val="17"/>
        </w:numPr>
        <w:rPr>
          <w:rFonts w:ascii="Arial" w:cs="Arial" w:eastAsia="Arial" w:hAnsi="Arial"/>
          <w:sz w:val="19"/>
          <w:szCs w:val="19"/>
          <w:color w:val="auto"/>
        </w:rPr>
      </w:pPr>
      <w:r>
        <w:rPr>
          <w:rFonts w:ascii="Arial" w:cs="Arial" w:eastAsia="Arial" w:hAnsi="Arial"/>
          <w:sz w:val="19"/>
          <w:szCs w:val="19"/>
          <w:b w:val="1"/>
          <w:bCs w:val="1"/>
          <w:u w:val="single" w:color="auto"/>
          <w:color w:val="auto"/>
        </w:rPr>
        <w:t>Submission to Jurisdiction; Waivers; Amendments</w:t>
      </w:r>
      <w:r>
        <w:rPr>
          <w:rFonts w:ascii="Arial" w:cs="Arial" w:eastAsia="Arial" w:hAnsi="Arial"/>
          <w:sz w:val="19"/>
          <w:szCs w:val="19"/>
          <w:color w:val="auto"/>
        </w:rPr>
        <w:t>. THE LENDER AND THE BORROWER HEREBY</w:t>
      </w:r>
      <w:r>
        <w:rPr>
          <w:rFonts w:ascii="Arial" w:cs="Arial" w:eastAsia="Arial" w:hAnsi="Arial"/>
          <w:sz w:val="19"/>
          <w:szCs w:val="19"/>
          <w:b w:val="1"/>
          <w:bCs w:val="1"/>
          <w:color w:val="auto"/>
        </w:rPr>
        <w:t xml:space="preserve"> </w:t>
      </w:r>
      <w:r>
        <w:rPr>
          <w:rFonts w:ascii="Arial" w:cs="Arial" w:eastAsia="Arial" w:hAnsi="Arial"/>
          <w:sz w:val="19"/>
          <w:szCs w:val="19"/>
          <w:color w:val="auto"/>
        </w:rPr>
        <w:t>IRREVOCABLY SUBMIT TO THE JURISDICTION OF ANY STATE OR FEDERAL COURT SITTING IN THE STATE OF DELAWARE, AND THEY HEREBY IRREVOCABLY AGREE THAT ANY ACTION MAY BE HEARD AND DETERMINED IN SUCH DELAWARE STATE OR FEDERAL COURT. THE LENDER AND THE BORROWER HEREBY WAIVE TRIAL BY JURY IN ANY ACTION OR PROCEEDING OF ANY KIND OR NATURE IN ANY COURT OR TRIBUNAL IN WHICH AN ACTION MAY BE COMMENCED BY OR AGAINST THE BORROWER ARISING OUT OF THIS NOTE OR BY REASON OF ANY OTHER CAUSE OR DISPUTE WHATSOEVER BETWEEN THE BORROWER AND THE LENDER OF ANY KIND OR NATURE. No delay or failure on the part of the Lender in the exercise of any right or remedy shall operate as a waiver thereof, and no single or partial exercise by the Lender of any right or remedy shall preclude other or further exercise thereof or the exercise of any other right or remedy. The rights, remedies, powers and privileges provided herein are cumulative and not exclusive of any rights, remedies, powers and privileges provided by law. Time is of the essence in respect of the performance of all payment obligations under this Note. The Borrower hereby waives presentment and demand for payment, notice of dishonour, protest and notice of protest of this Note. No modification or waiver of any provision of this Note or consent to departure therefrom shall be effective unless in writing and signed by the Borrower and the Lender.</w:t>
      </w:r>
    </w:p>
    <w:p>
      <w:pPr>
        <w:spacing w:after="0" w:line="154" w:lineRule="exact"/>
        <w:rPr>
          <w:rFonts w:ascii="Arial" w:cs="Arial" w:eastAsia="Arial" w:hAnsi="Arial"/>
          <w:sz w:val="19"/>
          <w:szCs w:val="19"/>
          <w:color w:val="auto"/>
        </w:rPr>
      </w:pPr>
    </w:p>
    <w:p>
      <w:pPr>
        <w:ind w:left="1300" w:hanging="644"/>
        <w:spacing w:after="0"/>
        <w:tabs>
          <w:tab w:leader="none" w:pos="1300" w:val="left"/>
        </w:tabs>
        <w:numPr>
          <w:ilvl w:val="0"/>
          <w:numId w:val="17"/>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THIS NOTE SHALL BE GOVERNED BY, AND CONSTRUED IN ACCORDANCE WITH,</w:t>
      </w:r>
    </w:p>
    <w:p>
      <w:pPr>
        <w:spacing w:after="0"/>
        <w:rPr>
          <w:rFonts w:ascii="Arial" w:cs="Arial" w:eastAsia="Arial" w:hAnsi="Arial"/>
          <w:sz w:val="21"/>
          <w:szCs w:val="21"/>
          <w:color w:val="auto"/>
        </w:rPr>
      </w:pPr>
      <w:r>
        <w:rPr>
          <w:rFonts w:ascii="Arial" w:cs="Arial" w:eastAsia="Arial" w:hAnsi="Arial"/>
          <w:sz w:val="19"/>
          <w:szCs w:val="19"/>
          <w:color w:val="auto"/>
        </w:rPr>
        <w:t>THE LAWS OF THE STATE OF DELAWARE AND NO CONFLICTS OF LAW PRINCIPLES WILL APPLY TO THIS NOTE.</w:t>
      </w:r>
    </w:p>
    <w:p>
      <w:pPr>
        <w:spacing w:after="0" w:line="189" w:lineRule="exact"/>
        <w:rPr>
          <w:rFonts w:ascii="Arial" w:cs="Arial" w:eastAsia="Arial" w:hAnsi="Arial"/>
          <w:sz w:val="21"/>
          <w:szCs w:val="21"/>
          <w:color w:val="auto"/>
        </w:rPr>
      </w:pPr>
    </w:p>
    <w:p>
      <w:pPr>
        <w:jc w:val="both"/>
        <w:ind w:firstLine="656"/>
        <w:spacing w:after="0" w:line="271" w:lineRule="auto"/>
        <w:tabs>
          <w:tab w:leader="none" w:pos="1293" w:val="left"/>
        </w:tabs>
        <w:numPr>
          <w:ilvl w:val="0"/>
          <w:numId w:val="17"/>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In the event that any provision of this Note would be held in any jurisdiction to be invalid,</w:t>
      </w:r>
      <w:r>
        <w:rPr>
          <w:rFonts w:ascii="Arial" w:cs="Arial" w:eastAsia="Arial" w:hAnsi="Arial"/>
          <w:sz w:val="19"/>
          <w:szCs w:val="19"/>
          <w:b w:val="1"/>
          <w:bCs w:val="1"/>
          <w:color w:val="auto"/>
        </w:rPr>
        <w:t xml:space="preserve"> </w:t>
      </w:r>
      <w:r>
        <w:rPr>
          <w:rFonts w:ascii="Arial" w:cs="Arial" w:eastAsia="Arial" w:hAnsi="Arial"/>
          <w:sz w:val="19"/>
          <w:szCs w:val="19"/>
          <w:color w:val="auto"/>
        </w:rPr>
        <w:t>prohibited or unenforceable for any reason, such provision, as to such jurisdiction, shall be ineffective, without invalidating the remaining provisions of this Note or affecting the validity or enforceability of such provision in any jurisdiction.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41" w:name="page42"/>
    <w:bookmarkEnd w:id="41"/>
    <w:p>
      <w:pPr>
        <w:jc w:val="both"/>
        <w:ind w:left="-20" w:firstLine="656"/>
        <w:spacing w:after="0" w:line="254" w:lineRule="auto"/>
        <w:tabs>
          <w:tab w:leader="none" w:pos="1271" w:val="left"/>
        </w:tabs>
        <w:numPr>
          <w:ilvl w:val="0"/>
          <w:numId w:val="18"/>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 Binding Effect; Successors and Assigns</w:t>
      </w:r>
      <w:r>
        <w:rPr>
          <w:rFonts w:ascii="Arial" w:cs="Arial" w:eastAsia="Arial" w:hAnsi="Arial"/>
          <w:sz w:val="19"/>
          <w:szCs w:val="19"/>
          <w:color w:val="auto"/>
        </w:rPr>
        <w:t>. This Note may be executed in counterparts (and by</w:t>
      </w:r>
      <w:r>
        <w:rPr>
          <w:rFonts w:ascii="Arial" w:cs="Arial" w:eastAsia="Arial" w:hAnsi="Arial"/>
          <w:sz w:val="19"/>
          <w:szCs w:val="19"/>
          <w:b w:val="1"/>
          <w:bCs w:val="1"/>
          <w:color w:val="auto"/>
        </w:rPr>
        <w:t xml:space="preserve"> </w:t>
      </w:r>
      <w:r>
        <w:rPr>
          <w:rFonts w:ascii="Arial" w:cs="Arial" w:eastAsia="Arial" w:hAnsi="Arial"/>
          <w:sz w:val="19"/>
          <w:szCs w:val="19"/>
          <w:color w:val="auto"/>
        </w:rPr>
        <w:t>different parties hereto on different counterparts), each of which shall constitute an original but all of which when taken together shall constitute a single contract. This Note shall not be assignable by the Borrower without the prior written consent of the Lender. Subject to the foregoing, this Note and every part hereof shall be binding upon the undersigned and their respective successors and assigns, and shall inure to the benefit of and be enforceable by the Lender and any of its successors and assigns.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40" w:top="1395" w:right="339" w:bottom="1440" w:gutter="0" w:footer="0" w:header="0"/>
        </w:sectPr>
      </w:pPr>
    </w:p>
    <w:bookmarkStart w:id="42" w:name="page43"/>
    <w:bookmarkEnd w:id="42"/>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undersigned have executed this Note as of the date first written above.</w:t>
      </w:r>
    </w:p>
    <w:p>
      <w:pPr>
        <w:sectPr>
          <w:pgSz w:w="11900" w:h="16838" w:orient="portrait"/>
          <w:cols w:equalWidth="0" w:num="1">
            <w:col w:w="9479"/>
          </w:cols>
          <w:pgMar w:left="980" w:top="1395" w:right="1440" w:bottom="1440" w:gutter="0" w:footer="0" w:header="0"/>
        </w:sect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THE BORROWER:</w:t>
      </w:r>
    </w:p>
    <w:p>
      <w:pPr>
        <w:spacing w:after="0" w:line="17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CANNAE HOLDINGS, INC.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-5715</wp:posOffset>
            </wp:positionV>
            <wp:extent cx="10668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66800" cy="8255"/>
                    </a:xfrm>
                    <a:prstGeom prst="rect">
                      <a:avLst/>
                    </a:prstGeom>
                    <a:noFill/>
                  </pic:spPr>
                </pic:pic>
              </a:graphicData>
            </a:graphic>
          </wp:anchor>
        </w:drawing>
      </w:r>
    </w:p>
    <w:p>
      <w:pPr>
        <w:ind w:left="3880"/>
        <w:spacing w:after="0" w:line="204" w:lineRule="auto"/>
        <w:rPr>
          <w:sz w:val="20"/>
          <w:szCs w:val="20"/>
          <w:color w:val="auto"/>
        </w:rPr>
      </w:pPr>
      <w:r>
        <w:rPr>
          <w:rFonts w:ascii="Arial" w:cs="Arial" w:eastAsia="Arial" w:hAnsi="Arial"/>
          <w:sz w:val="22"/>
          <w:szCs w:val="22"/>
          <w:color w:val="auto"/>
        </w:rPr>
        <w:t>Name: Bryan D. Coy</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THE LENDER:</w:t>
      </w:r>
    </w:p>
    <w:p>
      <w:pPr>
        <w:spacing w:after="0" w:line="17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FIDELITY NATIONAL FINANCIAL, INC.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-5715</wp:posOffset>
            </wp:positionV>
            <wp:extent cx="11887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88720" cy="8255"/>
                    </a:xfrm>
                    <a:prstGeom prst="rect">
                      <a:avLst/>
                    </a:prstGeom>
                    <a:noFill/>
                  </pic:spPr>
                </pic:pic>
              </a:graphicData>
            </a:graphic>
          </wp:anchor>
        </w:drawing>
      </w:r>
    </w:p>
    <w:p>
      <w:pPr>
        <w:ind w:left="3880"/>
        <w:spacing w:after="0" w:line="204" w:lineRule="auto"/>
        <w:rPr>
          <w:sz w:val="20"/>
          <w:szCs w:val="20"/>
          <w:color w:val="auto"/>
        </w:rPr>
      </w:pPr>
      <w:r>
        <w:rPr>
          <w:rFonts w:ascii="Arial" w:cs="Arial" w:eastAsia="Arial" w:hAnsi="Arial"/>
          <w:sz w:val="22"/>
          <w:szCs w:val="22"/>
          <w:color w:val="auto"/>
        </w:rPr>
        <w:t>Name: Anthony J. Park</w:t>
      </w:r>
    </w:p>
    <w:p>
      <w:pPr>
        <w:spacing w:after="0" w:line="1" w:lineRule="exact"/>
        <w:rPr>
          <w:sz w:val="20"/>
          <w:szCs w:val="20"/>
          <w:color w:val="auto"/>
        </w:rPr>
      </w:pPr>
    </w:p>
    <w:p>
      <w:pPr>
        <w:jc w:val="right"/>
        <w:ind w:right="799"/>
        <w:spacing w:after="0"/>
        <w:rPr>
          <w:sz w:val="20"/>
          <w:szCs w:val="20"/>
          <w:color w:val="auto"/>
        </w:rPr>
      </w:pPr>
      <w:r>
        <w:rPr>
          <w:rFonts w:ascii="Arial" w:cs="Arial" w:eastAsia="Arial" w:hAnsi="Arial"/>
          <w:sz w:val="22"/>
          <w:szCs w:val="22"/>
          <w:color w:val="auto"/>
        </w:rPr>
        <w:t>Title: Executive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[Amended and Restated Revolver Note]</w:t>
      </w:r>
    </w:p>
    <w:p>
      <w:pPr>
        <w:sectPr>
          <w:pgSz w:w="11900" w:h="16838" w:orient="portrait"/>
          <w:cols w:equalWidth="0" w:num="1">
            <w:col w:w="9479"/>
          </w:cols>
          <w:pgMar w:left="980" w:top="1395" w:right="1440" w:bottom="1440" w:gutter="0" w:footer="0" w:header="0"/>
          <w:type w:val="continuous"/>
        </w:sectPr>
      </w:pPr>
    </w:p>
    <w:bookmarkStart w:id="43" w:name="page44"/>
    <w:bookmarkEnd w:id="43"/>
    <w:p>
      <w:pPr>
        <w:ind w:left="9620"/>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AMENDMENT AGREEMENT NO. 4</w:t>
      </w:r>
    </w:p>
    <w:p>
      <w:pPr>
        <w:spacing w:after="0" w:line="200" w:lineRule="exact"/>
        <w:rPr>
          <w:sz w:val="20"/>
          <w:szCs w:val="20"/>
          <w:color w:val="auto"/>
        </w:rPr>
      </w:pPr>
    </w:p>
    <w:p>
      <w:pPr>
        <w:spacing w:after="0" w:line="222" w:lineRule="exact"/>
        <w:rPr>
          <w:sz w:val="20"/>
          <w:szCs w:val="20"/>
          <w:color w:val="auto"/>
        </w:rPr>
      </w:pPr>
    </w:p>
    <w:p>
      <w:pPr>
        <w:jc w:val="both"/>
        <w:ind w:left="720" w:firstLine="648"/>
        <w:spacing w:after="0"/>
        <w:rPr>
          <w:sz w:val="20"/>
          <w:szCs w:val="20"/>
          <w:color w:val="auto"/>
        </w:rPr>
      </w:pPr>
      <w:r>
        <w:rPr>
          <w:rFonts w:ascii="Arial" w:cs="Arial" w:eastAsia="Arial" w:hAnsi="Arial"/>
          <w:sz w:val="19"/>
          <w:szCs w:val="19"/>
          <w:b w:val="1"/>
          <w:bCs w:val="1"/>
          <w:color w:val="auto"/>
        </w:rPr>
        <w:t xml:space="preserve">THIS FOURTH AMENDMENT AGREEMENT </w:t>
      </w:r>
      <w:r>
        <w:rPr>
          <w:rFonts w:ascii="Arial" w:cs="Arial" w:eastAsia="Arial" w:hAnsi="Arial"/>
          <w:sz w:val="19"/>
          <w:szCs w:val="19"/>
          <w:color w:val="auto"/>
        </w:rPr>
        <w:t>(this “</w:t>
      </w:r>
      <w:r>
        <w:rPr>
          <w:rFonts w:ascii="Arial" w:cs="Arial" w:eastAsia="Arial" w:hAnsi="Arial"/>
          <w:sz w:val="19"/>
          <w:szCs w:val="19"/>
          <w:b w:val="1"/>
          <w:bCs w:val="1"/>
          <w:color w:val="auto"/>
        </w:rPr>
        <w:t>Agreement</w:t>
      </w:r>
      <w:r>
        <w:rPr>
          <w:rFonts w:ascii="Arial" w:cs="Arial" w:eastAsia="Arial" w:hAnsi="Arial"/>
          <w:sz w:val="19"/>
          <w:szCs w:val="19"/>
          <w:color w:val="auto"/>
        </w:rPr>
        <w:t>”) is made and entered into as of May</w:t>
      </w:r>
      <w:r>
        <w:rPr>
          <w:rFonts w:ascii="Arial" w:cs="Arial" w:eastAsia="Arial" w:hAnsi="Arial"/>
          <w:sz w:val="19"/>
          <w:szCs w:val="19"/>
          <w:b w:val="1"/>
          <w:bCs w:val="1"/>
          <w:color w:val="auto"/>
        </w:rPr>
        <w:t xml:space="preserve"> </w:t>
      </w:r>
      <w:r>
        <w:rPr>
          <w:rFonts w:ascii="Arial" w:cs="Arial" w:eastAsia="Arial" w:hAnsi="Arial"/>
          <w:sz w:val="19"/>
          <w:szCs w:val="19"/>
          <w:color w:val="auto"/>
        </w:rPr>
        <w:t>12, 2022, by and among Cannae Funding C, LLC, a limited liability company under the laws of Delaware, as a borrower (“</w:t>
      </w:r>
      <w:r>
        <w:rPr>
          <w:rFonts w:ascii="Arial" w:cs="Arial" w:eastAsia="Arial" w:hAnsi="Arial"/>
          <w:sz w:val="19"/>
          <w:szCs w:val="19"/>
          <w:b w:val="1"/>
          <w:bCs w:val="1"/>
          <w:color w:val="auto"/>
        </w:rPr>
        <w:t>Borrower 1</w:t>
      </w:r>
      <w:r>
        <w:rPr>
          <w:rFonts w:ascii="Arial" w:cs="Arial" w:eastAsia="Arial" w:hAnsi="Arial"/>
          <w:sz w:val="19"/>
          <w:szCs w:val="19"/>
          <w:color w:val="auto"/>
        </w:rPr>
        <w:t>”), Cannae Funding D, LLC, a limited liability company organized under the laws of Delaware, as a borrower (“</w:t>
      </w:r>
      <w:r>
        <w:rPr>
          <w:rFonts w:ascii="Arial" w:cs="Arial" w:eastAsia="Arial" w:hAnsi="Arial"/>
          <w:sz w:val="19"/>
          <w:szCs w:val="19"/>
          <w:b w:val="1"/>
          <w:bCs w:val="1"/>
          <w:color w:val="auto"/>
        </w:rPr>
        <w:t>Borrower 2</w:t>
      </w:r>
      <w:r>
        <w:rPr>
          <w:rFonts w:ascii="Arial" w:cs="Arial" w:eastAsia="Arial" w:hAnsi="Arial"/>
          <w:sz w:val="19"/>
          <w:szCs w:val="19"/>
          <w:color w:val="auto"/>
        </w:rPr>
        <w:t>” and, together with Borrower 1, the “</w:t>
      </w:r>
      <w:r>
        <w:rPr>
          <w:rFonts w:ascii="Arial" w:cs="Arial" w:eastAsia="Arial" w:hAnsi="Arial"/>
          <w:sz w:val="19"/>
          <w:szCs w:val="19"/>
          <w:b w:val="1"/>
          <w:bCs w:val="1"/>
          <w:color w:val="auto"/>
        </w:rPr>
        <w:t>Borrowers</w:t>
      </w:r>
      <w:r>
        <w:rPr>
          <w:rFonts w:ascii="Arial" w:cs="Arial" w:eastAsia="Arial" w:hAnsi="Arial"/>
          <w:sz w:val="19"/>
          <w:szCs w:val="19"/>
          <w:color w:val="auto"/>
        </w:rPr>
        <w:t>”), Royal Bank of Canada, as Administrative Agent (in such capacity, the “</w:t>
      </w:r>
      <w:r>
        <w:rPr>
          <w:rFonts w:ascii="Arial" w:cs="Arial" w:eastAsia="Arial" w:hAnsi="Arial"/>
          <w:sz w:val="19"/>
          <w:szCs w:val="19"/>
          <w:b w:val="1"/>
          <w:bCs w:val="1"/>
          <w:color w:val="auto"/>
        </w:rPr>
        <w:t>Administrative Agent</w:t>
      </w:r>
      <w:r>
        <w:rPr>
          <w:rFonts w:ascii="Arial" w:cs="Arial" w:eastAsia="Arial" w:hAnsi="Arial"/>
          <w:sz w:val="19"/>
          <w:szCs w:val="19"/>
          <w:color w:val="auto"/>
        </w:rPr>
        <w:t>”) and Calculation Agent (in such capacity, the “</w:t>
      </w:r>
      <w:r>
        <w:rPr>
          <w:rFonts w:ascii="Arial" w:cs="Arial" w:eastAsia="Arial" w:hAnsi="Arial"/>
          <w:sz w:val="19"/>
          <w:szCs w:val="19"/>
          <w:b w:val="1"/>
          <w:bCs w:val="1"/>
          <w:color w:val="auto"/>
        </w:rPr>
        <w:t>Calculation Agent</w:t>
      </w:r>
      <w:r>
        <w:rPr>
          <w:rFonts w:ascii="Arial" w:cs="Arial" w:eastAsia="Arial" w:hAnsi="Arial"/>
          <w:sz w:val="19"/>
          <w:szCs w:val="19"/>
          <w:color w:val="auto"/>
        </w:rPr>
        <w:t>”) and the Lenders party hereto. Reference is made to (i) that certain Margin Loan Agreement dated as of November 30, 2020 (as amended by that certain First Incremental Facility Amendment dated as of August 16, 2021 (the “</w:t>
      </w:r>
      <w:r>
        <w:rPr>
          <w:rFonts w:ascii="Arial" w:cs="Arial" w:eastAsia="Arial" w:hAnsi="Arial"/>
          <w:sz w:val="19"/>
          <w:szCs w:val="19"/>
          <w:b w:val="1"/>
          <w:bCs w:val="1"/>
          <w:color w:val="auto"/>
        </w:rPr>
        <w:t>First Incremental Facility Amendment”)</w:t>
      </w:r>
      <w:r>
        <w:rPr>
          <w:rFonts w:ascii="Arial" w:cs="Arial" w:eastAsia="Arial" w:hAnsi="Arial"/>
          <w:sz w:val="19"/>
          <w:szCs w:val="19"/>
          <w:color w:val="auto"/>
        </w:rPr>
        <w:t>, as further amended by that certain Second Incremental Facility Amendment dated as of December 10, 2021 (the “</w:t>
      </w:r>
      <w:r>
        <w:rPr>
          <w:rFonts w:ascii="Arial" w:cs="Arial" w:eastAsia="Arial" w:hAnsi="Arial"/>
          <w:sz w:val="19"/>
          <w:szCs w:val="19"/>
          <w:b w:val="1"/>
          <w:bCs w:val="1"/>
          <w:color w:val="auto"/>
        </w:rPr>
        <w:t>Second Incremental Facility</w:t>
      </w:r>
      <w:r>
        <w:rPr>
          <w:rFonts w:ascii="Arial" w:cs="Arial" w:eastAsia="Arial" w:hAnsi="Arial"/>
          <w:sz w:val="19"/>
          <w:szCs w:val="19"/>
          <w:color w:val="auto"/>
        </w:rPr>
        <w:t xml:space="preserve"> </w:t>
      </w:r>
      <w:r>
        <w:rPr>
          <w:rFonts w:ascii="Arial" w:cs="Arial" w:eastAsia="Arial" w:hAnsi="Arial"/>
          <w:sz w:val="19"/>
          <w:szCs w:val="19"/>
          <w:b w:val="1"/>
          <w:bCs w:val="1"/>
          <w:color w:val="auto"/>
        </w:rPr>
        <w:t>Amendment</w:t>
      </w:r>
      <w:r>
        <w:rPr>
          <w:rFonts w:ascii="Arial" w:cs="Arial" w:eastAsia="Arial" w:hAnsi="Arial"/>
          <w:sz w:val="19"/>
          <w:szCs w:val="19"/>
          <w:color w:val="auto"/>
        </w:rPr>
        <w:t>”), as further amended by that certain Third Amendment and Waiver dated as of January 19, 2022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Third Waiver and Amendment</w:t>
      </w:r>
      <w:r>
        <w:rPr>
          <w:rFonts w:ascii="Arial" w:cs="Arial" w:eastAsia="Arial" w:hAnsi="Arial"/>
          <w:sz w:val="19"/>
          <w:szCs w:val="19"/>
          <w:color w:val="auto"/>
        </w:rPr>
        <w:t>”) and as may be further amended, supplemented, restated or otherwise modified from time to time, the “</w:t>
      </w:r>
      <w:r>
        <w:rPr>
          <w:rFonts w:ascii="Arial" w:cs="Arial" w:eastAsia="Arial" w:hAnsi="Arial"/>
          <w:sz w:val="19"/>
          <w:szCs w:val="19"/>
          <w:b w:val="1"/>
          <w:bCs w:val="1"/>
          <w:color w:val="auto"/>
        </w:rPr>
        <w:t>Margin Loan Agreement</w:t>
      </w:r>
      <w:r>
        <w:rPr>
          <w:rFonts w:ascii="Arial" w:cs="Arial" w:eastAsia="Arial" w:hAnsi="Arial"/>
          <w:sz w:val="19"/>
          <w:szCs w:val="19"/>
          <w:color w:val="auto"/>
        </w:rPr>
        <w:t>”), entered into by and among the Borrowers, Administrative Agent, Calculation Agent and the Lenders from time to time party thereto (the “</w:t>
      </w:r>
      <w:r>
        <w:rPr>
          <w:rFonts w:ascii="Arial" w:cs="Arial" w:eastAsia="Arial" w:hAnsi="Arial"/>
          <w:sz w:val="19"/>
          <w:szCs w:val="19"/>
          <w:b w:val="1"/>
          <w:bCs w:val="1"/>
          <w:color w:val="auto"/>
        </w:rPr>
        <w:t>Lenders</w:t>
      </w:r>
      <w:r>
        <w:rPr>
          <w:rFonts w:ascii="Arial" w:cs="Arial" w:eastAsia="Arial" w:hAnsi="Arial"/>
          <w:sz w:val="19"/>
          <w:szCs w:val="19"/>
          <w:color w:val="auto"/>
        </w:rPr>
        <w:t>”), (ii) that certain Fee and Ratio Letter dated as of November 30, 2020 (as amended by the First Incremental Facility Amendment, as further amended by the Second Incremental Facility Amendment, as further amended by the Third Amendment and Waiver and as may be further amended, supplemented, restated or otherwise modified from time to time ( the “</w:t>
      </w:r>
      <w:r>
        <w:rPr>
          <w:rFonts w:ascii="Arial" w:cs="Arial" w:eastAsia="Arial" w:hAnsi="Arial"/>
          <w:sz w:val="19"/>
          <w:szCs w:val="19"/>
          <w:b w:val="1"/>
          <w:bCs w:val="1"/>
          <w:color w:val="auto"/>
        </w:rPr>
        <w:t>Fee and</w:t>
      </w:r>
      <w:r>
        <w:rPr>
          <w:rFonts w:ascii="Arial" w:cs="Arial" w:eastAsia="Arial" w:hAnsi="Arial"/>
          <w:sz w:val="19"/>
          <w:szCs w:val="19"/>
          <w:color w:val="auto"/>
        </w:rPr>
        <w:t xml:space="preserve"> </w:t>
      </w:r>
      <w:r>
        <w:rPr>
          <w:rFonts w:ascii="Arial" w:cs="Arial" w:eastAsia="Arial" w:hAnsi="Arial"/>
          <w:sz w:val="19"/>
          <w:szCs w:val="19"/>
          <w:b w:val="1"/>
          <w:bCs w:val="1"/>
          <w:color w:val="auto"/>
        </w:rPr>
        <w:t>Ratio Letter</w:t>
      </w:r>
      <w:r>
        <w:rPr>
          <w:rFonts w:ascii="Arial" w:cs="Arial" w:eastAsia="Arial" w:hAnsi="Arial"/>
          <w:sz w:val="19"/>
          <w:szCs w:val="19"/>
          <w:color w:val="auto"/>
        </w:rPr>
        <w:t>”), entered into by and among the Borrowers, Administrative Agent, Calculation Agent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Lenders and (iii) that certain Guarantee Agreement, dated as of November 30, 2020 (as amended and restated as of August 16, 2021, as further amended and restated as of December 10, 2021, as further amended and restate as of January 19, 2022 and as may be further amended, restated, extended, supplemented or otherwise modified from time to time, the “</w:t>
      </w:r>
      <w:r>
        <w:rPr>
          <w:rFonts w:ascii="Arial" w:cs="Arial" w:eastAsia="Arial" w:hAnsi="Arial"/>
          <w:sz w:val="19"/>
          <w:szCs w:val="19"/>
          <w:b w:val="1"/>
          <w:bCs w:val="1"/>
          <w:color w:val="auto"/>
        </w:rPr>
        <w:t>Guarantee Agreement</w:t>
      </w:r>
      <w:r>
        <w:rPr>
          <w:rFonts w:ascii="Arial" w:cs="Arial" w:eastAsia="Arial" w:hAnsi="Arial"/>
          <w:sz w:val="19"/>
          <w:szCs w:val="19"/>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u w:val="single" w:color="auto"/>
          <w:color w:val="auto"/>
        </w:rPr>
        <w:t>WITNESSETH</w:t>
      </w:r>
      <w:r>
        <w:rPr>
          <w:rFonts w:ascii="Arial" w:cs="Arial" w:eastAsia="Arial" w:hAnsi="Arial"/>
          <w:sz w:val="22"/>
          <w:szCs w:val="22"/>
          <w:color w:val="auto"/>
        </w:rPr>
        <w:t>:</w:t>
      </w:r>
    </w:p>
    <w:p>
      <w:pPr>
        <w:spacing w:after="0" w:line="206" w:lineRule="exact"/>
        <w:rPr>
          <w:sz w:val="20"/>
          <w:szCs w:val="20"/>
          <w:color w:val="auto"/>
        </w:rPr>
      </w:pPr>
    </w:p>
    <w:p>
      <w:pPr>
        <w:jc w:val="both"/>
        <w:ind w:left="720" w:right="20" w:firstLine="648"/>
        <w:spacing w:after="0" w:line="30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hereto have agreed to make certain amendments to the Margin Loan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Fee and Ratio Letter and the Guarantee Agreement as set forth herein and subject to the conditions hereunder;</w:t>
      </w:r>
    </w:p>
    <w:p>
      <w:pPr>
        <w:spacing w:after="0" w:line="120" w:lineRule="exact"/>
        <w:rPr>
          <w:sz w:val="20"/>
          <w:szCs w:val="20"/>
          <w:color w:val="auto"/>
        </w:rPr>
      </w:pPr>
    </w:p>
    <w:p>
      <w:pPr>
        <w:jc w:val="both"/>
        <w:ind w:left="720" w:right="20" w:firstLine="648"/>
        <w:spacing w:after="0" w:line="30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all capitalized terms not otherwise defined herein shall have the meaning given thereto in the</w:t>
      </w:r>
      <w:r>
        <w:rPr>
          <w:rFonts w:ascii="Arial" w:cs="Arial" w:eastAsia="Arial" w:hAnsi="Arial"/>
          <w:sz w:val="19"/>
          <w:szCs w:val="19"/>
          <w:b w:val="1"/>
          <w:bCs w:val="1"/>
          <w:color w:val="auto"/>
        </w:rPr>
        <w:t xml:space="preserve"> </w:t>
      </w:r>
      <w:r>
        <w:rPr>
          <w:rFonts w:ascii="Arial" w:cs="Arial" w:eastAsia="Arial" w:hAnsi="Arial"/>
          <w:sz w:val="19"/>
          <w:szCs w:val="19"/>
          <w:color w:val="auto"/>
        </w:rPr>
        <w:t>Margin Loan Agreement or other applicable Margin Loan Documentation, as amended by this Agreement;</w:t>
      </w:r>
    </w:p>
    <w:p>
      <w:pPr>
        <w:spacing w:after="0" w:line="120" w:lineRule="exact"/>
        <w:rPr>
          <w:sz w:val="20"/>
          <w:szCs w:val="20"/>
          <w:color w:val="auto"/>
        </w:rPr>
      </w:pPr>
    </w:p>
    <w:p>
      <w:pPr>
        <w:jc w:val="both"/>
        <w:ind w:left="720" w:right="20" w:firstLine="648"/>
        <w:spacing w:after="0" w:line="235"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premises and further valuable consideration, the receipt and</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sufficiency of which is hereby acknowledged, the parties hereto agree as follows:</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SECTION 1</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Amendments to the Margin Loan Agreement</w:t>
      </w:r>
      <w:r>
        <w:rPr>
          <w:rFonts w:ascii="Arial" w:cs="Arial" w:eastAsia="Arial" w:hAnsi="Arial"/>
          <w:sz w:val="22"/>
          <w:szCs w:val="22"/>
          <w:color w:val="auto"/>
        </w:rPr>
        <w:t>.</w:t>
      </w:r>
    </w:p>
    <w:p>
      <w:pPr>
        <w:spacing w:after="0" w:line="212" w:lineRule="exact"/>
        <w:rPr>
          <w:sz w:val="20"/>
          <w:szCs w:val="20"/>
          <w:color w:val="auto"/>
        </w:rPr>
      </w:pPr>
    </w:p>
    <w:p>
      <w:pPr>
        <w:ind w:left="2020" w:right="180" w:hanging="648"/>
        <w:spacing w:after="0" w:line="232" w:lineRule="auto"/>
        <w:tabs>
          <w:tab w:leader="none" w:pos="1824"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The Loan Agreement is amended such that, after giving effect to all such amendments, it shall read in its entirety as set forth on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attached hereto.</w:t>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US-DOCS\131852904.3</w:t>
      </w:r>
    </w:p>
    <w:p>
      <w:pPr>
        <w:sectPr>
          <w:pgSz w:w="11900" w:h="16838" w:orient="portrait"/>
          <w:cols w:equalWidth="0" w:num="1">
            <w:col w:w="10780"/>
          </w:cols>
          <w:pgMar w:left="360" w:top="1233" w:right="759" w:bottom="1440" w:gutter="0" w:footer="0" w:header="0"/>
        </w:sectPr>
      </w:pPr>
    </w:p>
    <w:bookmarkStart w:id="44" w:name="page45"/>
    <w:bookmarkEnd w:id="44"/>
    <w:p>
      <w:pPr>
        <w:ind w:left="720"/>
        <w:spacing w:after="0"/>
        <w:rPr>
          <w:sz w:val="20"/>
          <w:szCs w:val="20"/>
          <w:color w:val="auto"/>
        </w:rPr>
      </w:pPr>
      <w:r>
        <w:rPr>
          <w:rFonts w:ascii="Arial" w:cs="Arial" w:eastAsia="Arial" w:hAnsi="Arial"/>
          <w:sz w:val="22"/>
          <w:szCs w:val="22"/>
          <w:b w:val="1"/>
          <w:bCs w:val="1"/>
          <w:color w:val="auto"/>
        </w:rPr>
        <w:t>SECTION 2</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Amendments to the Fee and Ratio Letter</w:t>
      </w:r>
      <w:r>
        <w:rPr>
          <w:rFonts w:ascii="Arial" w:cs="Arial" w:eastAsia="Arial" w:hAnsi="Arial"/>
          <w:sz w:val="22"/>
          <w:szCs w:val="22"/>
          <w:color w:val="auto"/>
        </w:rPr>
        <w:t>.</w:t>
      </w:r>
    </w:p>
    <w:p>
      <w:pPr>
        <w:spacing w:after="0" w:line="212" w:lineRule="exact"/>
        <w:rPr>
          <w:sz w:val="20"/>
          <w:szCs w:val="20"/>
          <w:color w:val="auto"/>
        </w:rPr>
      </w:pPr>
    </w:p>
    <w:p>
      <w:pPr>
        <w:ind w:left="1920" w:right="20" w:hanging="548"/>
        <w:spacing w:after="0" w:line="232" w:lineRule="auto"/>
        <w:tabs>
          <w:tab w:leader="none" w:pos="1674"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The Fee and Ratio Letter is amended such that, after giving effect to all such amendments, it shall read in its entirety as set forth on </w:t>
      </w:r>
      <w:r>
        <w:rPr>
          <w:rFonts w:ascii="Arial" w:cs="Arial" w:eastAsia="Arial" w:hAnsi="Arial"/>
          <w:sz w:val="22"/>
          <w:szCs w:val="22"/>
          <w:u w:val="single" w:color="auto"/>
          <w:color w:val="auto"/>
        </w:rPr>
        <w:t>Annex II</w:t>
      </w:r>
      <w:r>
        <w:rPr>
          <w:rFonts w:ascii="Arial" w:cs="Arial" w:eastAsia="Arial" w:hAnsi="Arial"/>
          <w:sz w:val="22"/>
          <w:szCs w:val="22"/>
          <w:color w:val="auto"/>
        </w:rPr>
        <w:t xml:space="preserve"> attached hereto.</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SECTION 2</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Amendment and Restatement of the Guarantee Agreement</w:t>
      </w:r>
      <w:r>
        <w:rPr>
          <w:rFonts w:ascii="Arial" w:cs="Arial" w:eastAsia="Arial" w:hAnsi="Arial"/>
          <w:sz w:val="22"/>
          <w:szCs w:val="22"/>
          <w:color w:val="auto"/>
        </w:rPr>
        <w:t>.</w:t>
      </w:r>
    </w:p>
    <w:p>
      <w:pPr>
        <w:spacing w:after="0" w:line="212" w:lineRule="exact"/>
        <w:rPr>
          <w:sz w:val="20"/>
          <w:szCs w:val="20"/>
          <w:color w:val="auto"/>
        </w:rPr>
      </w:pPr>
    </w:p>
    <w:p>
      <w:pPr>
        <w:ind w:left="1920" w:hanging="548"/>
        <w:spacing w:after="0" w:line="232" w:lineRule="auto"/>
        <w:tabs>
          <w:tab w:leader="none" w:pos="1953"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Guarantee Agreement is amended and restated, and the amended and restated copy shall be as set forth on Annex III attached hereto.</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SECTION 4</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Borrowers Representations, Warranties and Covenants</w:t>
      </w:r>
      <w:r>
        <w:rPr>
          <w:rFonts w:ascii="Arial" w:cs="Arial" w:eastAsia="Arial" w:hAnsi="Arial"/>
          <w:sz w:val="22"/>
          <w:szCs w:val="22"/>
          <w:color w:val="auto"/>
        </w:rPr>
        <w:t>.</w:t>
      </w:r>
    </w:p>
    <w:p>
      <w:pPr>
        <w:spacing w:after="0" w:line="212" w:lineRule="exact"/>
        <w:rPr>
          <w:sz w:val="20"/>
          <w:szCs w:val="20"/>
          <w:color w:val="auto"/>
        </w:rPr>
      </w:pPr>
    </w:p>
    <w:p>
      <w:pPr>
        <w:ind w:left="720" w:firstLine="648"/>
        <w:spacing w:after="0" w:line="232" w:lineRule="auto"/>
        <w:rPr>
          <w:sz w:val="20"/>
          <w:szCs w:val="20"/>
          <w:color w:val="auto"/>
        </w:rPr>
      </w:pPr>
      <w:r>
        <w:rPr>
          <w:rFonts w:ascii="Arial" w:cs="Arial" w:eastAsia="Arial" w:hAnsi="Arial"/>
          <w:sz w:val="22"/>
          <w:szCs w:val="22"/>
          <w:color w:val="auto"/>
        </w:rPr>
        <w:t>In order to induce (i) Lenders to agree to this Agreement, Borrowers makes the following representations and warranties to each of Lender and Administrative Agent:</w:t>
      </w:r>
    </w:p>
    <w:p>
      <w:pPr>
        <w:spacing w:after="0" w:line="186" w:lineRule="exact"/>
        <w:rPr>
          <w:sz w:val="20"/>
          <w:szCs w:val="20"/>
          <w:color w:val="auto"/>
        </w:rPr>
      </w:pPr>
    </w:p>
    <w:p>
      <w:pPr>
        <w:ind w:left="1900" w:hanging="555"/>
        <w:spacing w:after="0"/>
        <w:tabs>
          <w:tab w:leader="none" w:pos="19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Each Borrower hereby certifies, represents and warrants that, after giving effect to the terms hereof:</w:t>
      </w:r>
    </w:p>
    <w:p>
      <w:pPr>
        <w:spacing w:after="0" w:line="15" w:lineRule="exact"/>
        <w:rPr>
          <w:rFonts w:ascii="Arial" w:cs="Arial" w:eastAsia="Arial" w:hAnsi="Arial"/>
          <w:sz w:val="19"/>
          <w:szCs w:val="19"/>
          <w:color w:val="auto"/>
        </w:rPr>
      </w:pPr>
    </w:p>
    <w:p>
      <w:pPr>
        <w:jc w:val="both"/>
        <w:ind w:left="1920" w:hanging="8"/>
        <w:spacing w:after="0" w:line="237" w:lineRule="auto"/>
        <w:tabs>
          <w:tab w:leader="none" w:pos="2196" w:val="left"/>
        </w:tabs>
        <w:numPr>
          <w:ilvl w:val="2"/>
          <w:numId w:val="22"/>
        </w:numPr>
        <w:rPr>
          <w:rFonts w:ascii="Arial" w:cs="Arial" w:eastAsia="Arial" w:hAnsi="Arial"/>
          <w:sz w:val="19"/>
          <w:szCs w:val="19"/>
          <w:color w:val="auto"/>
        </w:rPr>
      </w:pPr>
      <w:r>
        <w:rPr>
          <w:rFonts w:ascii="Arial" w:cs="Arial" w:eastAsia="Arial" w:hAnsi="Arial"/>
          <w:sz w:val="19"/>
          <w:szCs w:val="19"/>
          <w:color w:val="auto"/>
        </w:rPr>
        <w:t>each of the representations and warranties set forth in the Margin Loan Agreement are true and correct in all material respects as of the date hereof (unless any such representation or warranty is qualified as to materiality, in which case such representation or warranty is true and correct in all respects as of the date hereof), except to the extent that such representations and warranties expressly relate to an earlier date, in which case they shall be true and correct in all material respects as of such date (unless any such representation or warranty is qualified as to materiality, in which case it shall be true and correct in all respects as of such date), (ii) each Borrower has no material assets other than the Collateral nor any Indebtedness or monetary obligations other than the Obligations under the Margin Loan Documentation or any obligations under routine administrative agreements as expressly permitted under Section 6.14 of the Margin Loan Agreement; and</w:t>
      </w:r>
    </w:p>
    <w:p>
      <w:pPr>
        <w:spacing w:after="0" w:line="2" w:lineRule="exact"/>
        <w:rPr>
          <w:rFonts w:ascii="Arial" w:cs="Arial" w:eastAsia="Arial" w:hAnsi="Arial"/>
          <w:sz w:val="19"/>
          <w:szCs w:val="19"/>
          <w:color w:val="auto"/>
        </w:rPr>
      </w:pPr>
    </w:p>
    <w:p>
      <w:pPr>
        <w:ind w:left="1920" w:right="20" w:hanging="8"/>
        <w:spacing w:after="0" w:line="278" w:lineRule="auto"/>
        <w:tabs>
          <w:tab w:leader="none" w:pos="2308" w:val="left"/>
        </w:tabs>
        <w:numPr>
          <w:ilvl w:val="2"/>
          <w:numId w:val="23"/>
        </w:numPr>
        <w:rPr>
          <w:rFonts w:ascii="Arial" w:cs="Arial" w:eastAsia="Arial" w:hAnsi="Arial"/>
          <w:sz w:val="19"/>
          <w:szCs w:val="19"/>
          <w:color w:val="auto"/>
        </w:rPr>
      </w:pPr>
      <w:r>
        <w:rPr>
          <w:rFonts w:ascii="Arial" w:cs="Arial" w:eastAsia="Arial" w:hAnsi="Arial"/>
          <w:sz w:val="19"/>
          <w:szCs w:val="19"/>
          <w:color w:val="auto"/>
        </w:rPr>
        <w:t>no Collateral Call Trigger Event, no Mandatory Prepayment Event, no Default and no Event of Default and no Facility Adjustment Event has occurred or is continuing as of the date hereof.</w:t>
      </w:r>
    </w:p>
    <w:p>
      <w:pPr>
        <w:spacing w:after="0" w:line="150" w:lineRule="exact"/>
        <w:rPr>
          <w:rFonts w:ascii="Arial" w:cs="Arial" w:eastAsia="Arial" w:hAnsi="Arial"/>
          <w:sz w:val="19"/>
          <w:szCs w:val="19"/>
          <w:color w:val="auto"/>
        </w:rPr>
      </w:pPr>
    </w:p>
    <w:p>
      <w:pPr>
        <w:jc w:val="both"/>
        <w:ind w:left="1920" w:hanging="575"/>
        <w:spacing w:after="0" w:line="252" w:lineRule="auto"/>
        <w:tabs>
          <w:tab w:leader="none" w:pos="1915" w:val="left"/>
        </w:tabs>
        <w:numPr>
          <w:ilvl w:val="0"/>
          <w:numId w:val="24"/>
        </w:numPr>
        <w:rPr>
          <w:rFonts w:ascii="Arial" w:cs="Arial" w:eastAsia="Arial" w:hAnsi="Arial"/>
          <w:sz w:val="19"/>
          <w:szCs w:val="19"/>
          <w:color w:val="auto"/>
        </w:rPr>
      </w:pPr>
      <w:r>
        <w:rPr>
          <w:rFonts w:ascii="Arial" w:cs="Arial" w:eastAsia="Arial" w:hAnsi="Arial"/>
          <w:sz w:val="19"/>
          <w:szCs w:val="19"/>
          <w:color w:val="auto"/>
        </w:rPr>
        <w:t>Each Borrower (i) is duly organized, validly existing and in good standing under the laws of the jurisdiction of its organization, (ii) has all requisite power and authority to enter into, and perform its obligations under this Agreement, and consummate the transactions contemplated hereunder, which have been duly authorized by all necessary action by such Borrower, and (iii) is qualified to do business in, and is in good standing in, every jurisdiction where such qualification is required.</w:t>
      </w:r>
    </w:p>
    <w:p>
      <w:pPr>
        <w:spacing w:after="0" w:line="175" w:lineRule="exact"/>
        <w:rPr>
          <w:rFonts w:ascii="Arial" w:cs="Arial" w:eastAsia="Arial" w:hAnsi="Arial"/>
          <w:sz w:val="19"/>
          <w:szCs w:val="19"/>
          <w:color w:val="auto"/>
        </w:rPr>
      </w:pPr>
    </w:p>
    <w:p>
      <w:pPr>
        <w:jc w:val="both"/>
        <w:ind w:left="1920" w:hanging="575"/>
        <w:spacing w:after="0" w:line="216" w:lineRule="auto"/>
        <w:tabs>
          <w:tab w:leader="none" w:pos="1917"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This Agreement has been duly executed and delivered by each Borrower and constitutes a legal, valid and binding obligation of such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4" w:lineRule="exact"/>
        <w:rPr>
          <w:rFonts w:ascii="Arial" w:cs="Arial" w:eastAsia="Arial" w:hAnsi="Arial"/>
          <w:sz w:val="22"/>
          <w:szCs w:val="22"/>
          <w:color w:val="auto"/>
        </w:rPr>
      </w:pPr>
    </w:p>
    <w:p>
      <w:pPr>
        <w:jc w:val="both"/>
        <w:ind w:left="2020" w:hanging="567"/>
        <w:spacing w:after="0" w:line="214" w:lineRule="auto"/>
        <w:tabs>
          <w:tab w:leader="none" w:pos="2015"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There are no pending or, to each Borrower’s knowledge, threatened actions, claims, complaints, suits, charges, grievances, or proceedings (“Proceedings”) (i) that in the aggregate would materially and adversely affect such Borrower’s ability to perform andsatisfy its obligations under, or in connection with, the Margin Loan Agreement, or (ii) that challenge, or that may have the effect of preventing, delaying, making illegal or otherwise interfering with, the transactions contemplated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US-DOCS\131852904.3</w:t>
      </w:r>
    </w:p>
    <w:p>
      <w:pPr>
        <w:sectPr>
          <w:pgSz w:w="11900" w:h="16838" w:orient="portrait"/>
          <w:cols w:equalWidth="0" w:num="1">
            <w:col w:w="10660"/>
          </w:cols>
          <w:pgMar w:left="360" w:top="1314" w:right="879" w:bottom="1440" w:gutter="0" w:footer="0" w:header="0"/>
        </w:sectPr>
      </w:pPr>
    </w:p>
    <w:bookmarkStart w:id="45" w:name="page46"/>
    <w:bookmarkEnd w:id="45"/>
    <w:p>
      <w:pPr>
        <w:ind w:left="1900" w:hanging="555"/>
        <w:spacing w:after="0"/>
        <w:tabs>
          <w:tab w:leader="none" w:pos="19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Recitals to this Agreement are true and correct in all material respects.</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 xml:space="preserve">SECTION 5: </w:t>
      </w: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12" w:lineRule="exact"/>
        <w:rPr>
          <w:sz w:val="20"/>
          <w:szCs w:val="20"/>
          <w:color w:val="auto"/>
        </w:rPr>
      </w:pPr>
    </w:p>
    <w:p>
      <w:pPr>
        <w:jc w:val="both"/>
        <w:ind w:left="700" w:firstLine="672"/>
        <w:spacing w:after="0" w:line="244" w:lineRule="auto"/>
        <w:tabs>
          <w:tab w:leader="none" w:pos="1912" w:val="left"/>
        </w:tabs>
        <w:numPr>
          <w:ilvl w:val="0"/>
          <w:numId w:val="26"/>
        </w:numPr>
        <w:rPr>
          <w:rFonts w:ascii="Arial" w:cs="Arial" w:eastAsia="Arial" w:hAnsi="Arial"/>
          <w:sz w:val="19"/>
          <w:szCs w:val="19"/>
          <w:color w:val="auto"/>
        </w:rPr>
      </w:pPr>
      <w:r>
        <w:rPr>
          <w:rFonts w:ascii="Arial" w:cs="Arial" w:eastAsia="Arial" w:hAnsi="Arial"/>
          <w:sz w:val="19"/>
          <w:szCs w:val="19"/>
          <w:color w:val="auto"/>
        </w:rPr>
        <w:t>Except as provided hereby, all of the representations, warranties, terms, covenants and conditions of the Margin Loan Agreement and other Margin Loan Documentation shall remain unamended and shall continue to be, and shall remain, in full force and effect in accordance with their respective terms. The provisions set forth herein shall be limited as provided for herein, and shall not be deemed to be a waiver of, amendment to, consent to or modification of any other term or provision of the any Margin Loan Documentation or of any event, condition, or transaction on the part of the Borrowers or any other person that would require the consent of the Administrative Agent or any of the Lenders. The execution, delivery and effectiveness of this Agreement shall not, by implication or otherwise, limit, impair, waive or otherwise affect any right, power or remedy of any Lender under the Margin Loan Agreement or any other Margin Loan Documentation.</w:t>
      </w:r>
    </w:p>
    <w:p>
      <w:pPr>
        <w:spacing w:after="0" w:line="187" w:lineRule="exact"/>
        <w:rPr>
          <w:rFonts w:ascii="Arial" w:cs="Arial" w:eastAsia="Arial" w:hAnsi="Arial"/>
          <w:sz w:val="19"/>
          <w:szCs w:val="19"/>
          <w:color w:val="auto"/>
        </w:rPr>
      </w:pPr>
    </w:p>
    <w:p>
      <w:pPr>
        <w:jc w:val="both"/>
        <w:ind w:left="700" w:right="20" w:firstLine="672"/>
        <w:spacing w:after="0" w:line="229" w:lineRule="auto"/>
        <w:tabs>
          <w:tab w:leader="none" w:pos="1910" w:val="left"/>
        </w:tabs>
        <w:numPr>
          <w:ilvl w:val="0"/>
          <w:numId w:val="26"/>
        </w:numPr>
        <w:rPr>
          <w:rFonts w:ascii="Arial" w:cs="Arial" w:eastAsia="Arial" w:hAnsi="Arial"/>
          <w:sz w:val="21"/>
          <w:szCs w:val="21"/>
          <w:color w:val="auto"/>
        </w:rPr>
      </w:pPr>
      <w:r>
        <w:rPr>
          <w:rFonts w:ascii="Arial" w:cs="Arial" w:eastAsia="Arial" w:hAnsi="Arial"/>
          <w:sz w:val="21"/>
          <w:szCs w:val="21"/>
          <w:color w:val="auto"/>
        </w:rPr>
        <w:t>Each party acknowledges and agrees that the execution and delivery by the Lenders and the Administrative Agent of this Agreement shall not be deemed (i) to create a course of dealing or otherwise obligate any Lender to forbear, waive, consent or execute similar amendments or waivers in the future, or (ii) to amend, relinquish or impair any right of the matter arising from or relating to this Agreement.</w:t>
      </w:r>
    </w:p>
    <w:p>
      <w:pPr>
        <w:spacing w:after="0" w:line="185" w:lineRule="exact"/>
        <w:rPr>
          <w:rFonts w:ascii="Arial" w:cs="Arial" w:eastAsia="Arial" w:hAnsi="Arial"/>
          <w:sz w:val="21"/>
          <w:szCs w:val="21"/>
          <w:color w:val="auto"/>
        </w:rPr>
      </w:pPr>
    </w:p>
    <w:p>
      <w:pPr>
        <w:jc w:val="both"/>
        <w:ind w:left="700" w:firstLine="672"/>
        <w:spacing w:after="0" w:line="216" w:lineRule="auto"/>
        <w:tabs>
          <w:tab w:leader="none" w:pos="1912" w:val="left"/>
        </w:tabs>
        <w:numPr>
          <w:ilvl w:val="0"/>
          <w:numId w:val="26"/>
        </w:numPr>
        <w:rPr>
          <w:rFonts w:ascii="Arial" w:cs="Arial" w:eastAsia="Arial" w:hAnsi="Arial"/>
          <w:sz w:val="22"/>
          <w:szCs w:val="22"/>
          <w:color w:val="auto"/>
        </w:rPr>
      </w:pPr>
      <w:r>
        <w:rPr>
          <w:rFonts w:ascii="Arial" w:cs="Arial" w:eastAsia="Arial" w:hAnsi="Arial"/>
          <w:sz w:val="22"/>
          <w:szCs w:val="22"/>
          <w:color w:val="auto"/>
        </w:rPr>
        <w:t>Notwithstanding the foregoing, the parties hereto agree that the Margin Loan Agreement and all other Margin Loan Documentation shall be deemed to be amended to reflect and give effect to this Agreement and achieve the intended economic and commercial effect thereof. Accordingly, should there be any conflict or inconsistency between the terms of this Agreement and any of the other terms of the Margin Loan Documentation, the terms of this Agreement shall prevail.</w:t>
      </w:r>
    </w:p>
    <w:p>
      <w:pPr>
        <w:spacing w:after="0" w:line="184" w:lineRule="exact"/>
        <w:rPr>
          <w:rFonts w:ascii="Arial" w:cs="Arial" w:eastAsia="Arial" w:hAnsi="Arial"/>
          <w:sz w:val="22"/>
          <w:szCs w:val="22"/>
          <w:color w:val="auto"/>
        </w:rPr>
      </w:pPr>
    </w:p>
    <w:p>
      <w:pPr>
        <w:jc w:val="both"/>
        <w:ind w:left="700" w:firstLine="672"/>
        <w:spacing w:after="0" w:line="218" w:lineRule="auto"/>
        <w:tabs>
          <w:tab w:leader="none" w:pos="191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Governing Law; Submission to Jurisdiction</w:t>
      </w:r>
      <w:r>
        <w:rPr>
          <w:rFonts w:ascii="Arial" w:cs="Arial" w:eastAsia="Arial" w:hAnsi="Arial"/>
          <w:sz w:val="22"/>
          <w:szCs w:val="22"/>
          <w:color w:val="auto"/>
        </w:rPr>
        <w:t>. This Agreement constitutes a “Margin Loan Documentation” entered into in connection with the Margin Loan Agreement. The provisions of Section 9.06 of the Margin Loan Agreement shall apply mutatis mutandis to this Agreement as if such provisions were fully set forth herein.</w:t>
      </w:r>
    </w:p>
    <w:p>
      <w:pPr>
        <w:spacing w:after="0" w:line="187" w:lineRule="exact"/>
        <w:rPr>
          <w:rFonts w:ascii="Arial" w:cs="Arial" w:eastAsia="Arial" w:hAnsi="Arial"/>
          <w:sz w:val="22"/>
          <w:szCs w:val="22"/>
          <w:color w:val="auto"/>
        </w:rPr>
      </w:pPr>
    </w:p>
    <w:p>
      <w:pPr>
        <w:jc w:val="both"/>
        <w:ind w:left="700" w:firstLine="672"/>
        <w:spacing w:after="0" w:line="243" w:lineRule="auto"/>
        <w:tabs>
          <w:tab w:leader="none" w:pos="1912"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Counterparts; Electronic Execution</w:t>
      </w:r>
      <w:r>
        <w:rPr>
          <w:rFonts w:ascii="Arial" w:cs="Arial" w:eastAsia="Arial" w:hAnsi="Arial"/>
          <w:sz w:val="19"/>
          <w:szCs w:val="19"/>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Term Loan A Administrative Agent, or the keeping of records in electronic form, each of which shall be of the same legal effect, validity or enforceability as a manually executed signature or the use of a paper based recordkeeping system, as the case may be, to the extent and as provided for in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color w:val="auto"/>
        </w:rPr>
        <w:t>US-DOCS\131852904.3</w:t>
      </w:r>
    </w:p>
    <w:p>
      <w:pPr>
        <w:sectPr>
          <w:pgSz w:w="11900" w:h="16838" w:orient="portrait"/>
          <w:cols w:equalWidth="0" w:num="1">
            <w:col w:w="10660"/>
          </w:cols>
          <w:pgMar w:left="360" w:top="1320" w:right="879" w:bottom="1440" w:gutter="0" w:footer="0" w:header="0"/>
        </w:sectPr>
      </w:pPr>
    </w:p>
    <w:bookmarkStart w:id="46" w:name="page47"/>
    <w:bookmarkEnd w:id="46"/>
    <w:p>
      <w:pPr>
        <w:spacing w:after="0" w:line="123" w:lineRule="exact"/>
        <w:rPr>
          <w:sz w:val="20"/>
          <w:szCs w:val="20"/>
          <w:color w:val="auto"/>
        </w:rPr>
      </w:pPr>
    </w:p>
    <w:p>
      <w:pPr>
        <w:jc w:val="both"/>
        <w:ind w:left="700"/>
        <w:spacing w:after="0" w:line="223" w:lineRule="auto"/>
        <w:rPr>
          <w:sz w:val="20"/>
          <w:szCs w:val="20"/>
          <w:color w:val="auto"/>
        </w:rPr>
      </w:pPr>
      <w:r>
        <w:rPr>
          <w:rFonts w:ascii="Arial" w:cs="Arial" w:eastAsia="Arial" w:hAnsi="Arial"/>
          <w:sz w:val="22"/>
          <w:szCs w:val="22"/>
          <w:color w:val="auto"/>
        </w:rPr>
        <w:t>any applicable law, including the Federal Electronic Signatures in Global and National Commerce Act, the New York State Electronic Signatures and Records Act, or any other similar state laws based on the Uniform Electronic Transactions Act.</w:t>
      </w:r>
    </w:p>
    <w:p>
      <w:pPr>
        <w:spacing w:after="0" w:line="186"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US-DOCS\131852904.3</w:t>
      </w:r>
    </w:p>
    <w:p>
      <w:pPr>
        <w:sectPr>
          <w:pgSz w:w="11900" w:h="16838" w:orient="portrait"/>
          <w:cols w:equalWidth="0" w:num="1">
            <w:col w:w="10760"/>
          </w:cols>
          <w:pgMar w:left="360" w:top="1440" w:right="77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CANNAE FUNDING C, LLC,</w:t>
      </w:r>
    </w:p>
    <w:p>
      <w:pPr>
        <w:ind w:left="2720"/>
        <w:spacing w:after="0"/>
        <w:rPr>
          <w:sz w:val="20"/>
          <w:szCs w:val="20"/>
          <w:color w:val="auto"/>
        </w:rPr>
      </w:pPr>
      <w:r>
        <w:rPr>
          <w:rFonts w:ascii="Arial" w:cs="Arial" w:eastAsia="Arial" w:hAnsi="Arial"/>
          <w:sz w:val="22"/>
          <w:szCs w:val="22"/>
          <w:color w:val="auto"/>
        </w:rPr>
        <w:t>as Borrower 1</w:t>
      </w:r>
    </w:p>
    <w:p>
      <w:pPr>
        <w:spacing w:after="0" w:line="169"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w:t>
      </w:r>
      <w:r>
        <w:rPr>
          <w:rFonts w:ascii="Arial" w:cs="Arial" w:eastAsia="Arial" w:hAnsi="Arial"/>
          <w:sz w:val="19"/>
          <w:szCs w:val="19"/>
          <w:u w:val="single" w:color="auto"/>
          <w:color w:val="auto"/>
        </w:rPr>
        <w:t>/s/ Bryan D. Coy</w:t>
      </w:r>
      <w:r>
        <w:rPr>
          <w:rFonts w:ascii="Arial" w:cs="Arial" w:eastAsia="Arial" w:hAnsi="Arial"/>
          <w:sz w:val="19"/>
          <w:szCs w:val="19"/>
          <w:color w:val="auto"/>
        </w:rPr>
        <w:t>_________________</w:t>
      </w:r>
    </w:p>
    <w:p>
      <w:pPr>
        <w:ind w:left="3900"/>
        <w:spacing w:after="0" w:line="204" w:lineRule="auto"/>
        <w:rPr>
          <w:sz w:val="20"/>
          <w:szCs w:val="20"/>
          <w:color w:val="auto"/>
        </w:rPr>
      </w:pPr>
      <w:r>
        <w:rPr>
          <w:rFonts w:ascii="Arial" w:cs="Arial" w:eastAsia="Arial" w:hAnsi="Arial"/>
          <w:sz w:val="22"/>
          <w:szCs w:val="22"/>
          <w:color w:val="auto"/>
        </w:rPr>
        <w:t>Name: Bryan D. Coy</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CANNAE FUNDING D, LLC,</w:t>
      </w:r>
    </w:p>
    <w:p>
      <w:pPr>
        <w:ind w:left="2720"/>
        <w:spacing w:after="0"/>
        <w:rPr>
          <w:sz w:val="20"/>
          <w:szCs w:val="20"/>
          <w:color w:val="auto"/>
        </w:rPr>
      </w:pPr>
      <w:r>
        <w:rPr>
          <w:rFonts w:ascii="Arial" w:cs="Arial" w:eastAsia="Arial" w:hAnsi="Arial"/>
          <w:sz w:val="22"/>
          <w:szCs w:val="22"/>
          <w:color w:val="auto"/>
        </w:rPr>
        <w:t>as Borrower 2</w:t>
      </w:r>
    </w:p>
    <w:p>
      <w:pPr>
        <w:spacing w:after="0" w:line="169"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w:t>
      </w:r>
      <w:r>
        <w:rPr>
          <w:rFonts w:ascii="Arial" w:cs="Arial" w:eastAsia="Arial" w:hAnsi="Arial"/>
          <w:sz w:val="19"/>
          <w:szCs w:val="19"/>
          <w:u w:val="single" w:color="auto"/>
          <w:color w:val="auto"/>
        </w:rPr>
        <w:t>/s/ Bryan D. Coy</w:t>
      </w:r>
      <w:r>
        <w:rPr>
          <w:rFonts w:ascii="Arial" w:cs="Arial" w:eastAsia="Arial" w:hAnsi="Arial"/>
          <w:sz w:val="19"/>
          <w:szCs w:val="19"/>
          <w:color w:val="auto"/>
        </w:rPr>
        <w:t>_________________</w:t>
      </w:r>
    </w:p>
    <w:p>
      <w:pPr>
        <w:ind w:left="3900"/>
        <w:spacing w:after="0" w:line="204" w:lineRule="auto"/>
        <w:rPr>
          <w:sz w:val="20"/>
          <w:szCs w:val="20"/>
          <w:color w:val="auto"/>
        </w:rPr>
      </w:pPr>
      <w:r>
        <w:rPr>
          <w:rFonts w:ascii="Arial" w:cs="Arial" w:eastAsia="Arial" w:hAnsi="Arial"/>
          <w:sz w:val="22"/>
          <w:szCs w:val="22"/>
          <w:color w:val="auto"/>
        </w:rPr>
        <w:t>Name: Bryan D. Coy</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Fourth Amendment]</w:t>
      </w:r>
    </w:p>
    <w:p>
      <w:pPr>
        <w:sectPr>
          <w:pgSz w:w="11900" w:h="16838" w:orient="portrait"/>
          <w:cols w:equalWidth="0" w:num="1">
            <w:col w:w="9019"/>
          </w:cols>
          <w:pgMar w:left="1440" w:top="1440" w:right="1440" w:bottom="1440" w:gutter="0" w:footer="0" w:header="0"/>
          <w:type w:val="continuous"/>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ROYAL BANK OF CANADA,</w:t>
      </w:r>
    </w:p>
    <w:p>
      <w:pPr>
        <w:ind w:left="2720"/>
        <w:spacing w:after="0"/>
        <w:rPr>
          <w:sz w:val="20"/>
          <w:szCs w:val="20"/>
          <w:color w:val="auto"/>
        </w:rPr>
      </w:pPr>
      <w:r>
        <w:rPr>
          <w:rFonts w:ascii="Arial" w:cs="Arial" w:eastAsia="Arial" w:hAnsi="Arial"/>
          <w:sz w:val="22"/>
          <w:szCs w:val="22"/>
          <w:color w:val="auto"/>
        </w:rPr>
        <w:t>as Administrative Agent</w:t>
      </w:r>
    </w:p>
    <w:p>
      <w:pPr>
        <w:spacing w:after="0" w:line="169"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w:t>
      </w:r>
      <w:r>
        <w:rPr>
          <w:rFonts w:ascii="Arial" w:cs="Arial" w:eastAsia="Arial" w:hAnsi="Arial"/>
          <w:sz w:val="19"/>
          <w:szCs w:val="19"/>
          <w:u w:val="single" w:color="auto"/>
          <w:color w:val="auto"/>
        </w:rPr>
        <w:t>/s/ Annie Lee</w:t>
      </w:r>
      <w:r>
        <w:rPr>
          <w:rFonts w:ascii="Arial" w:cs="Arial" w:eastAsia="Arial" w:hAnsi="Arial"/>
          <w:sz w:val="19"/>
          <w:szCs w:val="19"/>
          <w:color w:val="auto"/>
        </w:rPr>
        <w:t xml:space="preserve"> _________________</w:t>
      </w:r>
    </w:p>
    <w:p>
      <w:pPr>
        <w:ind w:left="3900"/>
        <w:spacing w:after="0" w:line="204" w:lineRule="auto"/>
        <w:rPr>
          <w:sz w:val="20"/>
          <w:szCs w:val="20"/>
          <w:color w:val="auto"/>
        </w:rPr>
      </w:pPr>
      <w:r>
        <w:rPr>
          <w:rFonts w:ascii="Arial" w:cs="Arial" w:eastAsia="Arial" w:hAnsi="Arial"/>
          <w:sz w:val="22"/>
          <w:szCs w:val="22"/>
          <w:color w:val="auto"/>
        </w:rPr>
        <w:t>Name: Annie Lee</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Title: Manager, Agency Services</w:t>
      </w:r>
    </w:p>
    <w:p>
      <w:pPr>
        <w:spacing w:after="0" w:line="200" w:lineRule="exact"/>
        <w:rPr>
          <w:sz w:val="20"/>
          <w:szCs w:val="20"/>
          <w:color w:val="auto"/>
        </w:rPr>
      </w:pPr>
    </w:p>
    <w:p>
      <w:pPr>
        <w:spacing w:after="0" w:line="247"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ROYAL BANK OF CANADA,</w:t>
      </w:r>
    </w:p>
    <w:p>
      <w:pPr>
        <w:ind w:left="2720"/>
        <w:spacing w:after="0"/>
        <w:rPr>
          <w:sz w:val="20"/>
          <w:szCs w:val="20"/>
          <w:color w:val="auto"/>
        </w:rPr>
      </w:pPr>
      <w:r>
        <w:rPr>
          <w:rFonts w:ascii="Arial" w:cs="Arial" w:eastAsia="Arial" w:hAnsi="Arial"/>
          <w:sz w:val="22"/>
          <w:szCs w:val="22"/>
          <w:color w:val="auto"/>
        </w:rPr>
        <w:t>as Calculation Agent</w:t>
      </w:r>
    </w:p>
    <w:p>
      <w:pPr>
        <w:spacing w:after="0" w:line="169"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w:t>
      </w:r>
      <w:r>
        <w:rPr>
          <w:rFonts w:ascii="Arial" w:cs="Arial" w:eastAsia="Arial" w:hAnsi="Arial"/>
          <w:sz w:val="19"/>
          <w:szCs w:val="19"/>
          <w:u w:val="single" w:color="auto"/>
          <w:color w:val="auto"/>
        </w:rPr>
        <w:t>/s/ Brian Ward</w:t>
      </w:r>
      <w:r>
        <w:rPr>
          <w:rFonts w:ascii="Arial" w:cs="Arial" w:eastAsia="Arial" w:hAnsi="Arial"/>
          <w:sz w:val="19"/>
          <w:szCs w:val="19"/>
          <w:color w:val="auto"/>
        </w:rPr>
        <w:t xml:space="preserve"> _________________</w:t>
      </w:r>
    </w:p>
    <w:p>
      <w:pPr>
        <w:ind w:left="3900"/>
        <w:spacing w:after="0" w:line="204" w:lineRule="auto"/>
        <w:rPr>
          <w:sz w:val="20"/>
          <w:szCs w:val="20"/>
          <w:color w:val="auto"/>
        </w:rPr>
      </w:pPr>
      <w:r>
        <w:rPr>
          <w:rFonts w:ascii="Arial" w:cs="Arial" w:eastAsia="Arial" w:hAnsi="Arial"/>
          <w:sz w:val="22"/>
          <w:szCs w:val="22"/>
          <w:color w:val="auto"/>
        </w:rPr>
        <w:t>Name: Brian Ward</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ROYAL BANK OF CANADA,</w:t>
      </w:r>
    </w:p>
    <w:p>
      <w:pPr>
        <w:ind w:left="2720"/>
        <w:spacing w:after="0"/>
        <w:rPr>
          <w:sz w:val="20"/>
          <w:szCs w:val="20"/>
          <w:color w:val="auto"/>
        </w:rPr>
      </w:pPr>
      <w:r>
        <w:rPr>
          <w:rFonts w:ascii="Arial" w:cs="Arial" w:eastAsia="Arial" w:hAnsi="Arial"/>
          <w:sz w:val="22"/>
          <w:szCs w:val="22"/>
          <w:color w:val="auto"/>
        </w:rPr>
        <w:t>as Lender</w:t>
      </w:r>
    </w:p>
    <w:p>
      <w:pPr>
        <w:spacing w:after="0" w:line="169"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w:t>
      </w:r>
      <w:r>
        <w:rPr>
          <w:rFonts w:ascii="Arial" w:cs="Arial" w:eastAsia="Arial" w:hAnsi="Arial"/>
          <w:sz w:val="19"/>
          <w:szCs w:val="19"/>
          <w:u w:val="single" w:color="auto"/>
          <w:color w:val="auto"/>
        </w:rPr>
        <w:t>/s/ Glenn Van Allen</w:t>
      </w:r>
      <w:r>
        <w:rPr>
          <w:rFonts w:ascii="Arial" w:cs="Arial" w:eastAsia="Arial" w:hAnsi="Arial"/>
          <w:sz w:val="19"/>
          <w:szCs w:val="19"/>
          <w:color w:val="auto"/>
        </w:rPr>
        <w:t>______________</w:t>
      </w:r>
    </w:p>
    <w:p>
      <w:pPr>
        <w:ind w:left="3900"/>
        <w:spacing w:after="0" w:line="204" w:lineRule="auto"/>
        <w:rPr>
          <w:sz w:val="20"/>
          <w:szCs w:val="20"/>
          <w:color w:val="auto"/>
        </w:rPr>
      </w:pPr>
      <w:r>
        <w:rPr>
          <w:rFonts w:ascii="Arial" w:cs="Arial" w:eastAsia="Arial" w:hAnsi="Arial"/>
          <w:sz w:val="22"/>
          <w:szCs w:val="22"/>
          <w:color w:val="auto"/>
        </w:rPr>
        <w:t>Name: Glenn Van Allen</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Authorized Signatory</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Fourth Amendment]</w:t>
      </w:r>
    </w:p>
    <w:p>
      <w:pPr>
        <w:sectPr>
          <w:pgSz w:w="11900" w:h="16838" w:orient="portrait"/>
          <w:cols w:equalWidth="0" w:num="1">
            <w:col w:w="9019"/>
          </w:cols>
          <w:pgMar w:left="1440" w:top="1440" w:right="1440" w:bottom="1440" w:gutter="0" w:footer="0" w:header="0"/>
          <w:type w:val="continuous"/>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JPMORGAN CHASE BANK, N.A.,</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Lender</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w:t>
      </w:r>
      <w:r>
        <w:rPr>
          <w:rFonts w:ascii="Arial" w:cs="Arial" w:eastAsia="Arial" w:hAnsi="Arial"/>
          <w:sz w:val="19"/>
          <w:szCs w:val="19"/>
          <w:u w:val="single" w:color="auto"/>
          <w:color w:val="auto"/>
        </w:rPr>
        <w:t>/s/ Jeffrey Davidovitch</w:t>
      </w:r>
      <w:r>
        <w:rPr>
          <w:rFonts w:ascii="Arial" w:cs="Arial" w:eastAsia="Arial" w:hAnsi="Arial"/>
          <w:sz w:val="19"/>
          <w:szCs w:val="19"/>
          <w:color w:val="auto"/>
        </w:rPr>
        <w:t xml:space="preserve"> ___________</w:t>
      </w:r>
    </w:p>
    <w:p>
      <w:pPr>
        <w:ind w:left="3820"/>
        <w:spacing w:after="0" w:line="204" w:lineRule="auto"/>
        <w:rPr>
          <w:sz w:val="20"/>
          <w:szCs w:val="20"/>
          <w:color w:val="auto"/>
        </w:rPr>
      </w:pPr>
      <w:r>
        <w:rPr>
          <w:rFonts w:ascii="Arial" w:cs="Arial" w:eastAsia="Arial" w:hAnsi="Arial"/>
          <w:sz w:val="22"/>
          <w:szCs w:val="22"/>
          <w:color w:val="auto"/>
        </w:rPr>
        <w:t>Name: Jeffrey Davidovitch</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Title: Managing Director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Fourth Amendment]</w:t>
      </w:r>
    </w:p>
    <w:p>
      <w:pPr>
        <w:sectPr>
          <w:pgSz w:w="11900" w:h="16838" w:orient="portrait"/>
          <w:cols w:equalWidth="0" w:num="1">
            <w:col w:w="9019"/>
          </w:cols>
          <w:pgMar w:left="1440" w:top="1440" w:right="1440" w:bottom="1440" w:gutter="0" w:footer="0" w:header="0"/>
          <w:type w:val="continuous"/>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BANK OF AMERICA, N.A.,</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Lender</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w:t>
      </w:r>
      <w:r>
        <w:rPr>
          <w:rFonts w:ascii="Arial" w:cs="Arial" w:eastAsia="Arial" w:hAnsi="Arial"/>
          <w:sz w:val="19"/>
          <w:szCs w:val="19"/>
          <w:u w:val="single" w:color="auto"/>
          <w:color w:val="auto"/>
        </w:rPr>
        <w:t>/s/ Aurelien Bonnet</w:t>
      </w:r>
      <w:r>
        <w:rPr>
          <w:rFonts w:ascii="Arial" w:cs="Arial" w:eastAsia="Arial" w:hAnsi="Arial"/>
          <w:sz w:val="19"/>
          <w:szCs w:val="19"/>
          <w:color w:val="auto"/>
        </w:rPr>
        <w:t xml:space="preserve"> ___________</w:t>
      </w:r>
    </w:p>
    <w:p>
      <w:pPr>
        <w:ind w:left="3820"/>
        <w:spacing w:after="0" w:line="204" w:lineRule="auto"/>
        <w:rPr>
          <w:sz w:val="20"/>
          <w:szCs w:val="20"/>
          <w:color w:val="auto"/>
        </w:rPr>
      </w:pPr>
      <w:r>
        <w:rPr>
          <w:rFonts w:ascii="Arial" w:cs="Arial" w:eastAsia="Arial" w:hAnsi="Arial"/>
          <w:sz w:val="22"/>
          <w:szCs w:val="22"/>
          <w:color w:val="auto"/>
        </w:rPr>
        <w:t>Name: Aurelien Bonnet</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Title: Director - Authorized Signatory</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Fourth Amendment]</w:t>
      </w:r>
    </w:p>
    <w:p>
      <w:pPr>
        <w:sectPr>
          <w:pgSz w:w="11900" w:h="16838" w:orient="portrait"/>
          <w:cols w:equalWidth="0" w:num="1">
            <w:col w:w="9019"/>
          </w:cols>
          <w:pgMar w:left="1440" w:top="1440" w:right="1440" w:bottom="1440" w:gutter="0" w:footer="0" w:header="0"/>
          <w:type w:val="continuous"/>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780"/>
        <w:spacing w:after="0"/>
        <w:rPr>
          <w:sz w:val="20"/>
          <w:szCs w:val="20"/>
          <w:color w:val="auto"/>
        </w:rPr>
      </w:pPr>
      <w:r>
        <w:rPr>
          <w:rFonts w:ascii="Arial" w:cs="Arial" w:eastAsia="Arial" w:hAnsi="Arial"/>
          <w:sz w:val="21"/>
          <w:szCs w:val="21"/>
          <w:b w:val="1"/>
          <w:bCs w:val="1"/>
          <w:color w:val="auto"/>
        </w:rPr>
        <w:t>CREDIT SUISSE AG, CAYMAN ISLANDS</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BRANCH,</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Lender</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w:t>
      </w:r>
      <w:r>
        <w:rPr>
          <w:rFonts w:ascii="Arial" w:cs="Arial" w:eastAsia="Arial" w:hAnsi="Arial"/>
          <w:sz w:val="19"/>
          <w:szCs w:val="19"/>
          <w:u w:val="single" w:color="auto"/>
          <w:color w:val="auto"/>
        </w:rPr>
        <w:t>/s/ Tucker Martin</w:t>
      </w:r>
      <w:r>
        <w:rPr>
          <w:rFonts w:ascii="Arial" w:cs="Arial" w:eastAsia="Arial" w:hAnsi="Arial"/>
          <w:sz w:val="19"/>
          <w:szCs w:val="19"/>
          <w:color w:val="auto"/>
        </w:rPr>
        <w:t xml:space="preserve"> ___________</w:t>
      </w:r>
    </w:p>
    <w:p>
      <w:pPr>
        <w:ind w:left="3820"/>
        <w:spacing w:after="0" w:line="204" w:lineRule="auto"/>
        <w:rPr>
          <w:sz w:val="20"/>
          <w:szCs w:val="20"/>
          <w:color w:val="auto"/>
        </w:rPr>
      </w:pPr>
      <w:r>
        <w:rPr>
          <w:rFonts w:ascii="Arial" w:cs="Arial" w:eastAsia="Arial" w:hAnsi="Arial"/>
          <w:sz w:val="22"/>
          <w:szCs w:val="22"/>
          <w:color w:val="auto"/>
        </w:rPr>
        <w:t>Name: Tucker Martin</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Title: Authorized Signatory</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w:t>
      </w:r>
      <w:r>
        <w:rPr>
          <w:rFonts w:ascii="Arial" w:cs="Arial" w:eastAsia="Arial" w:hAnsi="Arial"/>
          <w:sz w:val="19"/>
          <w:szCs w:val="19"/>
          <w:u w:val="single" w:color="auto"/>
          <w:color w:val="auto"/>
        </w:rPr>
        <w:t>/s/ Will Brett</w:t>
      </w:r>
      <w:r>
        <w:rPr>
          <w:rFonts w:ascii="Arial" w:cs="Arial" w:eastAsia="Arial" w:hAnsi="Arial"/>
          <w:sz w:val="19"/>
          <w:szCs w:val="19"/>
          <w:color w:val="auto"/>
        </w:rPr>
        <w:t xml:space="preserve"> ___________</w:t>
      </w:r>
    </w:p>
    <w:p>
      <w:pPr>
        <w:ind w:left="3820"/>
        <w:spacing w:after="0" w:line="204" w:lineRule="auto"/>
        <w:rPr>
          <w:sz w:val="20"/>
          <w:szCs w:val="20"/>
          <w:color w:val="auto"/>
        </w:rPr>
      </w:pPr>
      <w:r>
        <w:rPr>
          <w:rFonts w:ascii="Arial" w:cs="Arial" w:eastAsia="Arial" w:hAnsi="Arial"/>
          <w:sz w:val="22"/>
          <w:szCs w:val="22"/>
          <w:color w:val="auto"/>
        </w:rPr>
        <w:t>Name: Will Brett</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Fourth Amendment]</w:t>
      </w:r>
    </w:p>
    <w:p>
      <w:pPr>
        <w:sectPr>
          <w:pgSz w:w="11900" w:h="16838" w:orient="portrait"/>
          <w:cols w:equalWidth="0" w:num="1">
            <w:col w:w="9019"/>
          </w:cols>
          <w:pgMar w:left="1440" w:top="1440" w:right="1440"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Annex I</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Margin Loan Agreement</w:t>
      </w:r>
    </w:p>
    <w:p>
      <w:pPr>
        <w:sectPr>
          <w:pgSz w:w="11900" w:h="16838" w:orient="portrait"/>
          <w:cols w:equalWidth="0" w:num="1">
            <w:col w:w="9019"/>
          </w:cols>
          <w:pgMar w:left="1440" w:top="1395" w:right="1440"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MARGIN LOAN AGREEMENT</w:t>
      </w:r>
    </w:p>
    <w:p>
      <w:pPr>
        <w:spacing w:after="0" w:line="185" w:lineRule="exact"/>
        <w:rPr>
          <w:sz w:val="20"/>
          <w:szCs w:val="20"/>
          <w:color w:val="auto"/>
        </w:rPr>
      </w:pPr>
    </w:p>
    <w:p>
      <w:pPr>
        <w:jc w:val="center"/>
        <w:spacing w:after="0" w:line="218" w:lineRule="auto"/>
        <w:rPr>
          <w:sz w:val="20"/>
          <w:szCs w:val="20"/>
          <w:color w:val="auto"/>
        </w:rPr>
      </w:pPr>
      <w:r>
        <w:rPr>
          <w:rFonts w:ascii="Arial" w:cs="Arial" w:eastAsia="Arial" w:hAnsi="Arial"/>
          <w:sz w:val="22"/>
          <w:szCs w:val="22"/>
          <w:color w:val="auto"/>
        </w:rPr>
        <w:t>Composite copy of the Margin Loan Agreement, dated as of November 30, 2020, incorporating Amendment No. 1 to the Margin Loan Agreement, dated as of August 16, 2021, Amendment No. 2 to the Margin Loan Agreement, dated as of December 10, 2021, Amendment No. 3 to the Margin Loan Agreement, dated as of January 19, 2022 and Amendment No. 4 to the Margin Loan Agreement, dated as of May 12, 2022, by and among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CANNAE FUNDING C, LLC,</w:t>
      </w:r>
    </w:p>
    <w:p>
      <w:pPr>
        <w:jc w:val="center"/>
        <w:spacing w:after="0"/>
        <w:rPr>
          <w:sz w:val="20"/>
          <w:szCs w:val="20"/>
          <w:color w:val="auto"/>
        </w:rPr>
      </w:pPr>
      <w:r>
        <w:rPr>
          <w:rFonts w:ascii="Arial" w:cs="Arial" w:eastAsia="Arial" w:hAnsi="Arial"/>
          <w:sz w:val="22"/>
          <w:szCs w:val="22"/>
          <w:b w:val="1"/>
          <w:bCs w:val="1"/>
          <w:i w:val="1"/>
          <w:iCs w:val="1"/>
          <w:color w:val="auto"/>
        </w:rPr>
        <w:t>as Borrower 1,</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CANNAE FUNDING D, LLC,</w:t>
      </w:r>
    </w:p>
    <w:p>
      <w:pPr>
        <w:jc w:val="center"/>
        <w:spacing w:after="0"/>
        <w:rPr>
          <w:sz w:val="20"/>
          <w:szCs w:val="20"/>
          <w:color w:val="auto"/>
        </w:rPr>
      </w:pPr>
      <w:r>
        <w:rPr>
          <w:rFonts w:ascii="Arial" w:cs="Arial" w:eastAsia="Arial" w:hAnsi="Arial"/>
          <w:sz w:val="22"/>
          <w:szCs w:val="22"/>
          <w:b w:val="1"/>
          <w:bCs w:val="1"/>
          <w:i w:val="1"/>
          <w:iCs w:val="1"/>
          <w:color w:val="auto"/>
        </w:rPr>
        <w:t>as Borrower 2,</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ROYAL BANK OF CANADA,</w:t>
      </w:r>
    </w:p>
    <w:p>
      <w:pPr>
        <w:jc w:val="center"/>
        <w:spacing w:after="0"/>
        <w:rPr>
          <w:sz w:val="20"/>
          <w:szCs w:val="20"/>
          <w:color w:val="auto"/>
        </w:rPr>
      </w:pPr>
      <w:r>
        <w:rPr>
          <w:rFonts w:ascii="Arial" w:cs="Arial" w:eastAsia="Arial" w:hAnsi="Arial"/>
          <w:sz w:val="22"/>
          <w:szCs w:val="22"/>
          <w:b w:val="1"/>
          <w:bCs w:val="1"/>
          <w:i w:val="1"/>
          <w:iCs w:val="1"/>
          <w:color w:val="auto"/>
        </w:rPr>
        <w:t>as Administrative Agent</w:t>
      </w:r>
      <w:r>
        <w:rPr>
          <w:rFonts w:ascii="Arial" w:cs="Arial" w:eastAsia="Arial" w:hAnsi="Arial"/>
          <w:sz w:val="22"/>
          <w:szCs w:val="22"/>
          <w:b w:val="1"/>
          <w:bCs w:val="1"/>
          <w:color w:val="auto"/>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ROYAL BANK OF CANADA</w:t>
      </w:r>
    </w:p>
    <w:p>
      <w:pPr>
        <w:jc w:val="center"/>
        <w:spacing w:after="0"/>
        <w:rPr>
          <w:sz w:val="20"/>
          <w:szCs w:val="20"/>
          <w:color w:val="auto"/>
        </w:rPr>
      </w:pPr>
      <w:r>
        <w:rPr>
          <w:rFonts w:ascii="Arial" w:cs="Arial" w:eastAsia="Arial" w:hAnsi="Arial"/>
          <w:sz w:val="22"/>
          <w:szCs w:val="22"/>
          <w:b w:val="1"/>
          <w:bCs w:val="1"/>
          <w:i w:val="1"/>
          <w:iCs w:val="1"/>
          <w:color w:val="auto"/>
        </w:rPr>
        <w:t>as Calculation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and the Lenders 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80" w:type="dxa"/>
            <w:vAlign w:val="bottom"/>
            <w:gridSpan w:val="6"/>
          </w:tcPr>
          <w:p>
            <w:pPr>
              <w:ind w:left="240"/>
              <w:spacing w:after="0"/>
              <w:rPr>
                <w:sz w:val="20"/>
                <w:szCs w:val="20"/>
                <w:color w:val="auto"/>
              </w:rPr>
            </w:pPr>
            <w:r>
              <w:rPr>
                <w:rFonts w:ascii="Arial" w:cs="Arial" w:eastAsia="Arial" w:hAnsi="Arial"/>
                <w:sz w:val="22"/>
                <w:szCs w:val="22"/>
                <w:color w:val="auto"/>
              </w:rPr>
              <w:t>TABLE OF CONTENTS</w:t>
            </w: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32"/>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gridSpan w:val="4"/>
          </w:tcPr>
          <w:p>
            <w:pPr>
              <w:ind w:left="1060"/>
              <w:spacing w:after="0"/>
              <w:rPr>
                <w:sz w:val="20"/>
                <w:szCs w:val="20"/>
                <w:color w:val="auto"/>
              </w:rPr>
            </w:pPr>
            <w:r>
              <w:rPr>
                <w:rFonts w:ascii="Arial" w:cs="Arial" w:eastAsia="Arial" w:hAnsi="Arial"/>
                <w:sz w:val="22"/>
                <w:szCs w:val="22"/>
                <w:color w:val="auto"/>
                <w:w w:val="77"/>
              </w:rPr>
              <w:t>Page</w:t>
            </w:r>
          </w:p>
        </w:tc>
      </w:tr>
      <w:tr>
        <w:trPr>
          <w:trHeight w:val="435"/>
        </w:trPr>
        <w:tc>
          <w:tcPr>
            <w:tcW w:w="9680" w:type="dxa"/>
            <w:vAlign w:val="bottom"/>
            <w:gridSpan w:val="31"/>
          </w:tcPr>
          <w:p>
            <w:pPr>
              <w:spacing w:after="0"/>
              <w:rPr>
                <w:rFonts w:ascii="Arial" w:cs="Arial" w:eastAsia="Arial" w:hAnsi="Arial"/>
                <w:sz w:val="22"/>
                <w:szCs w:val="22"/>
                <w:color w:val="0000FF"/>
              </w:rPr>
            </w:pPr>
            <w:hyperlink w:anchor="page59">
              <w:r>
                <w:rPr>
                  <w:rFonts w:ascii="Arial" w:cs="Arial" w:eastAsia="Arial" w:hAnsi="Arial"/>
                  <w:sz w:val="22"/>
                  <w:szCs w:val="22"/>
                  <w:color w:val="0000FF"/>
                </w:rPr>
                <w:t>Article 1 Definitions And Accounting Terms</w:t>
              </w:r>
            </w:hyperlink>
          </w:p>
        </w:tc>
        <w:tc>
          <w:tcPr>
            <w:tcW w:w="1480" w:type="dxa"/>
            <w:vAlign w:val="bottom"/>
            <w:gridSpan w:val="4"/>
          </w:tcPr>
          <w:p>
            <w:pPr>
              <w:jc w:val="right"/>
              <w:ind w:right="60"/>
              <w:spacing w:after="0"/>
              <w:rPr>
                <w:rFonts w:ascii="Arial" w:cs="Arial" w:eastAsia="Arial" w:hAnsi="Arial"/>
                <w:sz w:val="22"/>
                <w:szCs w:val="22"/>
                <w:color w:val="0000FF"/>
              </w:rPr>
            </w:pPr>
            <w:hyperlink w:anchor="page59">
              <w:r>
                <w:rPr>
                  <w:rFonts w:ascii="Arial" w:cs="Arial" w:eastAsia="Arial" w:hAnsi="Arial"/>
                  <w:sz w:val="22"/>
                  <w:szCs w:val="22"/>
                  <w:color w:val="0000FF"/>
                </w:rPr>
                <w:t>1</w:t>
              </w:r>
            </w:hyperlink>
          </w:p>
        </w:tc>
      </w:tr>
      <w:tr>
        <w:trPr>
          <w:trHeight w:val="250"/>
        </w:trPr>
        <w:tc>
          <w:tcPr>
            <w:tcW w:w="3280" w:type="dxa"/>
            <w:vAlign w:val="bottom"/>
            <w:tcBorders>
              <w:top w:val="single" w:sz="8" w:color="0000FF"/>
              <w:bottom w:val="single" w:sz="8" w:color="0000FF"/>
            </w:tcBorders>
            <w:gridSpan w:val="15"/>
          </w:tcPr>
          <w:p>
            <w:pPr>
              <w:spacing w:after="0" w:line="250" w:lineRule="exact"/>
              <w:rPr>
                <w:rFonts w:ascii="Arial" w:cs="Arial" w:eastAsia="Arial" w:hAnsi="Arial"/>
                <w:sz w:val="22"/>
                <w:szCs w:val="22"/>
                <w:color w:val="0000FF"/>
                <w:w w:val="91"/>
              </w:rPr>
            </w:pPr>
            <w:hyperlink w:anchor="page59">
              <w:r>
                <w:rPr>
                  <w:rFonts w:ascii="Arial" w:cs="Arial" w:eastAsia="Arial" w:hAnsi="Arial"/>
                  <w:sz w:val="22"/>
                  <w:szCs w:val="22"/>
                  <w:color w:val="0000FF"/>
                  <w:w w:val="91"/>
                </w:rPr>
                <w:t>Section 1.01  Certain Defined Terms</w:t>
              </w:r>
            </w:hyperlink>
          </w:p>
        </w:tc>
        <w:tc>
          <w:tcPr>
            <w:tcW w:w="580" w:type="dxa"/>
            <w:vAlign w:val="bottom"/>
            <w:tcBorders>
              <w:top w:val="single" w:sz="8" w:color="0000FF"/>
            </w:tcBorders>
            <w:gridSpan w:val="9"/>
          </w:tcPr>
          <w:p>
            <w:pPr>
              <w:spacing w:after="0"/>
              <w:rPr>
                <w:sz w:val="21"/>
                <w:szCs w:val="21"/>
                <w:color w:val="auto"/>
              </w:rPr>
            </w:pPr>
          </w:p>
        </w:tc>
        <w:tc>
          <w:tcPr>
            <w:tcW w:w="5820" w:type="dxa"/>
            <w:vAlign w:val="bottom"/>
            <w:gridSpan w:val="7"/>
          </w:tcPr>
          <w:p>
            <w:pPr>
              <w:spacing w:after="0"/>
              <w:rPr>
                <w:sz w:val="21"/>
                <w:szCs w:val="21"/>
                <w:color w:val="auto"/>
              </w:rPr>
            </w:pPr>
          </w:p>
        </w:tc>
        <w:tc>
          <w:tcPr>
            <w:tcW w:w="1300" w:type="dxa"/>
            <w:vAlign w:val="bottom"/>
            <w:gridSpan w:val="2"/>
          </w:tcPr>
          <w:p>
            <w:pPr>
              <w:spacing w:after="0"/>
              <w:rPr>
                <w:sz w:val="21"/>
                <w:szCs w:val="21"/>
                <w:color w:val="auto"/>
              </w:rPr>
            </w:pPr>
          </w:p>
        </w:tc>
        <w:tc>
          <w:tcPr>
            <w:tcW w:w="120" w:type="dxa"/>
            <w:vAlign w:val="bottom"/>
            <w:tcBorders>
              <w:top w:val="single" w:sz="8" w:color="0000FF"/>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1</w:t>
              </w:r>
            </w:hyperlink>
          </w:p>
        </w:tc>
        <w:tc>
          <w:tcPr>
            <w:tcW w:w="60" w:type="dxa"/>
            <w:vAlign w:val="bottom"/>
          </w:tcPr>
          <w:p>
            <w:pPr>
              <w:spacing w:after="0"/>
              <w:rPr>
                <w:sz w:val="21"/>
                <w:szCs w:val="21"/>
                <w:color w:val="auto"/>
              </w:rPr>
            </w:pPr>
          </w:p>
        </w:tc>
      </w:tr>
      <w:tr>
        <w:trPr>
          <w:trHeight w:val="250"/>
        </w:trPr>
        <w:tc>
          <w:tcPr>
            <w:tcW w:w="1080" w:type="dxa"/>
            <w:vAlign w:val="bottom"/>
          </w:tcPr>
          <w:p>
            <w:pPr>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Section 1.02</w:t>
              </w:r>
            </w:hyperlink>
          </w:p>
        </w:tc>
        <w:tc>
          <w:tcPr>
            <w:tcW w:w="8600" w:type="dxa"/>
            <w:vAlign w:val="bottom"/>
            <w:gridSpan w:val="30"/>
          </w:tcPr>
          <w:p>
            <w:pPr>
              <w:ind w:left="2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Times Of Day</w:t>
              </w:r>
            </w:hyperlink>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36</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Section 1.03</w:t>
              </w:r>
            </w:hyperlink>
          </w:p>
        </w:tc>
        <w:tc>
          <w:tcPr>
            <w:tcW w:w="1660" w:type="dxa"/>
            <w:vAlign w:val="bottom"/>
            <w:gridSpan w:val="9"/>
          </w:tcPr>
          <w:p>
            <w:pPr>
              <w:ind w:left="220"/>
              <w:spacing w:after="0" w:line="250" w:lineRule="exact"/>
              <w:rPr>
                <w:rFonts w:ascii="Arial" w:cs="Arial" w:eastAsia="Arial" w:hAnsi="Arial"/>
                <w:sz w:val="22"/>
                <w:szCs w:val="22"/>
                <w:color w:val="0000FF"/>
                <w:w w:val="87"/>
              </w:rPr>
            </w:pPr>
            <w:hyperlink w:anchor="page59">
              <w:r>
                <w:rPr>
                  <w:rFonts w:ascii="Arial" w:cs="Arial" w:eastAsia="Arial" w:hAnsi="Arial"/>
                  <w:sz w:val="22"/>
                  <w:szCs w:val="22"/>
                  <w:color w:val="0000FF"/>
                  <w:w w:val="87"/>
                </w:rPr>
                <w:t>Terms Generally</w:t>
              </w:r>
            </w:hyperlink>
          </w:p>
        </w:tc>
        <w:tc>
          <w:tcPr>
            <w:tcW w:w="6940" w:type="dxa"/>
            <w:vAlign w:val="bottom"/>
            <w:gridSpan w:val="21"/>
          </w:tcPr>
          <w:p>
            <w:pPr>
              <w:spacing w:after="0"/>
              <w:rPr>
                <w:sz w:val="21"/>
                <w:szCs w:val="21"/>
                <w:color w:val="auto"/>
              </w:rPr>
            </w:pP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36</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600" w:type="dxa"/>
            <w:vAlign w:val="bottom"/>
            <w:gridSpan w:val="20"/>
          </w:tcPr>
          <w:p>
            <w:pPr>
              <w:spacing w:after="0" w:line="250" w:lineRule="exact"/>
              <w:rPr>
                <w:rFonts w:ascii="Arial" w:cs="Arial" w:eastAsia="Arial" w:hAnsi="Arial"/>
                <w:sz w:val="22"/>
                <w:szCs w:val="22"/>
                <w:color w:val="0000FF"/>
                <w:w w:val="92"/>
              </w:rPr>
            </w:pPr>
            <w:hyperlink w:anchor="page59">
              <w:r>
                <w:rPr>
                  <w:rFonts w:ascii="Arial" w:cs="Arial" w:eastAsia="Arial" w:hAnsi="Arial"/>
                  <w:sz w:val="22"/>
                  <w:szCs w:val="22"/>
                  <w:color w:val="0000FF"/>
                  <w:w w:val="92"/>
                </w:rPr>
                <w:t>Section 1.04  Accounting Terms; GAAP</w:t>
              </w:r>
            </w:hyperlink>
          </w:p>
        </w:tc>
        <w:tc>
          <w:tcPr>
            <w:tcW w:w="6080" w:type="dxa"/>
            <w:vAlign w:val="bottom"/>
            <w:gridSpan w:val="11"/>
          </w:tcPr>
          <w:p>
            <w:pPr>
              <w:spacing w:after="0"/>
              <w:rPr>
                <w:sz w:val="21"/>
                <w:szCs w:val="21"/>
                <w:color w:val="auto"/>
              </w:rPr>
            </w:pP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37</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Section 1.05</w:t>
              </w:r>
            </w:hyperlink>
          </w:p>
        </w:tc>
        <w:tc>
          <w:tcPr>
            <w:tcW w:w="2520" w:type="dxa"/>
            <w:vAlign w:val="bottom"/>
            <w:gridSpan w:val="19"/>
          </w:tcPr>
          <w:p>
            <w:pPr>
              <w:ind w:left="2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Benchmark Notification</w:t>
              </w:r>
            </w:hyperlink>
          </w:p>
        </w:tc>
        <w:tc>
          <w:tcPr>
            <w:tcW w:w="6080" w:type="dxa"/>
            <w:vAlign w:val="bottom"/>
            <w:gridSpan w:val="11"/>
          </w:tcPr>
          <w:p>
            <w:pPr>
              <w:spacing w:after="0"/>
              <w:rPr>
                <w:sz w:val="21"/>
                <w:szCs w:val="21"/>
                <w:color w:val="auto"/>
              </w:rPr>
            </w:pP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37</w:t>
              </w:r>
            </w:hyperlink>
          </w:p>
        </w:tc>
      </w:tr>
      <w:tr>
        <w:trPr>
          <w:trHeight w:val="20"/>
        </w:trPr>
        <w:tc>
          <w:tcPr>
            <w:tcW w:w="1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200" w:type="dxa"/>
            <w:vAlign w:val="bottom"/>
            <w:gridSpan w:val="25"/>
          </w:tcPr>
          <w:p>
            <w:pPr>
              <w:spacing w:after="0" w:line="250" w:lineRule="exact"/>
              <w:rPr>
                <w:rFonts w:ascii="Arial" w:cs="Arial" w:eastAsia="Arial" w:hAnsi="Arial"/>
                <w:sz w:val="22"/>
                <w:szCs w:val="22"/>
                <w:color w:val="0000FF"/>
                <w:w w:val="90"/>
              </w:rPr>
            </w:pPr>
            <w:hyperlink w:anchor="page59">
              <w:r>
                <w:rPr>
                  <w:rFonts w:ascii="Arial" w:cs="Arial" w:eastAsia="Arial" w:hAnsi="Arial"/>
                  <w:sz w:val="22"/>
                  <w:szCs w:val="22"/>
                  <w:color w:val="0000FF"/>
                  <w:w w:val="90"/>
                </w:rPr>
                <w:t>Article 2 Amounts And Terms Of The Advances</w:t>
              </w:r>
            </w:hyperlink>
          </w:p>
        </w:tc>
        <w:tc>
          <w:tcPr>
            <w:tcW w:w="5480" w:type="dxa"/>
            <w:vAlign w:val="bottom"/>
            <w:gridSpan w:val="6"/>
          </w:tcPr>
          <w:p>
            <w:pPr>
              <w:spacing w:after="0"/>
              <w:rPr>
                <w:sz w:val="21"/>
                <w:szCs w:val="21"/>
                <w:color w:val="auto"/>
              </w:rPr>
            </w:pP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38</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Section 2.01</w:t>
              </w:r>
            </w:hyperlink>
          </w:p>
        </w:tc>
        <w:tc>
          <w:tcPr>
            <w:tcW w:w="1460" w:type="dxa"/>
            <w:vAlign w:val="bottom"/>
            <w:gridSpan w:val="7"/>
          </w:tcPr>
          <w:p>
            <w:pPr>
              <w:ind w:left="220"/>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The Advances</w:t>
              </w:r>
            </w:hyperlink>
          </w:p>
        </w:tc>
        <w:tc>
          <w:tcPr>
            <w:tcW w:w="1660" w:type="dxa"/>
            <w:vAlign w:val="bottom"/>
            <w:gridSpan w:val="17"/>
          </w:tcPr>
          <w:p>
            <w:pPr>
              <w:spacing w:after="0"/>
              <w:rPr>
                <w:sz w:val="21"/>
                <w:szCs w:val="21"/>
                <w:color w:val="auto"/>
              </w:rPr>
            </w:pPr>
          </w:p>
        </w:tc>
        <w:tc>
          <w:tcPr>
            <w:tcW w:w="5480" w:type="dxa"/>
            <w:vAlign w:val="bottom"/>
            <w:gridSpan w:val="6"/>
          </w:tcPr>
          <w:p>
            <w:pPr>
              <w:spacing w:after="0"/>
              <w:rPr>
                <w:sz w:val="21"/>
                <w:szCs w:val="21"/>
                <w:color w:val="auto"/>
              </w:rPr>
            </w:pP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38</w:t>
              </w:r>
            </w:hyperlink>
          </w:p>
        </w:tc>
      </w:tr>
      <w:tr>
        <w:trPr>
          <w:trHeight w:val="20"/>
        </w:trPr>
        <w:tc>
          <w:tcPr>
            <w:tcW w:w="1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680" w:type="dxa"/>
            <w:vAlign w:val="bottom"/>
            <w:gridSpan w:val="31"/>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2.02  Requests For Advances.</w:t>
              </w:r>
            </w:hyperlink>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39</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680" w:type="dxa"/>
            <w:vAlign w:val="bottom"/>
            <w:gridSpan w:val="31"/>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2.03  Termination Of Agreement and Facility</w:t>
              </w:r>
            </w:hyperlink>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39</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720" w:type="dxa"/>
            <w:vAlign w:val="bottom"/>
            <w:gridSpan w:val="27"/>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2.04  Repayment Of Advances</w:t>
              </w:r>
            </w:hyperlink>
          </w:p>
        </w:tc>
        <w:tc>
          <w:tcPr>
            <w:tcW w:w="4960" w:type="dxa"/>
            <w:vAlign w:val="bottom"/>
            <w:gridSpan w:val="4"/>
          </w:tcPr>
          <w:p>
            <w:pPr>
              <w:spacing w:after="0"/>
              <w:rPr>
                <w:sz w:val="21"/>
                <w:szCs w:val="21"/>
                <w:color w:val="auto"/>
              </w:rPr>
            </w:pP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39</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Section 2.05</w:t>
              </w:r>
            </w:hyperlink>
          </w:p>
        </w:tc>
        <w:tc>
          <w:tcPr>
            <w:tcW w:w="2380" w:type="dxa"/>
            <w:vAlign w:val="bottom"/>
            <w:gridSpan w:val="16"/>
          </w:tcPr>
          <w:p>
            <w:pPr>
              <w:ind w:left="2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Interest</w:t>
              </w:r>
            </w:hyperlink>
          </w:p>
        </w:tc>
        <w:tc>
          <w:tcPr>
            <w:tcW w:w="6220" w:type="dxa"/>
            <w:vAlign w:val="bottom"/>
            <w:gridSpan w:val="14"/>
          </w:tcPr>
          <w:p>
            <w:pPr>
              <w:spacing w:after="0"/>
              <w:rPr>
                <w:sz w:val="21"/>
                <w:szCs w:val="21"/>
                <w:color w:val="auto"/>
              </w:rPr>
            </w:pP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39</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Section 2.06</w:t>
              </w:r>
            </w:hyperlink>
          </w:p>
        </w:tc>
        <w:tc>
          <w:tcPr>
            <w:tcW w:w="620" w:type="dxa"/>
            <w:vAlign w:val="bottom"/>
            <w:gridSpan w:val="2"/>
          </w:tcPr>
          <w:p>
            <w:pPr>
              <w:ind w:left="220"/>
              <w:spacing w:after="0" w:line="250" w:lineRule="exact"/>
              <w:rPr>
                <w:rFonts w:ascii="Arial" w:cs="Arial" w:eastAsia="Arial" w:hAnsi="Arial"/>
                <w:sz w:val="22"/>
                <w:szCs w:val="22"/>
                <w:color w:val="0000FF"/>
                <w:w w:val="77"/>
              </w:rPr>
            </w:pPr>
            <w:hyperlink w:anchor="page59">
              <w:r>
                <w:rPr>
                  <w:rFonts w:ascii="Arial" w:cs="Arial" w:eastAsia="Arial" w:hAnsi="Arial"/>
                  <w:sz w:val="22"/>
                  <w:szCs w:val="22"/>
                  <w:color w:val="0000FF"/>
                  <w:w w:val="77"/>
                </w:rPr>
                <w:t>Fees</w:t>
              </w:r>
            </w:hyperlink>
          </w:p>
        </w:tc>
        <w:tc>
          <w:tcPr>
            <w:tcW w:w="240" w:type="dxa"/>
            <w:vAlign w:val="bottom"/>
            <w:gridSpan w:val="2"/>
          </w:tcPr>
          <w:p>
            <w:pPr>
              <w:spacing w:after="0"/>
              <w:rPr>
                <w:sz w:val="21"/>
                <w:szCs w:val="21"/>
                <w:color w:val="auto"/>
              </w:rPr>
            </w:pPr>
          </w:p>
        </w:tc>
        <w:tc>
          <w:tcPr>
            <w:tcW w:w="7740" w:type="dxa"/>
            <w:vAlign w:val="bottom"/>
            <w:gridSpan w:val="26"/>
          </w:tcPr>
          <w:p>
            <w:pPr>
              <w:spacing w:after="0"/>
              <w:rPr>
                <w:sz w:val="21"/>
                <w:szCs w:val="21"/>
                <w:color w:val="auto"/>
              </w:rPr>
            </w:pP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40</w:t>
              </w:r>
            </w:hyperlink>
          </w:p>
        </w:tc>
      </w:tr>
      <w:tr>
        <w:trPr>
          <w:trHeight w:val="20"/>
        </w:trPr>
        <w:tc>
          <w:tcPr>
            <w:tcW w:w="1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780" w:type="dxa"/>
            <w:vAlign w:val="bottom"/>
            <w:gridSpan w:val="21"/>
          </w:tcPr>
          <w:p>
            <w:pPr>
              <w:spacing w:after="0" w:line="250" w:lineRule="exact"/>
              <w:rPr>
                <w:rFonts w:ascii="Arial" w:cs="Arial" w:eastAsia="Arial" w:hAnsi="Arial"/>
                <w:sz w:val="22"/>
                <w:szCs w:val="22"/>
                <w:color w:val="0000FF"/>
                <w:w w:val="90"/>
              </w:rPr>
            </w:pPr>
            <w:hyperlink w:anchor="page59">
              <w:r>
                <w:rPr>
                  <w:rFonts w:ascii="Arial" w:cs="Arial" w:eastAsia="Arial" w:hAnsi="Arial"/>
                  <w:sz w:val="22"/>
                  <w:szCs w:val="22"/>
                  <w:color w:val="0000FF"/>
                  <w:w w:val="90"/>
                </w:rPr>
                <w:t>Section 2.07  Interest Rate Determinations</w:t>
              </w:r>
            </w:hyperlink>
          </w:p>
        </w:tc>
        <w:tc>
          <w:tcPr>
            <w:tcW w:w="5900" w:type="dxa"/>
            <w:vAlign w:val="bottom"/>
            <w:gridSpan w:val="10"/>
          </w:tcPr>
          <w:p>
            <w:pPr>
              <w:spacing w:after="0"/>
              <w:rPr>
                <w:sz w:val="21"/>
                <w:szCs w:val="21"/>
                <w:color w:val="auto"/>
              </w:rPr>
            </w:pP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41</w:t>
              </w:r>
            </w:hyperlink>
          </w:p>
        </w:tc>
      </w:tr>
      <w:tr>
        <w:trPr>
          <w:trHeight w:val="20"/>
        </w:trPr>
        <w:tc>
          <w:tcPr>
            <w:tcW w:w="13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680" w:type="dxa"/>
            <w:vAlign w:val="bottom"/>
            <w:gridSpan w:val="31"/>
          </w:tcPr>
          <w:p>
            <w:pPr>
              <w:spacing w:after="0" w:line="250" w:lineRule="exact"/>
              <w:rPr>
                <w:sz w:val="20"/>
                <w:szCs w:val="20"/>
                <w:color w:val="auto"/>
              </w:rPr>
            </w:pPr>
            <w:r>
              <w:rPr>
                <w:rFonts w:ascii="Arial" w:cs="Arial" w:eastAsia="Arial" w:hAnsi="Arial"/>
                <w:sz w:val="22"/>
                <w:szCs w:val="22"/>
                <w:color w:val="0000FF"/>
              </w:rPr>
              <w:t>Section 2.08  Prepayments Of Advances; Collateral Call Trigger Events; Withdrawal Of Collateral</w:t>
            </w: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41</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Section 2.09</w:t>
              </w:r>
            </w:hyperlink>
          </w:p>
        </w:tc>
        <w:tc>
          <w:tcPr>
            <w:tcW w:w="1520" w:type="dxa"/>
            <w:vAlign w:val="bottom"/>
            <w:gridSpan w:val="8"/>
          </w:tcPr>
          <w:p>
            <w:pPr>
              <w:ind w:left="220"/>
              <w:spacing w:after="0" w:line="250" w:lineRule="exact"/>
              <w:rPr>
                <w:rFonts w:ascii="Arial" w:cs="Arial" w:eastAsia="Arial" w:hAnsi="Arial"/>
                <w:sz w:val="22"/>
                <w:szCs w:val="22"/>
                <w:color w:val="0000FF"/>
                <w:w w:val="79"/>
              </w:rPr>
            </w:pPr>
            <w:hyperlink w:anchor="page59">
              <w:r>
                <w:rPr>
                  <w:rFonts w:ascii="Arial" w:cs="Arial" w:eastAsia="Arial" w:hAnsi="Arial"/>
                  <w:sz w:val="22"/>
                  <w:szCs w:val="22"/>
                  <w:color w:val="0000FF"/>
                  <w:w w:val="79"/>
                </w:rPr>
                <w:t>Increased Costs</w:t>
              </w:r>
            </w:hyperlink>
          </w:p>
        </w:tc>
        <w:tc>
          <w:tcPr>
            <w:tcW w:w="7080" w:type="dxa"/>
            <w:vAlign w:val="bottom"/>
            <w:gridSpan w:val="22"/>
          </w:tcPr>
          <w:p>
            <w:pPr>
              <w:spacing w:after="0"/>
              <w:rPr>
                <w:sz w:val="21"/>
                <w:szCs w:val="21"/>
                <w:color w:val="auto"/>
              </w:rPr>
            </w:pP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46</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Section 2.10</w:t>
              </w:r>
            </w:hyperlink>
          </w:p>
        </w:tc>
        <w:tc>
          <w:tcPr>
            <w:tcW w:w="720" w:type="dxa"/>
            <w:vAlign w:val="bottom"/>
            <w:gridSpan w:val="3"/>
          </w:tcPr>
          <w:p>
            <w:pPr>
              <w:ind w:left="220"/>
              <w:spacing w:after="0" w:line="250" w:lineRule="exact"/>
              <w:rPr>
                <w:rFonts w:ascii="Arial" w:cs="Arial" w:eastAsia="Arial" w:hAnsi="Arial"/>
                <w:sz w:val="22"/>
                <w:szCs w:val="22"/>
                <w:color w:val="0000FF"/>
                <w:w w:val="80"/>
              </w:rPr>
            </w:pPr>
            <w:hyperlink w:anchor="page59">
              <w:r>
                <w:rPr>
                  <w:rFonts w:ascii="Arial" w:cs="Arial" w:eastAsia="Arial" w:hAnsi="Arial"/>
                  <w:sz w:val="22"/>
                  <w:szCs w:val="22"/>
                  <w:color w:val="0000FF"/>
                  <w:w w:val="80"/>
                </w:rPr>
                <w:t>Taxes</w:t>
              </w:r>
            </w:hyperlink>
          </w:p>
        </w:tc>
        <w:tc>
          <w:tcPr>
            <w:tcW w:w="800" w:type="dxa"/>
            <w:vAlign w:val="bottom"/>
            <w:gridSpan w:val="5"/>
          </w:tcPr>
          <w:p>
            <w:pPr>
              <w:spacing w:after="0"/>
              <w:rPr>
                <w:sz w:val="21"/>
                <w:szCs w:val="21"/>
                <w:color w:val="auto"/>
              </w:rPr>
            </w:pPr>
          </w:p>
        </w:tc>
        <w:tc>
          <w:tcPr>
            <w:tcW w:w="7080" w:type="dxa"/>
            <w:vAlign w:val="bottom"/>
            <w:gridSpan w:val="22"/>
          </w:tcPr>
          <w:p>
            <w:pPr>
              <w:spacing w:after="0"/>
              <w:rPr>
                <w:sz w:val="21"/>
                <w:szCs w:val="21"/>
                <w:color w:val="auto"/>
              </w:rPr>
            </w:pP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48</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Section 2.11</w:t>
              </w:r>
            </w:hyperlink>
          </w:p>
        </w:tc>
        <w:tc>
          <w:tcPr>
            <w:tcW w:w="8600" w:type="dxa"/>
            <w:vAlign w:val="bottom"/>
            <w:gridSpan w:val="30"/>
          </w:tcPr>
          <w:p>
            <w:pPr>
              <w:ind w:left="20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Illegality</w:t>
              </w:r>
            </w:hyperlink>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52</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Section 2.12</w:t>
              </w:r>
            </w:hyperlink>
          </w:p>
        </w:tc>
        <w:tc>
          <w:tcPr>
            <w:tcW w:w="8600" w:type="dxa"/>
            <w:vAlign w:val="bottom"/>
            <w:gridSpan w:val="30"/>
          </w:tcPr>
          <w:p>
            <w:pPr>
              <w:ind w:left="2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Break-Funding</w:t>
              </w:r>
            </w:hyperlink>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53</w:t>
              </w:r>
            </w:hyperlink>
          </w:p>
        </w:tc>
      </w:tr>
      <w:tr>
        <w:trPr>
          <w:trHeight w:val="20"/>
        </w:trPr>
        <w:tc>
          <w:tcPr>
            <w:tcW w:w="2600" w:type="dxa"/>
            <w:vAlign w:val="bottom"/>
            <w:gridSpan w:val="9"/>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860" w:type="dxa"/>
            <w:vAlign w:val="bottom"/>
            <w:gridSpan w:val="11"/>
          </w:tcPr>
          <w:p>
            <w:pPr>
              <w:spacing w:after="0" w:line="250" w:lineRule="exact"/>
              <w:rPr>
                <w:rFonts w:ascii="Arial" w:cs="Arial" w:eastAsia="Arial" w:hAnsi="Arial"/>
                <w:sz w:val="22"/>
                <w:szCs w:val="22"/>
                <w:color w:val="0000FF"/>
                <w:w w:val="92"/>
              </w:rPr>
            </w:pPr>
            <w:hyperlink w:anchor="page59">
              <w:r>
                <w:rPr>
                  <w:rFonts w:ascii="Arial" w:cs="Arial" w:eastAsia="Arial" w:hAnsi="Arial"/>
                  <w:sz w:val="22"/>
                  <w:szCs w:val="22"/>
                  <w:color w:val="0000FF"/>
                  <w:w w:val="92"/>
                </w:rPr>
                <w:t>Section 2.13  Evidence Of Debt</w:t>
              </w:r>
            </w:hyperlink>
          </w:p>
        </w:tc>
        <w:tc>
          <w:tcPr>
            <w:tcW w:w="6820" w:type="dxa"/>
            <w:vAlign w:val="bottom"/>
            <w:gridSpan w:val="20"/>
          </w:tcPr>
          <w:p>
            <w:pPr>
              <w:spacing w:after="0"/>
              <w:rPr>
                <w:sz w:val="21"/>
                <w:szCs w:val="21"/>
                <w:color w:val="auto"/>
              </w:rPr>
            </w:pP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53</w:t>
              </w:r>
            </w:hyperlink>
          </w:p>
        </w:tc>
      </w:tr>
      <w:tr>
        <w:trPr>
          <w:trHeight w:val="20"/>
        </w:trPr>
        <w:tc>
          <w:tcPr>
            <w:tcW w:w="2860" w:type="dxa"/>
            <w:vAlign w:val="bottom"/>
            <w:gridSpan w:val="11"/>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680" w:type="dxa"/>
            <w:vAlign w:val="bottom"/>
            <w:gridSpan w:val="31"/>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2.14  Payments And Computations</w:t>
              </w:r>
            </w:hyperlink>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54</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Section 2.15</w:t>
              </w:r>
            </w:hyperlink>
          </w:p>
        </w:tc>
        <w:tc>
          <w:tcPr>
            <w:tcW w:w="2740" w:type="dxa"/>
            <w:vAlign w:val="bottom"/>
            <w:gridSpan w:val="21"/>
          </w:tcPr>
          <w:p>
            <w:pPr>
              <w:ind w:left="2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Accelerating Lenders</w:t>
              </w:r>
            </w:hyperlink>
          </w:p>
        </w:tc>
        <w:tc>
          <w:tcPr>
            <w:tcW w:w="5860" w:type="dxa"/>
            <w:vAlign w:val="bottom"/>
            <w:gridSpan w:val="9"/>
          </w:tcPr>
          <w:p>
            <w:pPr>
              <w:spacing w:after="0"/>
              <w:rPr>
                <w:sz w:val="21"/>
                <w:szCs w:val="21"/>
                <w:color w:val="auto"/>
              </w:rPr>
            </w:pP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54</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Section 2.16</w:t>
              </w:r>
            </w:hyperlink>
          </w:p>
        </w:tc>
        <w:tc>
          <w:tcPr>
            <w:tcW w:w="8600" w:type="dxa"/>
            <w:vAlign w:val="bottom"/>
            <w:gridSpan w:val="30"/>
          </w:tcPr>
          <w:p>
            <w:pPr>
              <w:ind w:left="2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Periodic Rebalancing</w:t>
              </w:r>
            </w:hyperlink>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55</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520" w:type="dxa"/>
            <w:vAlign w:val="bottom"/>
            <w:gridSpan w:val="19"/>
          </w:tcPr>
          <w:p>
            <w:pPr>
              <w:spacing w:after="0" w:line="250" w:lineRule="exact"/>
              <w:rPr>
                <w:rFonts w:ascii="Arial" w:cs="Arial" w:eastAsia="Arial" w:hAnsi="Arial"/>
                <w:sz w:val="22"/>
                <w:szCs w:val="22"/>
                <w:color w:val="0000FF"/>
                <w:w w:val="91"/>
              </w:rPr>
            </w:pPr>
            <w:hyperlink w:anchor="page59">
              <w:r>
                <w:rPr>
                  <w:rFonts w:ascii="Arial" w:cs="Arial" w:eastAsia="Arial" w:hAnsi="Arial"/>
                  <w:sz w:val="22"/>
                  <w:szCs w:val="22"/>
                  <w:color w:val="0000FF"/>
                  <w:w w:val="91"/>
                </w:rPr>
                <w:t>Section 2.17  Increase in Commitments</w:t>
              </w:r>
            </w:hyperlink>
          </w:p>
        </w:tc>
        <w:tc>
          <w:tcPr>
            <w:tcW w:w="6160" w:type="dxa"/>
            <w:vAlign w:val="bottom"/>
            <w:gridSpan w:val="12"/>
          </w:tcPr>
          <w:p>
            <w:pPr>
              <w:spacing w:after="0"/>
              <w:rPr>
                <w:sz w:val="21"/>
                <w:szCs w:val="21"/>
                <w:color w:val="auto"/>
              </w:rPr>
            </w:pP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56</w:t>
              </w:r>
            </w:hyperlink>
          </w:p>
        </w:tc>
      </w:tr>
      <w:tr>
        <w:trPr>
          <w:trHeight w:val="20"/>
        </w:trPr>
        <w:tc>
          <w:tcPr>
            <w:tcW w:w="2860" w:type="dxa"/>
            <w:vAlign w:val="bottom"/>
            <w:gridSpan w:val="11"/>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520" w:type="dxa"/>
            <w:vAlign w:val="bottom"/>
            <w:gridSpan w:val="19"/>
          </w:tcPr>
          <w:p>
            <w:pPr>
              <w:spacing w:after="0" w:line="250" w:lineRule="exact"/>
              <w:rPr>
                <w:rFonts w:ascii="Arial" w:cs="Arial" w:eastAsia="Arial" w:hAnsi="Arial"/>
                <w:sz w:val="22"/>
                <w:szCs w:val="22"/>
                <w:color w:val="0000FF"/>
                <w:w w:val="92"/>
              </w:rPr>
            </w:pPr>
            <w:hyperlink w:anchor="page59">
              <w:r>
                <w:rPr>
                  <w:rFonts w:ascii="Arial" w:cs="Arial" w:eastAsia="Arial" w:hAnsi="Arial"/>
                  <w:sz w:val="22"/>
                  <w:szCs w:val="22"/>
                  <w:color w:val="0000FF"/>
                  <w:w w:val="92"/>
                </w:rPr>
                <w:t>Section 2.18  Alternate Rate of Interest</w:t>
              </w:r>
            </w:hyperlink>
          </w:p>
        </w:tc>
        <w:tc>
          <w:tcPr>
            <w:tcW w:w="6160" w:type="dxa"/>
            <w:vAlign w:val="bottom"/>
            <w:gridSpan w:val="12"/>
          </w:tcPr>
          <w:p>
            <w:pPr>
              <w:spacing w:after="0"/>
              <w:rPr>
                <w:sz w:val="21"/>
                <w:szCs w:val="21"/>
                <w:color w:val="auto"/>
              </w:rPr>
            </w:pP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57</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178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Section 2.19</w:t>
              </w:r>
            </w:hyperlink>
          </w:p>
        </w:tc>
        <w:tc>
          <w:tcPr>
            <w:tcW w:w="2060" w:type="dxa"/>
            <w:vAlign w:val="bottom"/>
            <w:gridSpan w:val="12"/>
          </w:tcPr>
          <w:p>
            <w:pPr>
              <w:ind w:left="220"/>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Erroneous Payments.</w:t>
              </w:r>
            </w:hyperlink>
          </w:p>
        </w:tc>
        <w:tc>
          <w:tcPr>
            <w:tcW w:w="340" w:type="dxa"/>
            <w:vAlign w:val="bottom"/>
            <w:gridSpan w:val="5"/>
          </w:tcPr>
          <w:p>
            <w:pPr>
              <w:spacing w:after="0"/>
              <w:rPr>
                <w:sz w:val="21"/>
                <w:szCs w:val="21"/>
                <w:color w:val="auto"/>
              </w:rPr>
            </w:pPr>
          </w:p>
        </w:tc>
        <w:tc>
          <w:tcPr>
            <w:tcW w:w="6200" w:type="dxa"/>
            <w:vAlign w:val="bottom"/>
            <w:gridSpan w:val="13"/>
          </w:tcPr>
          <w:p>
            <w:pPr>
              <w:spacing w:after="0"/>
              <w:rPr>
                <w:sz w:val="21"/>
                <w:szCs w:val="21"/>
                <w:color w:val="auto"/>
              </w:rPr>
            </w:pP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59</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680" w:type="dxa"/>
            <w:vAlign w:val="bottom"/>
            <w:gridSpan w:val="31"/>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Article 3 Representations And Warranties</w:t>
              </w:r>
            </w:hyperlink>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62</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Section 3.01</w:t>
              </w:r>
            </w:hyperlink>
          </w:p>
        </w:tc>
        <w:tc>
          <w:tcPr>
            <w:tcW w:w="2520" w:type="dxa"/>
            <w:vAlign w:val="bottom"/>
            <w:gridSpan w:val="19"/>
          </w:tcPr>
          <w:p>
            <w:pPr>
              <w:ind w:left="2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Organization; Powers</w:t>
              </w:r>
            </w:hyperlink>
          </w:p>
        </w:tc>
        <w:tc>
          <w:tcPr>
            <w:tcW w:w="6080" w:type="dxa"/>
            <w:vAlign w:val="bottom"/>
            <w:gridSpan w:val="11"/>
          </w:tcPr>
          <w:p>
            <w:pPr>
              <w:spacing w:after="0"/>
              <w:rPr>
                <w:sz w:val="21"/>
                <w:szCs w:val="21"/>
                <w:color w:val="auto"/>
              </w:rPr>
            </w:pP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62</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Section 3.02</w:t>
              </w:r>
            </w:hyperlink>
          </w:p>
        </w:tc>
        <w:tc>
          <w:tcPr>
            <w:tcW w:w="8600" w:type="dxa"/>
            <w:vAlign w:val="bottom"/>
            <w:gridSpan w:val="30"/>
          </w:tcPr>
          <w:p>
            <w:pPr>
              <w:ind w:left="2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Authorization; Enforceability</w:t>
              </w:r>
            </w:hyperlink>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62</w:t>
              </w:r>
            </w:hyperlink>
          </w:p>
        </w:tc>
      </w:tr>
      <w:tr>
        <w:trPr>
          <w:trHeight w:val="20"/>
        </w:trPr>
        <w:tc>
          <w:tcPr>
            <w:tcW w:w="2860" w:type="dxa"/>
            <w:vAlign w:val="bottom"/>
            <w:gridSpan w:val="11"/>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gridSpan w:val="11"/>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680" w:type="dxa"/>
            <w:vAlign w:val="bottom"/>
            <w:gridSpan w:val="31"/>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3.03  Governmental Approvals; No Conflicts</w:t>
              </w:r>
            </w:hyperlink>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62</w:t>
              </w:r>
            </w:hyperlink>
          </w:p>
        </w:tc>
      </w:tr>
      <w:tr>
        <w:trPr>
          <w:trHeight w:val="20"/>
        </w:trPr>
        <w:tc>
          <w:tcPr>
            <w:tcW w:w="2860" w:type="dxa"/>
            <w:vAlign w:val="bottom"/>
            <w:gridSpan w:val="11"/>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60" w:type="dxa"/>
            <w:vAlign w:val="bottom"/>
            <w:gridSpan w:val="1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680" w:type="dxa"/>
            <w:vAlign w:val="bottom"/>
            <w:gridSpan w:val="31"/>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3.04  Financial Condition; No Material Adverse Change</w:t>
              </w:r>
            </w:hyperlink>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63</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178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20" w:type="dxa"/>
            <w:vAlign w:val="bottom"/>
            <w:gridSpan w:val="16"/>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Section 3.05</w:t>
              </w:r>
            </w:hyperlink>
          </w:p>
        </w:tc>
        <w:tc>
          <w:tcPr>
            <w:tcW w:w="1860" w:type="dxa"/>
            <w:vAlign w:val="bottom"/>
            <w:gridSpan w:val="11"/>
          </w:tcPr>
          <w:p>
            <w:pPr>
              <w:ind w:left="220"/>
              <w:spacing w:after="0" w:line="250" w:lineRule="exact"/>
              <w:rPr>
                <w:rFonts w:ascii="Arial" w:cs="Arial" w:eastAsia="Arial" w:hAnsi="Arial"/>
                <w:sz w:val="22"/>
                <w:szCs w:val="22"/>
                <w:color w:val="0000FF"/>
                <w:w w:val="84"/>
              </w:rPr>
            </w:pPr>
            <w:hyperlink w:anchor="page59">
              <w:r>
                <w:rPr>
                  <w:rFonts w:ascii="Arial" w:cs="Arial" w:eastAsia="Arial" w:hAnsi="Arial"/>
                  <w:sz w:val="22"/>
                  <w:szCs w:val="22"/>
                  <w:color w:val="0000FF"/>
                  <w:w w:val="84"/>
                </w:rPr>
                <w:t>Share Transactions</w:t>
              </w:r>
            </w:hyperlink>
          </w:p>
        </w:tc>
        <w:tc>
          <w:tcPr>
            <w:tcW w:w="2720" w:type="dxa"/>
            <w:vAlign w:val="bottom"/>
            <w:gridSpan w:val="17"/>
          </w:tcPr>
          <w:p>
            <w:pPr>
              <w:spacing w:after="0"/>
              <w:rPr>
                <w:sz w:val="21"/>
                <w:szCs w:val="21"/>
                <w:color w:val="auto"/>
              </w:rPr>
            </w:pPr>
          </w:p>
        </w:tc>
        <w:tc>
          <w:tcPr>
            <w:tcW w:w="4020" w:type="dxa"/>
            <w:vAlign w:val="bottom"/>
            <w:gridSpan w:val="2"/>
          </w:tcPr>
          <w:p>
            <w:pPr>
              <w:spacing w:after="0"/>
              <w:rPr>
                <w:sz w:val="21"/>
                <w:szCs w:val="21"/>
                <w:color w:val="auto"/>
              </w:rPr>
            </w:pP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63</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178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20" w:type="dxa"/>
            <w:vAlign w:val="bottom"/>
            <w:gridSpan w:val="16"/>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Section 3.06</w:t>
              </w:r>
            </w:hyperlink>
          </w:p>
        </w:tc>
        <w:tc>
          <w:tcPr>
            <w:tcW w:w="1860" w:type="dxa"/>
            <w:vAlign w:val="bottom"/>
            <w:gridSpan w:val="11"/>
          </w:tcPr>
          <w:p>
            <w:pPr>
              <w:ind w:left="220"/>
              <w:spacing w:after="0" w:line="250" w:lineRule="exact"/>
              <w:rPr>
                <w:rFonts w:ascii="Arial" w:cs="Arial" w:eastAsia="Arial" w:hAnsi="Arial"/>
                <w:sz w:val="22"/>
                <w:szCs w:val="22"/>
                <w:color w:val="0000FF"/>
                <w:w w:val="96"/>
              </w:rPr>
            </w:pPr>
            <w:hyperlink w:anchor="page59">
              <w:r>
                <w:rPr>
                  <w:rFonts w:ascii="Arial" w:cs="Arial" w:eastAsia="Arial" w:hAnsi="Arial"/>
                  <w:sz w:val="22"/>
                  <w:szCs w:val="22"/>
                  <w:color w:val="0000FF"/>
                  <w:w w:val="96"/>
                </w:rPr>
                <w:t>Litigation Matters</w:t>
              </w:r>
            </w:hyperlink>
          </w:p>
        </w:tc>
        <w:tc>
          <w:tcPr>
            <w:tcW w:w="1920" w:type="dxa"/>
            <w:vAlign w:val="bottom"/>
            <w:gridSpan w:val="16"/>
          </w:tcPr>
          <w:p>
            <w:pPr>
              <w:spacing w:after="0"/>
              <w:rPr>
                <w:sz w:val="21"/>
                <w:szCs w:val="21"/>
                <w:color w:val="auto"/>
              </w:rPr>
            </w:pPr>
          </w:p>
        </w:tc>
        <w:tc>
          <w:tcPr>
            <w:tcW w:w="4820" w:type="dxa"/>
            <w:vAlign w:val="bottom"/>
            <w:gridSpan w:val="3"/>
          </w:tcPr>
          <w:p>
            <w:pPr>
              <w:spacing w:after="0"/>
              <w:rPr>
                <w:sz w:val="21"/>
                <w:szCs w:val="21"/>
                <w:color w:val="auto"/>
              </w:rPr>
            </w:pPr>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63</w:t>
              </w:r>
            </w:hyperlink>
          </w:p>
        </w:tc>
      </w:tr>
      <w:tr>
        <w:trPr>
          <w:trHeight w:val="20"/>
        </w:trPr>
        <w:tc>
          <w:tcPr>
            <w:tcW w:w="4860" w:type="dxa"/>
            <w:vAlign w:val="bottom"/>
            <w:gridSpan w:val="28"/>
            <w:shd w:val="clear" w:color="auto" w:fill="0000FF"/>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680" w:type="dxa"/>
            <w:vAlign w:val="bottom"/>
            <w:gridSpan w:val="31"/>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3.07  Compliance With Laws And Agreements</w:t>
              </w:r>
            </w:hyperlink>
          </w:p>
        </w:tc>
        <w:tc>
          <w:tcPr>
            <w:tcW w:w="1480" w:type="dxa"/>
            <w:vAlign w:val="bottom"/>
            <w:gridSpan w:val="4"/>
          </w:tcPr>
          <w:p>
            <w:pPr>
              <w:jc w:val="right"/>
              <w:ind w:right="6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63</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160"/>
          </w:cols>
          <w:pgMar w:left="400" w:top="1440" w:right="339" w:bottom="1440" w:gutter="0" w:footer="0" w:header="0"/>
        </w:sectPr>
      </w:pPr>
    </w:p>
    <w:bookmarkStart w:id="55" w:name="page56"/>
    <w:bookmarkEnd w:id="55"/>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spacing w:after="0"/>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3.08</w:t>
              </w:r>
            </w:hyperlink>
          </w:p>
        </w:tc>
        <w:tc>
          <w:tcPr>
            <w:tcW w:w="9700" w:type="dxa"/>
            <w:vAlign w:val="bottom"/>
            <w:gridSpan w:val="33"/>
          </w:tcPr>
          <w:p>
            <w:pPr>
              <w:ind w:left="120"/>
              <w:spacing w:after="0"/>
              <w:rPr>
                <w:rFonts w:ascii="Arial" w:cs="Arial" w:eastAsia="Arial" w:hAnsi="Arial"/>
                <w:sz w:val="22"/>
                <w:szCs w:val="22"/>
                <w:color w:val="0000FF"/>
              </w:rPr>
            </w:pPr>
            <w:hyperlink w:anchor="page59">
              <w:r>
                <w:rPr>
                  <w:rFonts w:ascii="Arial" w:cs="Arial" w:eastAsia="Arial" w:hAnsi="Arial"/>
                  <w:sz w:val="22"/>
                  <w:szCs w:val="22"/>
                  <w:color w:val="0000FF"/>
                </w:rPr>
                <w:t>No Default</w:t>
              </w:r>
            </w:hyperlink>
          </w:p>
        </w:tc>
        <w:tc>
          <w:tcPr>
            <w:tcW w:w="220" w:type="dxa"/>
            <w:vAlign w:val="bottom"/>
          </w:tcPr>
          <w:p>
            <w:pPr>
              <w:jc w:val="right"/>
              <w:spacing w:after="0"/>
              <w:rPr>
                <w:rFonts w:ascii="Arial" w:cs="Arial" w:eastAsia="Arial" w:hAnsi="Arial"/>
                <w:sz w:val="22"/>
                <w:szCs w:val="22"/>
                <w:color w:val="0000FF"/>
                <w:w w:val="81"/>
              </w:rPr>
            </w:pPr>
            <w:hyperlink w:anchor="page59">
              <w:r>
                <w:rPr>
                  <w:rFonts w:ascii="Arial" w:cs="Arial" w:eastAsia="Arial" w:hAnsi="Arial"/>
                  <w:sz w:val="22"/>
                  <w:szCs w:val="22"/>
                  <w:color w:val="0000FF"/>
                  <w:w w:val="81"/>
                </w:rPr>
                <w:t>64</w:t>
              </w:r>
            </w:hyperlink>
          </w:p>
        </w:tc>
      </w:tr>
      <w:tr>
        <w:trPr>
          <w:trHeight w:val="20"/>
        </w:trPr>
        <w:tc>
          <w:tcPr>
            <w:tcW w:w="1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3740" w:type="dxa"/>
            <w:vAlign w:val="bottom"/>
            <w:tcBorders>
              <w:bottom w:val="single" w:sz="8" w:color="0000FF"/>
            </w:tcBorders>
            <w:gridSpan w:val="24"/>
          </w:tcPr>
          <w:p>
            <w:pPr>
              <w:spacing w:after="0" w:line="250" w:lineRule="exact"/>
              <w:rPr>
                <w:rFonts w:ascii="Arial" w:cs="Arial" w:eastAsia="Arial" w:hAnsi="Arial"/>
                <w:sz w:val="22"/>
                <w:szCs w:val="22"/>
                <w:color w:val="0000FF"/>
                <w:w w:val="90"/>
              </w:rPr>
            </w:pPr>
            <w:hyperlink w:anchor="page59">
              <w:r>
                <w:rPr>
                  <w:rFonts w:ascii="Arial" w:cs="Arial" w:eastAsia="Arial" w:hAnsi="Arial"/>
                  <w:sz w:val="22"/>
                  <w:szCs w:val="22"/>
                  <w:color w:val="0000FF"/>
                  <w:w w:val="90"/>
                </w:rPr>
                <w:t>Section 3.09  Investment Company Status</w:t>
              </w:r>
            </w:hyperlink>
          </w:p>
        </w:tc>
        <w:tc>
          <w:tcPr>
            <w:tcW w:w="7140" w:type="dxa"/>
            <w:vAlign w:val="bottom"/>
            <w:gridSpan w:val="10"/>
          </w:tcPr>
          <w:p>
            <w:pPr>
              <w:spacing w:after="0"/>
              <w:rPr>
                <w:sz w:val="21"/>
                <w:szCs w:val="21"/>
                <w:color w:val="auto"/>
              </w:rPr>
            </w:pPr>
          </w:p>
        </w:tc>
        <w:tc>
          <w:tcPr>
            <w:tcW w:w="220" w:type="dxa"/>
            <w:vAlign w:val="bottom"/>
            <w:tcBorders>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64</w:t>
              </w:r>
            </w:hyperlink>
          </w:p>
        </w:tc>
      </w:tr>
      <w:tr>
        <w:trPr>
          <w:trHeight w:val="250"/>
        </w:trPr>
        <w:tc>
          <w:tcPr>
            <w:tcW w:w="1180" w:type="dxa"/>
            <w:vAlign w:val="bottom"/>
            <w:tcBorders>
              <w:bottom w:val="single" w:sz="8" w:color="0000FF"/>
            </w:tcBorders>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3.10</w:t>
              </w:r>
            </w:hyperlink>
          </w:p>
        </w:tc>
        <w:tc>
          <w:tcPr>
            <w:tcW w:w="620" w:type="dxa"/>
            <w:vAlign w:val="bottom"/>
            <w:tcBorders>
              <w:bottom w:val="single" w:sz="8" w:color="0000FF"/>
            </w:tcBorders>
            <w:gridSpan w:val="2"/>
          </w:tcPr>
          <w:p>
            <w:pPr>
              <w:ind w:left="120"/>
              <w:spacing w:after="0" w:line="250" w:lineRule="exact"/>
              <w:rPr>
                <w:rFonts w:ascii="Arial" w:cs="Arial" w:eastAsia="Arial" w:hAnsi="Arial"/>
                <w:sz w:val="22"/>
                <w:szCs w:val="22"/>
                <w:color w:val="0000FF"/>
                <w:w w:val="80"/>
              </w:rPr>
            </w:pPr>
            <w:hyperlink w:anchor="page59">
              <w:r>
                <w:rPr>
                  <w:rFonts w:ascii="Arial" w:cs="Arial" w:eastAsia="Arial" w:hAnsi="Arial"/>
                  <w:sz w:val="22"/>
                  <w:szCs w:val="22"/>
                  <w:color w:val="0000FF"/>
                  <w:w w:val="80"/>
                </w:rPr>
                <w:t>Taxes</w:t>
              </w:r>
            </w:hyperlink>
          </w:p>
        </w:tc>
        <w:tc>
          <w:tcPr>
            <w:tcW w:w="9080" w:type="dxa"/>
            <w:vAlign w:val="bottom"/>
            <w:gridSpan w:val="31"/>
          </w:tcPr>
          <w:p>
            <w:pPr>
              <w:spacing w:after="0"/>
              <w:rPr>
                <w:sz w:val="21"/>
                <w:szCs w:val="21"/>
                <w:color w:val="auto"/>
              </w:rPr>
            </w:pPr>
          </w:p>
        </w:tc>
        <w:tc>
          <w:tcPr>
            <w:tcW w:w="220" w:type="dxa"/>
            <w:vAlign w:val="bottom"/>
            <w:tcBorders>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64</w:t>
              </w:r>
            </w:hyperlink>
          </w:p>
        </w:tc>
      </w:tr>
      <w:tr>
        <w:trPr>
          <w:trHeight w:val="250"/>
        </w:trPr>
        <w:tc>
          <w:tcPr>
            <w:tcW w:w="1180" w:type="dxa"/>
            <w:vAlign w:val="bottom"/>
            <w:tcBorders>
              <w:bottom w:val="single" w:sz="8" w:color="0000FF"/>
            </w:tcBorders>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3.11</w:t>
              </w:r>
            </w:hyperlink>
          </w:p>
        </w:tc>
        <w:tc>
          <w:tcPr>
            <w:tcW w:w="1080" w:type="dxa"/>
            <w:vAlign w:val="bottom"/>
            <w:tcBorders>
              <w:bottom w:val="single" w:sz="8" w:color="0000FF"/>
            </w:tcBorders>
            <w:gridSpan w:val="4"/>
          </w:tcPr>
          <w:p>
            <w:pPr>
              <w:ind w:left="100"/>
              <w:spacing w:after="0" w:line="250" w:lineRule="exact"/>
              <w:rPr>
                <w:rFonts w:ascii="Arial" w:cs="Arial" w:eastAsia="Arial" w:hAnsi="Arial"/>
                <w:sz w:val="22"/>
                <w:szCs w:val="22"/>
                <w:color w:val="0000FF"/>
                <w:w w:val="91"/>
              </w:rPr>
            </w:pPr>
            <w:hyperlink w:anchor="page59">
              <w:r>
                <w:rPr>
                  <w:rFonts w:ascii="Arial" w:cs="Arial" w:eastAsia="Arial" w:hAnsi="Arial"/>
                  <w:sz w:val="22"/>
                  <w:szCs w:val="22"/>
                  <w:color w:val="0000FF"/>
                  <w:w w:val="91"/>
                </w:rPr>
                <w:t>Disclosure</w:t>
              </w:r>
            </w:hyperlink>
          </w:p>
        </w:tc>
        <w:tc>
          <w:tcPr>
            <w:tcW w:w="8620" w:type="dxa"/>
            <w:vAlign w:val="bottom"/>
            <w:gridSpan w:val="29"/>
          </w:tcPr>
          <w:p>
            <w:pPr>
              <w:spacing w:after="0"/>
              <w:rPr>
                <w:sz w:val="21"/>
                <w:szCs w:val="21"/>
                <w:color w:val="auto"/>
              </w:rPr>
            </w:pPr>
          </w:p>
        </w:tc>
        <w:tc>
          <w:tcPr>
            <w:tcW w:w="220" w:type="dxa"/>
            <w:vAlign w:val="bottom"/>
            <w:tcBorders>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64</w:t>
              </w:r>
            </w:hyperlink>
          </w:p>
        </w:tc>
      </w:tr>
      <w:tr>
        <w:trPr>
          <w:trHeight w:val="250"/>
        </w:trPr>
        <w:tc>
          <w:tcPr>
            <w:tcW w:w="1180" w:type="dxa"/>
            <w:vAlign w:val="bottom"/>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3.12</w:t>
              </w:r>
            </w:hyperlink>
          </w:p>
        </w:tc>
        <w:tc>
          <w:tcPr>
            <w:tcW w:w="9700" w:type="dxa"/>
            <w:vAlign w:val="bottom"/>
            <w:gridSpan w:val="33"/>
          </w:tcPr>
          <w:p>
            <w:pPr>
              <w:ind w:left="1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Material Agreements</w:t>
              </w:r>
            </w:hyperlink>
          </w:p>
        </w:tc>
        <w:tc>
          <w:tcPr>
            <w:tcW w:w="220" w:type="dxa"/>
            <w:vAlign w:val="bottom"/>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64</w:t>
              </w:r>
            </w:hyperlink>
          </w:p>
        </w:tc>
      </w:tr>
      <w:tr>
        <w:trPr>
          <w:trHeight w:val="250"/>
        </w:trPr>
        <w:tc>
          <w:tcPr>
            <w:tcW w:w="1180" w:type="dxa"/>
            <w:vAlign w:val="bottom"/>
            <w:tcBorders>
              <w:top w:val="single" w:sz="8" w:color="0000FF"/>
              <w:bottom w:val="single" w:sz="8" w:color="0000FF"/>
            </w:tcBorders>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3.13</w:t>
              </w:r>
            </w:hyperlink>
          </w:p>
        </w:tc>
        <w:tc>
          <w:tcPr>
            <w:tcW w:w="920" w:type="dxa"/>
            <w:vAlign w:val="bottom"/>
            <w:tcBorders>
              <w:top w:val="single" w:sz="8" w:color="0000FF"/>
              <w:bottom w:val="single" w:sz="8" w:color="0000FF"/>
            </w:tcBorders>
            <w:gridSpan w:val="3"/>
          </w:tcPr>
          <w:p>
            <w:pPr>
              <w:ind w:left="120"/>
              <w:spacing w:after="0" w:line="250" w:lineRule="exact"/>
              <w:rPr>
                <w:rFonts w:ascii="Arial" w:cs="Arial" w:eastAsia="Arial" w:hAnsi="Arial"/>
                <w:sz w:val="22"/>
                <w:szCs w:val="22"/>
                <w:color w:val="0000FF"/>
                <w:w w:val="87"/>
              </w:rPr>
            </w:pPr>
            <w:hyperlink w:anchor="page59">
              <w:r>
                <w:rPr>
                  <w:rFonts w:ascii="Arial" w:cs="Arial" w:eastAsia="Arial" w:hAnsi="Arial"/>
                  <w:sz w:val="22"/>
                  <w:szCs w:val="22"/>
                  <w:color w:val="0000FF"/>
                  <w:w w:val="87"/>
                </w:rPr>
                <w:t>Solvency</w:t>
              </w:r>
            </w:hyperlink>
          </w:p>
        </w:tc>
        <w:tc>
          <w:tcPr>
            <w:tcW w:w="1020" w:type="dxa"/>
            <w:vAlign w:val="bottom"/>
            <w:tcBorders>
              <w:top w:val="single" w:sz="8" w:color="0000FF"/>
            </w:tcBorders>
            <w:gridSpan w:val="13"/>
          </w:tcPr>
          <w:p>
            <w:pPr>
              <w:spacing w:after="0"/>
              <w:rPr>
                <w:sz w:val="21"/>
                <w:szCs w:val="21"/>
                <w:color w:val="auto"/>
              </w:rPr>
            </w:pPr>
          </w:p>
        </w:tc>
        <w:tc>
          <w:tcPr>
            <w:tcW w:w="7760" w:type="dxa"/>
            <w:vAlign w:val="bottom"/>
            <w:gridSpan w:val="17"/>
          </w:tcPr>
          <w:p>
            <w:pPr>
              <w:spacing w:after="0"/>
              <w:rPr>
                <w:sz w:val="21"/>
                <w:szCs w:val="21"/>
                <w:color w:val="auto"/>
              </w:rPr>
            </w:pPr>
          </w:p>
        </w:tc>
        <w:tc>
          <w:tcPr>
            <w:tcW w:w="220" w:type="dxa"/>
            <w:vAlign w:val="bottom"/>
            <w:tcBorders>
              <w:top w:val="single" w:sz="8" w:color="0000FF"/>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64</w:t>
              </w:r>
            </w:hyperlink>
          </w:p>
        </w:tc>
      </w:tr>
      <w:tr>
        <w:trPr>
          <w:trHeight w:val="250"/>
        </w:trPr>
        <w:tc>
          <w:tcPr>
            <w:tcW w:w="10880" w:type="dxa"/>
            <w:vAlign w:val="bottom"/>
            <w:gridSpan w:val="34"/>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3.14  Trading And Other Restrictions</w:t>
              </w:r>
            </w:hyperlink>
          </w:p>
        </w:tc>
        <w:tc>
          <w:tcPr>
            <w:tcW w:w="220" w:type="dxa"/>
            <w:vAlign w:val="bottom"/>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65</w:t>
              </w:r>
            </w:hyperlink>
          </w:p>
        </w:tc>
      </w:tr>
      <w:tr>
        <w:trPr>
          <w:trHeight w:val="250"/>
        </w:trPr>
        <w:tc>
          <w:tcPr>
            <w:tcW w:w="1180" w:type="dxa"/>
            <w:vAlign w:val="bottom"/>
            <w:tcBorders>
              <w:top w:val="single" w:sz="8" w:color="0000FF"/>
            </w:tcBorders>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3.15</w:t>
              </w:r>
            </w:hyperlink>
          </w:p>
        </w:tc>
        <w:tc>
          <w:tcPr>
            <w:tcW w:w="2840" w:type="dxa"/>
            <w:vAlign w:val="bottom"/>
            <w:tcBorders>
              <w:top w:val="single" w:sz="8" w:color="0000FF"/>
            </w:tcBorders>
            <w:gridSpan w:val="24"/>
          </w:tcPr>
          <w:p>
            <w:pPr>
              <w:ind w:left="1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No Subsidiaries</w:t>
              </w:r>
            </w:hyperlink>
          </w:p>
        </w:tc>
        <w:tc>
          <w:tcPr>
            <w:tcW w:w="6860" w:type="dxa"/>
            <w:vAlign w:val="bottom"/>
            <w:gridSpan w:val="9"/>
          </w:tcPr>
          <w:p>
            <w:pPr>
              <w:spacing w:after="0"/>
              <w:rPr>
                <w:sz w:val="21"/>
                <w:szCs w:val="21"/>
                <w:color w:val="auto"/>
              </w:rPr>
            </w:pPr>
          </w:p>
        </w:tc>
        <w:tc>
          <w:tcPr>
            <w:tcW w:w="220" w:type="dxa"/>
            <w:vAlign w:val="bottom"/>
            <w:tcBorders>
              <w:top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66</w:t>
              </w:r>
            </w:hyperlink>
          </w:p>
        </w:tc>
      </w:tr>
      <w:tr>
        <w:trPr>
          <w:trHeight w:val="20"/>
        </w:trPr>
        <w:tc>
          <w:tcPr>
            <w:tcW w:w="178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0880" w:type="dxa"/>
            <w:vAlign w:val="bottom"/>
            <w:gridSpan w:val="34"/>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3.16  Anti-Corruption Laws and Sanctions</w:t>
              </w:r>
            </w:hyperlink>
          </w:p>
        </w:tc>
        <w:tc>
          <w:tcPr>
            <w:tcW w:w="220" w:type="dxa"/>
            <w:vAlign w:val="bottom"/>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66</w:t>
              </w:r>
            </w:hyperlink>
          </w:p>
        </w:tc>
      </w:tr>
      <w:tr>
        <w:trPr>
          <w:trHeight w:val="250"/>
        </w:trPr>
        <w:tc>
          <w:tcPr>
            <w:tcW w:w="4080" w:type="dxa"/>
            <w:vAlign w:val="bottom"/>
            <w:tcBorders>
              <w:top w:val="single" w:sz="8" w:color="0000FF"/>
              <w:bottom w:val="single" w:sz="8" w:color="0000FF"/>
            </w:tcBorders>
            <w:gridSpan w:val="26"/>
          </w:tcPr>
          <w:p>
            <w:pPr>
              <w:spacing w:after="0" w:line="250" w:lineRule="exact"/>
              <w:rPr>
                <w:rFonts w:ascii="Arial" w:cs="Arial" w:eastAsia="Arial" w:hAnsi="Arial"/>
                <w:sz w:val="22"/>
                <w:szCs w:val="22"/>
                <w:color w:val="0000FF"/>
                <w:w w:val="93"/>
              </w:rPr>
            </w:pPr>
            <w:hyperlink w:anchor="page59">
              <w:r>
                <w:rPr>
                  <w:rFonts w:ascii="Arial" w:cs="Arial" w:eastAsia="Arial" w:hAnsi="Arial"/>
                  <w:sz w:val="22"/>
                  <w:szCs w:val="22"/>
                  <w:color w:val="0000FF"/>
                  <w:w w:val="93"/>
                </w:rPr>
                <w:t>Section 3.17  Material Nonpublic Information</w:t>
              </w:r>
            </w:hyperlink>
          </w:p>
        </w:tc>
        <w:tc>
          <w:tcPr>
            <w:tcW w:w="400" w:type="dxa"/>
            <w:vAlign w:val="bottom"/>
            <w:tcBorders>
              <w:top w:val="single" w:sz="8" w:color="0000FF"/>
            </w:tcBorders>
            <w:gridSpan w:val="2"/>
          </w:tcPr>
          <w:p>
            <w:pPr>
              <w:spacing w:after="0"/>
              <w:rPr>
                <w:sz w:val="21"/>
                <w:szCs w:val="21"/>
                <w:color w:val="auto"/>
              </w:rPr>
            </w:pPr>
          </w:p>
        </w:tc>
        <w:tc>
          <w:tcPr>
            <w:tcW w:w="6400" w:type="dxa"/>
            <w:vAlign w:val="bottom"/>
            <w:gridSpan w:val="6"/>
          </w:tcPr>
          <w:p>
            <w:pPr>
              <w:spacing w:after="0"/>
              <w:rPr>
                <w:sz w:val="21"/>
                <w:szCs w:val="21"/>
                <w:color w:val="auto"/>
              </w:rPr>
            </w:pPr>
          </w:p>
        </w:tc>
        <w:tc>
          <w:tcPr>
            <w:tcW w:w="220" w:type="dxa"/>
            <w:vAlign w:val="bottom"/>
            <w:tcBorders>
              <w:top w:val="single" w:sz="8" w:color="0000FF"/>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66</w:t>
              </w:r>
            </w:hyperlink>
          </w:p>
        </w:tc>
      </w:tr>
      <w:tr>
        <w:trPr>
          <w:trHeight w:val="250"/>
        </w:trPr>
        <w:tc>
          <w:tcPr>
            <w:tcW w:w="10880" w:type="dxa"/>
            <w:vAlign w:val="bottom"/>
            <w:gridSpan w:val="34"/>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3.18  Conduct of Business</w:t>
              </w:r>
            </w:hyperlink>
          </w:p>
        </w:tc>
        <w:tc>
          <w:tcPr>
            <w:tcW w:w="220" w:type="dxa"/>
            <w:vAlign w:val="bottom"/>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66</w:t>
              </w:r>
            </w:hyperlink>
          </w:p>
        </w:tc>
      </w:tr>
      <w:tr>
        <w:trPr>
          <w:trHeight w:val="250"/>
        </w:trPr>
        <w:tc>
          <w:tcPr>
            <w:tcW w:w="1180" w:type="dxa"/>
            <w:vAlign w:val="bottom"/>
            <w:tcBorders>
              <w:top w:val="single" w:sz="8" w:color="0000FF"/>
            </w:tcBorders>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3.19</w:t>
              </w:r>
            </w:hyperlink>
          </w:p>
        </w:tc>
        <w:tc>
          <w:tcPr>
            <w:tcW w:w="1900" w:type="dxa"/>
            <w:vAlign w:val="bottom"/>
            <w:tcBorders>
              <w:top w:val="single" w:sz="8" w:color="0000FF"/>
            </w:tcBorders>
            <w:gridSpan w:val="14"/>
          </w:tcPr>
          <w:p>
            <w:pPr>
              <w:ind w:left="120"/>
              <w:spacing w:after="0" w:line="250" w:lineRule="exact"/>
              <w:rPr>
                <w:rFonts w:ascii="Arial" w:cs="Arial" w:eastAsia="Arial" w:hAnsi="Arial"/>
                <w:sz w:val="22"/>
                <w:szCs w:val="22"/>
                <w:color w:val="0000FF"/>
                <w:w w:val="99"/>
              </w:rPr>
            </w:pPr>
            <w:hyperlink w:anchor="page59">
              <w:r>
                <w:rPr>
                  <w:rFonts w:ascii="Arial" w:cs="Arial" w:eastAsia="Arial" w:hAnsi="Arial"/>
                  <w:sz w:val="22"/>
                  <w:szCs w:val="22"/>
                  <w:color w:val="0000FF"/>
                  <w:w w:val="99"/>
                </w:rPr>
                <w:t>Employee Matters</w:t>
              </w:r>
            </w:hyperlink>
          </w:p>
        </w:tc>
        <w:tc>
          <w:tcPr>
            <w:tcW w:w="7800" w:type="dxa"/>
            <w:vAlign w:val="bottom"/>
            <w:gridSpan w:val="19"/>
          </w:tcPr>
          <w:p>
            <w:pPr>
              <w:spacing w:after="0"/>
              <w:rPr>
                <w:sz w:val="21"/>
                <w:szCs w:val="21"/>
                <w:color w:val="auto"/>
              </w:rPr>
            </w:pPr>
          </w:p>
        </w:tc>
        <w:tc>
          <w:tcPr>
            <w:tcW w:w="220" w:type="dxa"/>
            <w:vAlign w:val="bottom"/>
            <w:tcBorders>
              <w:top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66</w:t>
              </w:r>
            </w:hyperlink>
          </w:p>
        </w:tc>
      </w:tr>
      <w:tr>
        <w:trPr>
          <w:trHeight w:val="250"/>
        </w:trPr>
        <w:tc>
          <w:tcPr>
            <w:tcW w:w="2660" w:type="dxa"/>
            <w:vAlign w:val="bottom"/>
            <w:tcBorders>
              <w:top w:val="single" w:sz="8" w:color="0000FF"/>
              <w:bottom w:val="single" w:sz="8" w:color="0000FF"/>
            </w:tcBorders>
            <w:gridSpan w:val="8"/>
          </w:tcPr>
          <w:p>
            <w:pPr>
              <w:spacing w:after="0" w:line="250" w:lineRule="exact"/>
              <w:rPr>
                <w:rFonts w:ascii="Arial" w:cs="Arial" w:eastAsia="Arial" w:hAnsi="Arial"/>
                <w:sz w:val="22"/>
                <w:szCs w:val="22"/>
                <w:color w:val="0000FF"/>
                <w:w w:val="91"/>
              </w:rPr>
            </w:pPr>
            <w:hyperlink w:anchor="page59">
              <w:r>
                <w:rPr>
                  <w:rFonts w:ascii="Arial" w:cs="Arial" w:eastAsia="Arial" w:hAnsi="Arial"/>
                  <w:sz w:val="22"/>
                  <w:szCs w:val="22"/>
                  <w:color w:val="0000FF"/>
                  <w:w w:val="91"/>
                </w:rPr>
                <w:t>Section 3.20  No Plan Assets</w:t>
              </w:r>
            </w:hyperlink>
          </w:p>
        </w:tc>
        <w:tc>
          <w:tcPr>
            <w:tcW w:w="220" w:type="dxa"/>
            <w:vAlign w:val="bottom"/>
            <w:tcBorders>
              <w:top w:val="single" w:sz="8" w:color="0000FF"/>
            </w:tcBorders>
            <w:gridSpan w:val="3"/>
          </w:tcPr>
          <w:p>
            <w:pPr>
              <w:spacing w:after="0"/>
              <w:rPr>
                <w:sz w:val="21"/>
                <w:szCs w:val="21"/>
                <w:color w:val="auto"/>
              </w:rPr>
            </w:pPr>
          </w:p>
        </w:tc>
        <w:tc>
          <w:tcPr>
            <w:tcW w:w="8000" w:type="dxa"/>
            <w:vAlign w:val="bottom"/>
            <w:gridSpan w:val="23"/>
          </w:tcPr>
          <w:p>
            <w:pPr>
              <w:spacing w:after="0"/>
              <w:rPr>
                <w:sz w:val="21"/>
                <w:szCs w:val="21"/>
                <w:color w:val="auto"/>
              </w:rPr>
            </w:pPr>
          </w:p>
        </w:tc>
        <w:tc>
          <w:tcPr>
            <w:tcW w:w="220" w:type="dxa"/>
            <w:vAlign w:val="bottom"/>
            <w:tcBorders>
              <w:top w:val="single" w:sz="8" w:color="0000FF"/>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67</w:t>
              </w:r>
            </w:hyperlink>
          </w:p>
        </w:tc>
      </w:tr>
      <w:tr>
        <w:trPr>
          <w:trHeight w:val="250"/>
        </w:trPr>
        <w:tc>
          <w:tcPr>
            <w:tcW w:w="1180" w:type="dxa"/>
            <w:vAlign w:val="bottom"/>
            <w:tcBorders>
              <w:bottom w:val="single" w:sz="8" w:color="0000FF"/>
            </w:tcBorders>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3.21</w:t>
              </w:r>
            </w:hyperlink>
          </w:p>
        </w:tc>
        <w:tc>
          <w:tcPr>
            <w:tcW w:w="2280" w:type="dxa"/>
            <w:vAlign w:val="bottom"/>
            <w:tcBorders>
              <w:bottom w:val="single" w:sz="8" w:color="0000FF"/>
            </w:tcBorders>
            <w:gridSpan w:val="20"/>
          </w:tcPr>
          <w:p>
            <w:pPr>
              <w:ind w:left="120"/>
              <w:spacing w:after="0" w:line="250" w:lineRule="exact"/>
              <w:rPr>
                <w:rFonts w:ascii="Arial" w:cs="Arial" w:eastAsia="Arial" w:hAnsi="Arial"/>
                <w:sz w:val="22"/>
                <w:szCs w:val="22"/>
                <w:color w:val="0000FF"/>
                <w:w w:val="88"/>
              </w:rPr>
            </w:pPr>
            <w:hyperlink w:anchor="page59">
              <w:r>
                <w:rPr>
                  <w:rFonts w:ascii="Arial" w:cs="Arial" w:eastAsia="Arial" w:hAnsi="Arial"/>
                  <w:sz w:val="22"/>
                  <w:szCs w:val="22"/>
                  <w:color w:val="0000FF"/>
                  <w:w w:val="88"/>
                </w:rPr>
                <w:t>Organization Documents</w:t>
              </w:r>
            </w:hyperlink>
          </w:p>
        </w:tc>
        <w:tc>
          <w:tcPr>
            <w:tcW w:w="7420" w:type="dxa"/>
            <w:vAlign w:val="bottom"/>
            <w:gridSpan w:val="13"/>
          </w:tcPr>
          <w:p>
            <w:pPr>
              <w:spacing w:after="0"/>
              <w:rPr>
                <w:sz w:val="21"/>
                <w:szCs w:val="21"/>
                <w:color w:val="auto"/>
              </w:rPr>
            </w:pPr>
          </w:p>
        </w:tc>
        <w:tc>
          <w:tcPr>
            <w:tcW w:w="220" w:type="dxa"/>
            <w:vAlign w:val="bottom"/>
            <w:tcBorders>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67</w:t>
              </w:r>
            </w:hyperlink>
          </w:p>
        </w:tc>
      </w:tr>
      <w:tr>
        <w:trPr>
          <w:trHeight w:val="250"/>
        </w:trPr>
        <w:tc>
          <w:tcPr>
            <w:tcW w:w="1180" w:type="dxa"/>
            <w:vAlign w:val="bottom"/>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3.22</w:t>
              </w:r>
            </w:hyperlink>
          </w:p>
        </w:tc>
        <w:tc>
          <w:tcPr>
            <w:tcW w:w="9700" w:type="dxa"/>
            <w:vAlign w:val="bottom"/>
            <w:gridSpan w:val="33"/>
          </w:tcPr>
          <w:p>
            <w:pPr>
              <w:ind w:left="1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Beneficial Ownership</w:t>
              </w:r>
            </w:hyperlink>
          </w:p>
        </w:tc>
        <w:tc>
          <w:tcPr>
            <w:tcW w:w="220" w:type="dxa"/>
            <w:vAlign w:val="bottom"/>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67</w:t>
              </w:r>
            </w:hyperlink>
          </w:p>
        </w:tc>
      </w:tr>
      <w:tr>
        <w:trPr>
          <w:trHeight w:val="250"/>
        </w:trPr>
        <w:tc>
          <w:tcPr>
            <w:tcW w:w="2820" w:type="dxa"/>
            <w:vAlign w:val="bottom"/>
            <w:tcBorders>
              <w:top w:val="single" w:sz="8" w:color="0000FF"/>
              <w:bottom w:val="single" w:sz="8" w:color="0000FF"/>
            </w:tcBorders>
            <w:gridSpan w:val="10"/>
          </w:tcPr>
          <w:p>
            <w:pPr>
              <w:spacing w:after="0" w:line="250" w:lineRule="exact"/>
              <w:rPr>
                <w:rFonts w:ascii="Arial" w:cs="Arial" w:eastAsia="Arial" w:hAnsi="Arial"/>
                <w:sz w:val="22"/>
                <w:szCs w:val="22"/>
                <w:color w:val="0000FF"/>
                <w:w w:val="92"/>
              </w:rPr>
            </w:pPr>
            <w:hyperlink w:anchor="page59">
              <w:r>
                <w:rPr>
                  <w:rFonts w:ascii="Arial" w:cs="Arial" w:eastAsia="Arial" w:hAnsi="Arial"/>
                  <w:sz w:val="22"/>
                  <w:szCs w:val="22"/>
                  <w:color w:val="0000FF"/>
                  <w:w w:val="92"/>
                </w:rPr>
                <w:t>Article 4 Conditions Of Lending</w:t>
              </w:r>
            </w:hyperlink>
          </w:p>
        </w:tc>
        <w:tc>
          <w:tcPr>
            <w:tcW w:w="360" w:type="dxa"/>
            <w:vAlign w:val="bottom"/>
            <w:tcBorders>
              <w:top w:val="single" w:sz="8" w:color="0000FF"/>
            </w:tcBorders>
            <w:gridSpan w:val="8"/>
          </w:tcPr>
          <w:p>
            <w:pPr>
              <w:spacing w:after="0"/>
              <w:rPr>
                <w:sz w:val="21"/>
                <w:szCs w:val="21"/>
                <w:color w:val="auto"/>
              </w:rPr>
            </w:pPr>
          </w:p>
        </w:tc>
        <w:tc>
          <w:tcPr>
            <w:tcW w:w="7700" w:type="dxa"/>
            <w:vAlign w:val="bottom"/>
            <w:gridSpan w:val="16"/>
          </w:tcPr>
          <w:p>
            <w:pPr>
              <w:spacing w:after="0"/>
              <w:rPr>
                <w:sz w:val="21"/>
                <w:szCs w:val="21"/>
                <w:color w:val="auto"/>
              </w:rPr>
            </w:pPr>
          </w:p>
        </w:tc>
        <w:tc>
          <w:tcPr>
            <w:tcW w:w="220" w:type="dxa"/>
            <w:vAlign w:val="bottom"/>
            <w:tcBorders>
              <w:top w:val="single" w:sz="8" w:color="0000FF"/>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67</w:t>
              </w:r>
            </w:hyperlink>
          </w:p>
        </w:tc>
      </w:tr>
      <w:tr>
        <w:trPr>
          <w:trHeight w:val="250"/>
        </w:trPr>
        <w:tc>
          <w:tcPr>
            <w:tcW w:w="5000" w:type="dxa"/>
            <w:vAlign w:val="bottom"/>
            <w:tcBorders>
              <w:bottom w:val="single" w:sz="8" w:color="0000FF"/>
            </w:tcBorders>
            <w:gridSpan w:val="30"/>
          </w:tcPr>
          <w:p>
            <w:pPr>
              <w:spacing w:after="0" w:line="250" w:lineRule="exact"/>
              <w:rPr>
                <w:rFonts w:ascii="Arial" w:cs="Arial" w:eastAsia="Arial" w:hAnsi="Arial"/>
                <w:sz w:val="22"/>
                <w:szCs w:val="22"/>
                <w:color w:val="0000FF"/>
                <w:w w:val="90"/>
              </w:rPr>
            </w:pPr>
            <w:hyperlink w:anchor="page59">
              <w:r>
                <w:rPr>
                  <w:rFonts w:ascii="Arial" w:cs="Arial" w:eastAsia="Arial" w:hAnsi="Arial"/>
                  <w:sz w:val="22"/>
                  <w:szCs w:val="22"/>
                  <w:color w:val="0000FF"/>
                  <w:w w:val="90"/>
                </w:rPr>
                <w:t>Section 4.01  Conditions Precedent to the Effective Date</w:t>
              </w:r>
            </w:hyperlink>
          </w:p>
        </w:tc>
        <w:tc>
          <w:tcPr>
            <w:tcW w:w="5880" w:type="dxa"/>
            <w:vAlign w:val="bottom"/>
            <w:gridSpan w:val="4"/>
          </w:tcPr>
          <w:p>
            <w:pPr>
              <w:spacing w:after="0"/>
              <w:rPr>
                <w:sz w:val="21"/>
                <w:szCs w:val="21"/>
                <w:color w:val="auto"/>
              </w:rPr>
            </w:pPr>
          </w:p>
        </w:tc>
        <w:tc>
          <w:tcPr>
            <w:tcW w:w="220" w:type="dxa"/>
            <w:vAlign w:val="bottom"/>
            <w:tcBorders>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67</w:t>
              </w:r>
            </w:hyperlink>
          </w:p>
        </w:tc>
      </w:tr>
      <w:tr>
        <w:trPr>
          <w:trHeight w:val="250"/>
        </w:trPr>
        <w:tc>
          <w:tcPr>
            <w:tcW w:w="4740" w:type="dxa"/>
            <w:vAlign w:val="bottom"/>
            <w:tcBorders>
              <w:bottom w:val="single" w:sz="8" w:color="0000FF"/>
            </w:tcBorders>
            <w:gridSpan w:val="29"/>
          </w:tcPr>
          <w:p>
            <w:pPr>
              <w:spacing w:after="0" w:line="250" w:lineRule="exact"/>
              <w:rPr>
                <w:rFonts w:ascii="Arial" w:cs="Arial" w:eastAsia="Arial" w:hAnsi="Arial"/>
                <w:sz w:val="22"/>
                <w:szCs w:val="22"/>
                <w:color w:val="0000FF"/>
                <w:w w:val="89"/>
              </w:rPr>
            </w:pPr>
            <w:hyperlink w:anchor="page59">
              <w:r>
                <w:rPr>
                  <w:rFonts w:ascii="Arial" w:cs="Arial" w:eastAsia="Arial" w:hAnsi="Arial"/>
                  <w:sz w:val="22"/>
                  <w:szCs w:val="22"/>
                  <w:color w:val="0000FF"/>
                  <w:w w:val="89"/>
                </w:rPr>
                <w:t>Section 4.02  Conditions Precedent To Each Advance</w:t>
              </w:r>
            </w:hyperlink>
          </w:p>
        </w:tc>
        <w:tc>
          <w:tcPr>
            <w:tcW w:w="6140" w:type="dxa"/>
            <w:vAlign w:val="bottom"/>
            <w:gridSpan w:val="5"/>
          </w:tcPr>
          <w:p>
            <w:pPr>
              <w:spacing w:after="0"/>
              <w:rPr>
                <w:sz w:val="21"/>
                <w:szCs w:val="21"/>
                <w:color w:val="auto"/>
              </w:rPr>
            </w:pPr>
          </w:p>
        </w:tc>
        <w:tc>
          <w:tcPr>
            <w:tcW w:w="220" w:type="dxa"/>
            <w:vAlign w:val="bottom"/>
            <w:tcBorders>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69</w:t>
              </w:r>
            </w:hyperlink>
          </w:p>
        </w:tc>
      </w:tr>
      <w:tr>
        <w:trPr>
          <w:trHeight w:val="250"/>
        </w:trPr>
        <w:tc>
          <w:tcPr>
            <w:tcW w:w="8380" w:type="dxa"/>
            <w:vAlign w:val="bottom"/>
            <w:tcBorders>
              <w:bottom w:val="single" w:sz="8" w:color="0000FF"/>
            </w:tcBorders>
            <w:gridSpan w:val="33"/>
          </w:tcPr>
          <w:p>
            <w:pPr>
              <w:spacing w:after="0" w:line="250" w:lineRule="exact"/>
              <w:rPr>
                <w:rFonts w:ascii="Arial" w:cs="Arial" w:eastAsia="Arial" w:hAnsi="Arial"/>
                <w:sz w:val="22"/>
                <w:szCs w:val="22"/>
                <w:color w:val="0000FF"/>
                <w:w w:val="90"/>
              </w:rPr>
            </w:pPr>
            <w:hyperlink w:anchor="page59">
              <w:r>
                <w:rPr>
                  <w:rFonts w:ascii="Arial" w:cs="Arial" w:eastAsia="Arial" w:hAnsi="Arial"/>
                  <w:sz w:val="22"/>
                  <w:szCs w:val="22"/>
                  <w:color w:val="0000FF"/>
                  <w:w w:val="90"/>
                </w:rPr>
                <w:t>Section 4.03  Conditions Precedent To the Effectiveness of an Incremental Facility Amendment</w:t>
              </w:r>
            </w:hyperlink>
          </w:p>
        </w:tc>
        <w:tc>
          <w:tcPr>
            <w:tcW w:w="2500" w:type="dxa"/>
            <w:vAlign w:val="bottom"/>
          </w:tcPr>
          <w:p>
            <w:pPr>
              <w:spacing w:after="0"/>
              <w:rPr>
                <w:sz w:val="21"/>
                <w:szCs w:val="21"/>
                <w:color w:val="auto"/>
              </w:rPr>
            </w:pPr>
          </w:p>
        </w:tc>
        <w:tc>
          <w:tcPr>
            <w:tcW w:w="220" w:type="dxa"/>
            <w:vAlign w:val="bottom"/>
            <w:tcBorders>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70</w:t>
              </w:r>
            </w:hyperlink>
          </w:p>
        </w:tc>
      </w:tr>
      <w:tr>
        <w:trPr>
          <w:trHeight w:val="250"/>
        </w:trPr>
        <w:tc>
          <w:tcPr>
            <w:tcW w:w="2800" w:type="dxa"/>
            <w:vAlign w:val="bottom"/>
            <w:tcBorders>
              <w:bottom w:val="single" w:sz="8" w:color="0000FF"/>
            </w:tcBorders>
            <w:gridSpan w:val="9"/>
          </w:tcPr>
          <w:p>
            <w:pPr>
              <w:spacing w:after="0" w:line="250" w:lineRule="exact"/>
              <w:rPr>
                <w:rFonts w:ascii="Arial" w:cs="Arial" w:eastAsia="Arial" w:hAnsi="Arial"/>
                <w:sz w:val="22"/>
                <w:szCs w:val="22"/>
                <w:color w:val="0000FF"/>
                <w:w w:val="92"/>
              </w:rPr>
            </w:pPr>
            <w:hyperlink w:anchor="page59">
              <w:r>
                <w:rPr>
                  <w:rFonts w:ascii="Arial" w:cs="Arial" w:eastAsia="Arial" w:hAnsi="Arial"/>
                  <w:sz w:val="22"/>
                  <w:szCs w:val="22"/>
                  <w:color w:val="0000FF"/>
                  <w:w w:val="92"/>
                </w:rPr>
                <w:t>Article 5 Affirmative Covenants</w:t>
              </w:r>
            </w:hyperlink>
          </w:p>
        </w:tc>
        <w:tc>
          <w:tcPr>
            <w:tcW w:w="8080" w:type="dxa"/>
            <w:vAlign w:val="bottom"/>
            <w:gridSpan w:val="25"/>
          </w:tcPr>
          <w:p>
            <w:pPr>
              <w:spacing w:after="0"/>
              <w:rPr>
                <w:sz w:val="21"/>
                <w:szCs w:val="21"/>
                <w:color w:val="auto"/>
              </w:rPr>
            </w:pPr>
          </w:p>
        </w:tc>
        <w:tc>
          <w:tcPr>
            <w:tcW w:w="220" w:type="dxa"/>
            <w:vAlign w:val="bottom"/>
            <w:tcBorders>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71</w:t>
              </w:r>
            </w:hyperlink>
          </w:p>
        </w:tc>
      </w:tr>
      <w:tr>
        <w:trPr>
          <w:trHeight w:val="250"/>
        </w:trPr>
        <w:tc>
          <w:tcPr>
            <w:tcW w:w="1180" w:type="dxa"/>
            <w:vAlign w:val="bottom"/>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5.01</w:t>
              </w:r>
            </w:hyperlink>
          </w:p>
        </w:tc>
        <w:tc>
          <w:tcPr>
            <w:tcW w:w="9700" w:type="dxa"/>
            <w:vAlign w:val="bottom"/>
            <w:gridSpan w:val="33"/>
          </w:tcPr>
          <w:p>
            <w:pPr>
              <w:ind w:left="1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Financial Statements</w:t>
              </w:r>
            </w:hyperlink>
          </w:p>
        </w:tc>
        <w:tc>
          <w:tcPr>
            <w:tcW w:w="220" w:type="dxa"/>
            <w:vAlign w:val="bottom"/>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71</w:t>
              </w:r>
            </w:hyperlink>
          </w:p>
        </w:tc>
      </w:tr>
      <w:tr>
        <w:trPr>
          <w:trHeight w:val="20"/>
        </w:trPr>
        <w:tc>
          <w:tcPr>
            <w:tcW w:w="178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0880" w:type="dxa"/>
            <w:vAlign w:val="bottom"/>
            <w:gridSpan w:val="34"/>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5.02  Notices Of Material Events</w:t>
              </w:r>
            </w:hyperlink>
          </w:p>
        </w:tc>
        <w:tc>
          <w:tcPr>
            <w:tcW w:w="220" w:type="dxa"/>
            <w:vAlign w:val="bottom"/>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72</w:t>
              </w:r>
            </w:hyperlink>
          </w:p>
        </w:tc>
      </w:tr>
      <w:tr>
        <w:trPr>
          <w:trHeight w:val="20"/>
        </w:trPr>
        <w:tc>
          <w:tcPr>
            <w:tcW w:w="178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0880" w:type="dxa"/>
            <w:vAlign w:val="bottom"/>
            <w:gridSpan w:val="34"/>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5.03  Existence; Conduct Of Business</w:t>
              </w:r>
            </w:hyperlink>
          </w:p>
        </w:tc>
        <w:tc>
          <w:tcPr>
            <w:tcW w:w="220" w:type="dxa"/>
            <w:vAlign w:val="bottom"/>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73</w:t>
              </w:r>
            </w:hyperlink>
          </w:p>
        </w:tc>
      </w:tr>
      <w:tr>
        <w:trPr>
          <w:trHeight w:val="250"/>
        </w:trPr>
        <w:tc>
          <w:tcPr>
            <w:tcW w:w="3400" w:type="dxa"/>
            <w:vAlign w:val="bottom"/>
            <w:tcBorders>
              <w:top w:val="single" w:sz="8" w:color="0000FF"/>
              <w:bottom w:val="single" w:sz="8" w:color="0000FF"/>
            </w:tcBorders>
            <w:gridSpan w:val="20"/>
          </w:tcPr>
          <w:p>
            <w:pPr>
              <w:spacing w:after="0" w:line="250" w:lineRule="exact"/>
              <w:rPr>
                <w:rFonts w:ascii="Arial" w:cs="Arial" w:eastAsia="Arial" w:hAnsi="Arial"/>
                <w:sz w:val="22"/>
                <w:szCs w:val="22"/>
                <w:color w:val="0000FF"/>
                <w:w w:val="92"/>
              </w:rPr>
            </w:pPr>
            <w:hyperlink w:anchor="page59">
              <w:r>
                <w:rPr>
                  <w:rFonts w:ascii="Arial" w:cs="Arial" w:eastAsia="Arial" w:hAnsi="Arial"/>
                  <w:sz w:val="22"/>
                  <w:szCs w:val="22"/>
                  <w:color w:val="0000FF"/>
                  <w:w w:val="92"/>
                </w:rPr>
                <w:t>Section 5.04  Payment Of Obligations</w:t>
              </w:r>
            </w:hyperlink>
          </w:p>
        </w:tc>
        <w:tc>
          <w:tcPr>
            <w:tcW w:w="680" w:type="dxa"/>
            <w:vAlign w:val="bottom"/>
            <w:tcBorders>
              <w:top w:val="single" w:sz="8" w:color="0000FF"/>
            </w:tcBorders>
            <w:gridSpan w:val="6"/>
          </w:tcPr>
          <w:p>
            <w:pPr>
              <w:spacing w:after="0"/>
              <w:rPr>
                <w:sz w:val="21"/>
                <w:szCs w:val="21"/>
                <w:color w:val="auto"/>
              </w:rPr>
            </w:pPr>
          </w:p>
        </w:tc>
        <w:tc>
          <w:tcPr>
            <w:tcW w:w="6800" w:type="dxa"/>
            <w:vAlign w:val="bottom"/>
            <w:gridSpan w:val="8"/>
          </w:tcPr>
          <w:p>
            <w:pPr>
              <w:spacing w:after="0"/>
              <w:rPr>
                <w:sz w:val="21"/>
                <w:szCs w:val="21"/>
                <w:color w:val="auto"/>
              </w:rPr>
            </w:pPr>
          </w:p>
        </w:tc>
        <w:tc>
          <w:tcPr>
            <w:tcW w:w="220" w:type="dxa"/>
            <w:vAlign w:val="bottom"/>
            <w:tcBorders>
              <w:top w:val="single" w:sz="8" w:color="0000FF"/>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73</w:t>
              </w:r>
            </w:hyperlink>
          </w:p>
        </w:tc>
      </w:tr>
      <w:tr>
        <w:trPr>
          <w:trHeight w:val="250"/>
        </w:trPr>
        <w:tc>
          <w:tcPr>
            <w:tcW w:w="3340" w:type="dxa"/>
            <w:vAlign w:val="bottom"/>
            <w:tcBorders>
              <w:bottom w:val="single" w:sz="8" w:color="0000FF"/>
            </w:tcBorders>
            <w:gridSpan w:val="19"/>
          </w:tcPr>
          <w:p>
            <w:pPr>
              <w:spacing w:after="0" w:line="250" w:lineRule="exact"/>
              <w:rPr>
                <w:rFonts w:ascii="Arial" w:cs="Arial" w:eastAsia="Arial" w:hAnsi="Arial"/>
                <w:sz w:val="22"/>
                <w:szCs w:val="22"/>
                <w:color w:val="0000FF"/>
                <w:w w:val="92"/>
              </w:rPr>
            </w:pPr>
            <w:hyperlink w:anchor="page59">
              <w:r>
                <w:rPr>
                  <w:rFonts w:ascii="Arial" w:cs="Arial" w:eastAsia="Arial" w:hAnsi="Arial"/>
                  <w:sz w:val="22"/>
                  <w:szCs w:val="22"/>
                  <w:color w:val="0000FF"/>
                  <w:w w:val="92"/>
                </w:rPr>
                <w:t>Section 5.05  Compliance With Laws</w:t>
              </w:r>
            </w:hyperlink>
          </w:p>
        </w:tc>
        <w:tc>
          <w:tcPr>
            <w:tcW w:w="7540" w:type="dxa"/>
            <w:vAlign w:val="bottom"/>
            <w:gridSpan w:val="15"/>
          </w:tcPr>
          <w:p>
            <w:pPr>
              <w:spacing w:after="0"/>
              <w:rPr>
                <w:sz w:val="21"/>
                <w:szCs w:val="21"/>
                <w:color w:val="auto"/>
              </w:rPr>
            </w:pPr>
          </w:p>
        </w:tc>
        <w:tc>
          <w:tcPr>
            <w:tcW w:w="220" w:type="dxa"/>
            <w:vAlign w:val="bottom"/>
            <w:tcBorders>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74</w:t>
              </w:r>
            </w:hyperlink>
          </w:p>
        </w:tc>
      </w:tr>
      <w:tr>
        <w:trPr>
          <w:trHeight w:val="250"/>
        </w:trPr>
        <w:tc>
          <w:tcPr>
            <w:tcW w:w="4100" w:type="dxa"/>
            <w:vAlign w:val="bottom"/>
            <w:tcBorders>
              <w:bottom w:val="single" w:sz="8" w:color="0000FF"/>
            </w:tcBorders>
            <w:gridSpan w:val="27"/>
          </w:tcPr>
          <w:p>
            <w:pPr>
              <w:spacing w:after="0" w:line="250" w:lineRule="exact"/>
              <w:rPr>
                <w:rFonts w:ascii="Arial" w:cs="Arial" w:eastAsia="Arial" w:hAnsi="Arial"/>
                <w:sz w:val="22"/>
                <w:szCs w:val="22"/>
                <w:color w:val="0000FF"/>
                <w:w w:val="93"/>
              </w:rPr>
            </w:pPr>
            <w:hyperlink w:anchor="page59">
              <w:r>
                <w:rPr>
                  <w:rFonts w:ascii="Arial" w:cs="Arial" w:eastAsia="Arial" w:hAnsi="Arial"/>
                  <w:sz w:val="22"/>
                  <w:szCs w:val="22"/>
                  <w:color w:val="0000FF"/>
                  <w:w w:val="93"/>
                </w:rPr>
                <w:t>Section 5.06  Provision Of Public Information</w:t>
              </w:r>
            </w:hyperlink>
          </w:p>
        </w:tc>
        <w:tc>
          <w:tcPr>
            <w:tcW w:w="6780" w:type="dxa"/>
            <w:vAlign w:val="bottom"/>
            <w:gridSpan w:val="7"/>
          </w:tcPr>
          <w:p>
            <w:pPr>
              <w:spacing w:after="0"/>
              <w:rPr>
                <w:sz w:val="21"/>
                <w:szCs w:val="21"/>
                <w:color w:val="auto"/>
              </w:rPr>
            </w:pPr>
          </w:p>
        </w:tc>
        <w:tc>
          <w:tcPr>
            <w:tcW w:w="220" w:type="dxa"/>
            <w:vAlign w:val="bottom"/>
            <w:tcBorders>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74</w:t>
              </w:r>
            </w:hyperlink>
          </w:p>
        </w:tc>
      </w:tr>
      <w:tr>
        <w:trPr>
          <w:trHeight w:val="250"/>
        </w:trPr>
        <w:tc>
          <w:tcPr>
            <w:tcW w:w="1180" w:type="dxa"/>
            <w:vAlign w:val="bottom"/>
            <w:tcBorders>
              <w:bottom w:val="single" w:sz="8" w:color="0000FF"/>
            </w:tcBorders>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5.07</w:t>
              </w:r>
            </w:hyperlink>
          </w:p>
        </w:tc>
        <w:tc>
          <w:tcPr>
            <w:tcW w:w="1080" w:type="dxa"/>
            <w:vAlign w:val="bottom"/>
            <w:tcBorders>
              <w:bottom w:val="single" w:sz="8" w:color="0000FF"/>
            </w:tcBorders>
            <w:gridSpan w:val="4"/>
          </w:tcPr>
          <w:p>
            <w:pPr>
              <w:ind w:left="120"/>
              <w:spacing w:after="0" w:line="250" w:lineRule="exact"/>
              <w:rPr>
                <w:rFonts w:ascii="Arial" w:cs="Arial" w:eastAsia="Arial" w:hAnsi="Arial"/>
                <w:sz w:val="22"/>
                <w:szCs w:val="22"/>
                <w:color w:val="0000FF"/>
                <w:w w:val="89"/>
              </w:rPr>
            </w:pPr>
            <w:hyperlink w:anchor="page59">
              <w:r>
                <w:rPr>
                  <w:rFonts w:ascii="Arial" w:cs="Arial" w:eastAsia="Arial" w:hAnsi="Arial"/>
                  <w:sz w:val="22"/>
                  <w:szCs w:val="22"/>
                  <w:color w:val="0000FF"/>
                  <w:w w:val="89"/>
                </w:rPr>
                <w:t>Disclosure</w:t>
              </w:r>
            </w:hyperlink>
          </w:p>
        </w:tc>
        <w:tc>
          <w:tcPr>
            <w:tcW w:w="8620" w:type="dxa"/>
            <w:vAlign w:val="bottom"/>
            <w:gridSpan w:val="29"/>
          </w:tcPr>
          <w:p>
            <w:pPr>
              <w:spacing w:after="0"/>
              <w:rPr>
                <w:sz w:val="21"/>
                <w:szCs w:val="21"/>
                <w:color w:val="auto"/>
              </w:rPr>
            </w:pPr>
          </w:p>
        </w:tc>
        <w:tc>
          <w:tcPr>
            <w:tcW w:w="220" w:type="dxa"/>
            <w:vAlign w:val="bottom"/>
            <w:tcBorders>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74</w:t>
              </w:r>
            </w:hyperlink>
          </w:p>
        </w:tc>
      </w:tr>
      <w:tr>
        <w:trPr>
          <w:trHeight w:val="250"/>
        </w:trPr>
        <w:tc>
          <w:tcPr>
            <w:tcW w:w="10880" w:type="dxa"/>
            <w:vAlign w:val="bottom"/>
            <w:gridSpan w:val="34"/>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5.08  Payment of PIK</w:t>
              </w:r>
            </w:hyperlink>
          </w:p>
        </w:tc>
        <w:tc>
          <w:tcPr>
            <w:tcW w:w="220" w:type="dxa"/>
            <w:vAlign w:val="bottom"/>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74</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180" w:type="dxa"/>
            <w:vAlign w:val="bottom"/>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5.09</w:t>
              </w:r>
            </w:hyperlink>
          </w:p>
        </w:tc>
        <w:tc>
          <w:tcPr>
            <w:tcW w:w="9700" w:type="dxa"/>
            <w:vAlign w:val="bottom"/>
            <w:gridSpan w:val="33"/>
          </w:tcPr>
          <w:p>
            <w:pPr>
              <w:ind w:left="1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Further Assurances</w:t>
              </w:r>
            </w:hyperlink>
          </w:p>
        </w:tc>
        <w:tc>
          <w:tcPr>
            <w:tcW w:w="220" w:type="dxa"/>
            <w:vAlign w:val="bottom"/>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74</w:t>
              </w:r>
            </w:hyperlink>
          </w:p>
        </w:tc>
      </w:tr>
      <w:tr>
        <w:trPr>
          <w:trHeight w:val="20"/>
        </w:trPr>
        <w:tc>
          <w:tcPr>
            <w:tcW w:w="178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3040" w:type="dxa"/>
            <w:vAlign w:val="bottom"/>
            <w:tcBorders>
              <w:bottom w:val="single" w:sz="8" w:color="0000FF"/>
            </w:tcBorders>
            <w:gridSpan w:val="14"/>
          </w:tcPr>
          <w:p>
            <w:pPr>
              <w:spacing w:after="0" w:line="250" w:lineRule="exact"/>
              <w:rPr>
                <w:rFonts w:ascii="Arial" w:cs="Arial" w:eastAsia="Arial" w:hAnsi="Arial"/>
                <w:sz w:val="22"/>
                <w:szCs w:val="22"/>
                <w:color w:val="0000FF"/>
                <w:w w:val="91"/>
              </w:rPr>
            </w:pPr>
            <w:hyperlink w:anchor="page59">
              <w:r>
                <w:rPr>
                  <w:rFonts w:ascii="Arial" w:cs="Arial" w:eastAsia="Arial" w:hAnsi="Arial"/>
                  <w:sz w:val="22"/>
                  <w:szCs w:val="22"/>
                  <w:color w:val="0000FF"/>
                  <w:w w:val="91"/>
                </w:rPr>
                <w:t>Section 5.10  Books And Records</w:t>
              </w:r>
            </w:hyperlink>
          </w:p>
        </w:tc>
        <w:tc>
          <w:tcPr>
            <w:tcW w:w="7840" w:type="dxa"/>
            <w:vAlign w:val="bottom"/>
            <w:gridSpan w:val="20"/>
          </w:tcPr>
          <w:p>
            <w:pPr>
              <w:spacing w:after="0"/>
              <w:rPr>
                <w:sz w:val="21"/>
                <w:szCs w:val="21"/>
                <w:color w:val="auto"/>
              </w:rPr>
            </w:pPr>
          </w:p>
        </w:tc>
        <w:tc>
          <w:tcPr>
            <w:tcW w:w="220" w:type="dxa"/>
            <w:vAlign w:val="bottom"/>
            <w:tcBorders>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75</w:t>
              </w:r>
            </w:hyperlink>
          </w:p>
        </w:tc>
      </w:tr>
      <w:tr>
        <w:trPr>
          <w:trHeight w:val="250"/>
        </w:trPr>
        <w:tc>
          <w:tcPr>
            <w:tcW w:w="6940" w:type="dxa"/>
            <w:vAlign w:val="bottom"/>
            <w:tcBorders>
              <w:bottom w:val="single" w:sz="8" w:color="0000FF"/>
            </w:tcBorders>
            <w:gridSpan w:val="32"/>
          </w:tcPr>
          <w:p>
            <w:pPr>
              <w:spacing w:after="0" w:line="250" w:lineRule="exact"/>
              <w:rPr>
                <w:rFonts w:ascii="Arial" w:cs="Arial" w:eastAsia="Arial" w:hAnsi="Arial"/>
                <w:sz w:val="22"/>
                <w:szCs w:val="22"/>
                <w:color w:val="0000FF"/>
                <w:w w:val="90"/>
              </w:rPr>
            </w:pPr>
            <w:hyperlink w:anchor="page59">
              <w:r>
                <w:rPr>
                  <w:rFonts w:ascii="Arial" w:cs="Arial" w:eastAsia="Arial" w:hAnsi="Arial"/>
                  <w:sz w:val="22"/>
                  <w:szCs w:val="22"/>
                  <w:color w:val="0000FF"/>
                  <w:w w:val="90"/>
                </w:rPr>
                <w:t>Section 5.11  Compliance with Organization Documents; Independent Director</w:t>
              </w:r>
            </w:hyperlink>
          </w:p>
        </w:tc>
        <w:tc>
          <w:tcPr>
            <w:tcW w:w="394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75</w:t>
              </w:r>
            </w:hyperlink>
          </w:p>
        </w:tc>
      </w:tr>
      <w:tr>
        <w:trPr>
          <w:trHeight w:val="250"/>
        </w:trPr>
        <w:tc>
          <w:tcPr>
            <w:tcW w:w="2980" w:type="dxa"/>
            <w:vAlign w:val="bottom"/>
            <w:tcBorders>
              <w:bottom w:val="single" w:sz="8" w:color="0000FF"/>
            </w:tcBorders>
            <w:gridSpan w:val="13"/>
          </w:tcPr>
          <w:p>
            <w:pPr>
              <w:spacing w:after="0" w:line="250" w:lineRule="exact"/>
              <w:rPr>
                <w:rFonts w:ascii="Arial" w:cs="Arial" w:eastAsia="Arial" w:hAnsi="Arial"/>
                <w:sz w:val="22"/>
                <w:szCs w:val="22"/>
                <w:color w:val="0000FF"/>
                <w:w w:val="91"/>
              </w:rPr>
            </w:pPr>
            <w:hyperlink w:anchor="page59">
              <w:r>
                <w:rPr>
                  <w:rFonts w:ascii="Arial" w:cs="Arial" w:eastAsia="Arial" w:hAnsi="Arial"/>
                  <w:sz w:val="22"/>
                  <w:szCs w:val="22"/>
                  <w:color w:val="0000FF"/>
                  <w:w w:val="91"/>
                </w:rPr>
                <w:t>Section 5.12  ERISA Plan Assets</w:t>
              </w:r>
            </w:hyperlink>
          </w:p>
        </w:tc>
        <w:tc>
          <w:tcPr>
            <w:tcW w:w="7900" w:type="dxa"/>
            <w:vAlign w:val="bottom"/>
            <w:gridSpan w:val="21"/>
          </w:tcPr>
          <w:p>
            <w:pPr>
              <w:spacing w:after="0"/>
              <w:rPr>
                <w:sz w:val="21"/>
                <w:szCs w:val="21"/>
                <w:color w:val="auto"/>
              </w:rPr>
            </w:pPr>
          </w:p>
        </w:tc>
        <w:tc>
          <w:tcPr>
            <w:tcW w:w="220" w:type="dxa"/>
            <w:vAlign w:val="bottom"/>
            <w:tcBorders>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75</w:t>
              </w:r>
            </w:hyperlink>
          </w:p>
        </w:tc>
      </w:tr>
      <w:tr>
        <w:trPr>
          <w:trHeight w:val="250"/>
        </w:trPr>
        <w:tc>
          <w:tcPr>
            <w:tcW w:w="10880" w:type="dxa"/>
            <w:vAlign w:val="bottom"/>
            <w:gridSpan w:val="34"/>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5.13  Independent Director Fees</w:t>
              </w:r>
            </w:hyperlink>
          </w:p>
        </w:tc>
        <w:tc>
          <w:tcPr>
            <w:tcW w:w="220" w:type="dxa"/>
            <w:vAlign w:val="bottom"/>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75</w:t>
              </w:r>
            </w:hyperlink>
          </w:p>
        </w:tc>
      </w:tr>
      <w:tr>
        <w:trPr>
          <w:trHeight w:val="250"/>
        </w:trPr>
        <w:tc>
          <w:tcPr>
            <w:tcW w:w="2560" w:type="dxa"/>
            <w:vAlign w:val="bottom"/>
            <w:tcBorders>
              <w:top w:val="single" w:sz="8" w:color="0000FF"/>
              <w:bottom w:val="single" w:sz="8" w:color="0000FF"/>
            </w:tcBorders>
            <w:gridSpan w:val="7"/>
          </w:tcPr>
          <w:p>
            <w:pPr>
              <w:spacing w:after="0" w:line="250" w:lineRule="exact"/>
              <w:rPr>
                <w:rFonts w:ascii="Arial" w:cs="Arial" w:eastAsia="Arial" w:hAnsi="Arial"/>
                <w:sz w:val="22"/>
                <w:szCs w:val="22"/>
                <w:color w:val="0000FF"/>
                <w:w w:val="89"/>
              </w:rPr>
            </w:pPr>
            <w:hyperlink w:anchor="page59">
              <w:r>
                <w:rPr>
                  <w:rFonts w:ascii="Arial" w:cs="Arial" w:eastAsia="Arial" w:hAnsi="Arial"/>
                  <w:sz w:val="22"/>
                  <w:szCs w:val="22"/>
                  <w:color w:val="0000FF"/>
                  <w:w w:val="89"/>
                </w:rPr>
                <w:t>Article 6 Negative Covenants</w:t>
              </w:r>
            </w:hyperlink>
          </w:p>
        </w:tc>
        <w:tc>
          <w:tcPr>
            <w:tcW w:w="1020" w:type="dxa"/>
            <w:vAlign w:val="bottom"/>
            <w:tcBorders>
              <w:top w:val="single" w:sz="8" w:color="0000FF"/>
            </w:tcBorders>
            <w:gridSpan w:val="15"/>
          </w:tcPr>
          <w:p>
            <w:pPr>
              <w:spacing w:after="0"/>
              <w:rPr>
                <w:sz w:val="21"/>
                <w:szCs w:val="21"/>
                <w:color w:val="auto"/>
              </w:rPr>
            </w:pPr>
          </w:p>
        </w:tc>
        <w:tc>
          <w:tcPr>
            <w:tcW w:w="7300" w:type="dxa"/>
            <w:vAlign w:val="bottom"/>
            <w:gridSpan w:val="12"/>
          </w:tcPr>
          <w:p>
            <w:pPr>
              <w:spacing w:after="0"/>
              <w:rPr>
                <w:sz w:val="21"/>
                <w:szCs w:val="21"/>
                <w:color w:val="auto"/>
              </w:rPr>
            </w:pPr>
          </w:p>
        </w:tc>
        <w:tc>
          <w:tcPr>
            <w:tcW w:w="220" w:type="dxa"/>
            <w:vAlign w:val="bottom"/>
            <w:tcBorders>
              <w:top w:val="single" w:sz="8" w:color="0000FF"/>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75</w:t>
              </w:r>
            </w:hyperlink>
          </w:p>
        </w:tc>
      </w:tr>
      <w:tr>
        <w:trPr>
          <w:trHeight w:val="250"/>
        </w:trPr>
        <w:tc>
          <w:tcPr>
            <w:tcW w:w="1180" w:type="dxa"/>
            <w:vAlign w:val="bottom"/>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6.01</w:t>
              </w:r>
            </w:hyperlink>
          </w:p>
        </w:tc>
        <w:tc>
          <w:tcPr>
            <w:tcW w:w="9700" w:type="dxa"/>
            <w:vAlign w:val="bottom"/>
            <w:gridSpan w:val="33"/>
          </w:tcPr>
          <w:p>
            <w:pPr>
              <w:ind w:left="1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Indebtedness</w:t>
              </w:r>
            </w:hyperlink>
          </w:p>
        </w:tc>
        <w:tc>
          <w:tcPr>
            <w:tcW w:w="220" w:type="dxa"/>
            <w:vAlign w:val="bottom"/>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75</w:t>
              </w:r>
            </w:hyperlink>
          </w:p>
        </w:tc>
      </w:tr>
      <w:tr>
        <w:trPr>
          <w:trHeight w:val="250"/>
        </w:trPr>
        <w:tc>
          <w:tcPr>
            <w:tcW w:w="1180" w:type="dxa"/>
            <w:vAlign w:val="bottom"/>
            <w:tcBorders>
              <w:top w:val="single" w:sz="8" w:color="0000FF"/>
              <w:bottom w:val="single" w:sz="8" w:color="0000FF"/>
            </w:tcBorders>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6.02</w:t>
              </w:r>
            </w:hyperlink>
          </w:p>
        </w:tc>
        <w:tc>
          <w:tcPr>
            <w:tcW w:w="600" w:type="dxa"/>
            <w:vAlign w:val="bottom"/>
            <w:tcBorders>
              <w:top w:val="single" w:sz="8" w:color="0000FF"/>
              <w:bottom w:val="single" w:sz="8" w:color="0000FF"/>
            </w:tcBorders>
          </w:tcPr>
          <w:p>
            <w:pPr>
              <w:ind w:left="120"/>
              <w:spacing w:after="0" w:line="250" w:lineRule="exact"/>
              <w:rPr>
                <w:rFonts w:ascii="Arial" w:cs="Arial" w:eastAsia="Arial" w:hAnsi="Arial"/>
                <w:sz w:val="22"/>
                <w:szCs w:val="22"/>
                <w:color w:val="0000FF"/>
                <w:w w:val="87"/>
              </w:rPr>
            </w:pPr>
            <w:hyperlink w:anchor="page59">
              <w:r>
                <w:rPr>
                  <w:rFonts w:ascii="Arial" w:cs="Arial" w:eastAsia="Arial" w:hAnsi="Arial"/>
                  <w:sz w:val="22"/>
                  <w:szCs w:val="22"/>
                  <w:color w:val="0000FF"/>
                  <w:w w:val="87"/>
                </w:rPr>
                <w:t>Liens</w:t>
              </w:r>
            </w:hyperlink>
          </w:p>
        </w:tc>
        <w:tc>
          <w:tcPr>
            <w:tcW w:w="640" w:type="dxa"/>
            <w:vAlign w:val="bottom"/>
            <w:tcBorders>
              <w:top w:val="single" w:sz="8" w:color="0000FF"/>
            </w:tcBorders>
            <w:gridSpan w:val="4"/>
          </w:tcPr>
          <w:p>
            <w:pPr>
              <w:spacing w:after="0"/>
              <w:rPr>
                <w:sz w:val="21"/>
                <w:szCs w:val="21"/>
                <w:color w:val="auto"/>
              </w:rPr>
            </w:pPr>
          </w:p>
        </w:tc>
        <w:tc>
          <w:tcPr>
            <w:tcW w:w="8460" w:type="dxa"/>
            <w:vAlign w:val="bottom"/>
            <w:gridSpan w:val="28"/>
          </w:tcPr>
          <w:p>
            <w:pPr>
              <w:spacing w:after="0"/>
              <w:rPr>
                <w:sz w:val="21"/>
                <w:szCs w:val="21"/>
                <w:color w:val="auto"/>
              </w:rPr>
            </w:pPr>
          </w:p>
        </w:tc>
        <w:tc>
          <w:tcPr>
            <w:tcW w:w="220" w:type="dxa"/>
            <w:vAlign w:val="bottom"/>
            <w:tcBorders>
              <w:top w:val="single" w:sz="8" w:color="0000FF"/>
              <w:bottom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75</w:t>
              </w:r>
            </w:hyperlink>
          </w:p>
        </w:tc>
      </w:tr>
      <w:tr>
        <w:trPr>
          <w:trHeight w:val="250"/>
        </w:trPr>
        <w:tc>
          <w:tcPr>
            <w:tcW w:w="10880" w:type="dxa"/>
            <w:vAlign w:val="bottom"/>
            <w:gridSpan w:val="34"/>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6.03  Conduct of Business; Fundamental Changes</w:t>
              </w:r>
            </w:hyperlink>
          </w:p>
        </w:tc>
        <w:tc>
          <w:tcPr>
            <w:tcW w:w="220" w:type="dxa"/>
            <w:vAlign w:val="bottom"/>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75</w:t>
              </w:r>
            </w:hyperlink>
          </w:p>
        </w:tc>
      </w:tr>
      <w:tr>
        <w:trPr>
          <w:trHeight w:val="250"/>
        </w:trPr>
        <w:tc>
          <w:tcPr>
            <w:tcW w:w="1180" w:type="dxa"/>
            <w:vAlign w:val="bottom"/>
            <w:tcBorders>
              <w:top w:val="single" w:sz="8" w:color="0000FF"/>
            </w:tcBorders>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6.04</w:t>
              </w:r>
            </w:hyperlink>
          </w:p>
        </w:tc>
        <w:tc>
          <w:tcPr>
            <w:tcW w:w="3940" w:type="dxa"/>
            <w:vAlign w:val="bottom"/>
            <w:tcBorders>
              <w:top w:val="single" w:sz="8" w:color="0000FF"/>
            </w:tcBorders>
            <w:gridSpan w:val="30"/>
          </w:tcPr>
          <w:p>
            <w:pPr>
              <w:ind w:left="1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Asset Sales</w:t>
              </w:r>
            </w:hyperlink>
          </w:p>
        </w:tc>
        <w:tc>
          <w:tcPr>
            <w:tcW w:w="5760" w:type="dxa"/>
            <w:vAlign w:val="bottom"/>
            <w:gridSpan w:val="3"/>
          </w:tcPr>
          <w:p>
            <w:pPr>
              <w:spacing w:after="0"/>
              <w:rPr>
                <w:sz w:val="21"/>
                <w:szCs w:val="21"/>
                <w:color w:val="auto"/>
              </w:rPr>
            </w:pPr>
          </w:p>
        </w:tc>
        <w:tc>
          <w:tcPr>
            <w:tcW w:w="220" w:type="dxa"/>
            <w:vAlign w:val="bottom"/>
            <w:tcBorders>
              <w:top w:val="single" w:sz="8" w:color="0000FF"/>
            </w:tcBorders>
          </w:tcPr>
          <w:p>
            <w:pPr>
              <w:jc w:val="right"/>
              <w:spacing w:after="0" w:line="250" w:lineRule="exact"/>
              <w:rPr>
                <w:rFonts w:ascii="Arial" w:cs="Arial" w:eastAsia="Arial" w:hAnsi="Arial"/>
                <w:sz w:val="22"/>
                <w:szCs w:val="22"/>
                <w:color w:val="0000FF"/>
                <w:w w:val="81"/>
              </w:rPr>
            </w:pPr>
            <w:hyperlink w:anchor="page59">
              <w:r>
                <w:rPr>
                  <w:rFonts w:ascii="Arial" w:cs="Arial" w:eastAsia="Arial" w:hAnsi="Arial"/>
                  <w:sz w:val="22"/>
                  <w:szCs w:val="22"/>
                  <w:color w:val="0000FF"/>
                  <w:w w:val="81"/>
                </w:rPr>
                <w:t>76</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40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100"/>
          </w:cols>
          <w:pgMar w:left="400" w:top="1440" w:right="399" w:bottom="1440" w:gutter="0" w:footer="0" w:header="0"/>
          <w:type w:val="continuous"/>
        </w:sectPr>
      </w:pPr>
    </w:p>
    <w:bookmarkStart w:id="56" w:name="page57"/>
    <w:bookmarkEnd w:id="56"/>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20" w:type="dxa"/>
            <w:vAlign w:val="bottom"/>
            <w:gridSpan w:val="16"/>
          </w:tcPr>
          <w:p>
            <w:pPr>
              <w:spacing w:after="0"/>
              <w:rPr>
                <w:rFonts w:ascii="Arial" w:cs="Arial" w:eastAsia="Arial" w:hAnsi="Arial"/>
                <w:sz w:val="22"/>
                <w:szCs w:val="22"/>
                <w:color w:val="0000FF"/>
                <w:w w:val="92"/>
              </w:rPr>
            </w:pPr>
            <w:hyperlink w:anchor="page59">
              <w:r>
                <w:rPr>
                  <w:rFonts w:ascii="Arial" w:cs="Arial" w:eastAsia="Arial" w:hAnsi="Arial"/>
                  <w:sz w:val="22"/>
                  <w:szCs w:val="22"/>
                  <w:color w:val="0000FF"/>
                  <w:w w:val="92"/>
                </w:rPr>
                <w:t>Section 6.05  Investments And Acquisitions</w:t>
              </w:r>
            </w:hyperlink>
          </w:p>
        </w:tc>
        <w:tc>
          <w:tcPr>
            <w:tcW w:w="6840" w:type="dxa"/>
            <w:vAlign w:val="bottom"/>
            <w:gridSpan w:val="12"/>
          </w:tcPr>
          <w:p>
            <w:pPr>
              <w:spacing w:after="0"/>
              <w:rPr>
                <w:sz w:val="21"/>
                <w:szCs w:val="21"/>
                <w:color w:val="auto"/>
              </w:rPr>
            </w:pPr>
          </w:p>
        </w:tc>
        <w:tc>
          <w:tcPr>
            <w:tcW w:w="340" w:type="dxa"/>
            <w:vAlign w:val="bottom"/>
            <w:gridSpan w:val="2"/>
          </w:tcPr>
          <w:p>
            <w:pPr>
              <w:jc w:val="right"/>
              <w:spacing w:after="0"/>
              <w:rPr>
                <w:rFonts w:ascii="Arial" w:cs="Arial" w:eastAsia="Arial" w:hAnsi="Arial"/>
                <w:sz w:val="22"/>
                <w:szCs w:val="22"/>
                <w:color w:val="0000FF"/>
              </w:rPr>
            </w:pPr>
            <w:hyperlink w:anchor="page59">
              <w:r>
                <w:rPr>
                  <w:rFonts w:ascii="Arial" w:cs="Arial" w:eastAsia="Arial" w:hAnsi="Arial"/>
                  <w:sz w:val="22"/>
                  <w:szCs w:val="22"/>
                  <w:color w:val="0000FF"/>
                </w:rPr>
                <w:t>76</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180" w:type="dxa"/>
            <w:vAlign w:val="bottom"/>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6.06</w:t>
              </w:r>
            </w:hyperlink>
          </w:p>
        </w:tc>
        <w:tc>
          <w:tcPr>
            <w:tcW w:w="2740" w:type="dxa"/>
            <w:vAlign w:val="bottom"/>
            <w:gridSpan w:val="15"/>
          </w:tcPr>
          <w:p>
            <w:pPr>
              <w:ind w:left="1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Restricted Payments</w:t>
              </w:r>
            </w:hyperlink>
          </w:p>
        </w:tc>
        <w:tc>
          <w:tcPr>
            <w:tcW w:w="6840" w:type="dxa"/>
            <w:vAlign w:val="bottom"/>
            <w:gridSpan w:val="12"/>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76</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180" w:type="dxa"/>
            <w:vAlign w:val="bottom"/>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6.07</w:t>
              </w:r>
            </w:hyperlink>
          </w:p>
        </w:tc>
        <w:tc>
          <w:tcPr>
            <w:tcW w:w="1960" w:type="dxa"/>
            <w:vAlign w:val="bottom"/>
            <w:gridSpan w:val="11"/>
          </w:tcPr>
          <w:p>
            <w:pPr>
              <w:ind w:left="120"/>
              <w:spacing w:after="0" w:line="250" w:lineRule="exact"/>
              <w:rPr>
                <w:rFonts w:ascii="Arial" w:cs="Arial" w:eastAsia="Arial" w:hAnsi="Arial"/>
                <w:sz w:val="22"/>
                <w:szCs w:val="22"/>
                <w:color w:val="0000FF"/>
                <w:w w:val="86"/>
              </w:rPr>
            </w:pPr>
            <w:hyperlink w:anchor="page59">
              <w:r>
                <w:rPr>
                  <w:rFonts w:ascii="Arial" w:cs="Arial" w:eastAsia="Arial" w:hAnsi="Arial"/>
                  <w:sz w:val="22"/>
                  <w:szCs w:val="22"/>
                  <w:color w:val="0000FF"/>
                  <w:w w:val="86"/>
                </w:rPr>
                <w:t>Investment Company</w:t>
              </w:r>
            </w:hyperlink>
          </w:p>
        </w:tc>
        <w:tc>
          <w:tcPr>
            <w:tcW w:w="7620" w:type="dxa"/>
            <w:vAlign w:val="bottom"/>
            <w:gridSpan w:val="16"/>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76</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0760" w:type="dxa"/>
            <w:vAlign w:val="bottom"/>
            <w:gridSpan w:val="28"/>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6.08  No Amendment Of Organization Documents, Etc.</w:t>
              </w:r>
            </w:hyperlink>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76</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3740" w:type="dxa"/>
            <w:vAlign w:val="bottom"/>
            <w:gridSpan w:val="15"/>
          </w:tcPr>
          <w:p>
            <w:pPr>
              <w:spacing w:after="0" w:line="250" w:lineRule="exact"/>
              <w:rPr>
                <w:rFonts w:ascii="Arial" w:cs="Arial" w:eastAsia="Arial" w:hAnsi="Arial"/>
                <w:sz w:val="22"/>
                <w:szCs w:val="22"/>
                <w:color w:val="0000FF"/>
                <w:w w:val="92"/>
              </w:rPr>
            </w:pPr>
            <w:hyperlink w:anchor="page59">
              <w:r>
                <w:rPr>
                  <w:rFonts w:ascii="Arial" w:cs="Arial" w:eastAsia="Arial" w:hAnsi="Arial"/>
                  <w:sz w:val="22"/>
                  <w:szCs w:val="22"/>
                  <w:color w:val="0000FF"/>
                  <w:w w:val="92"/>
                </w:rPr>
                <w:t>Section 6.09  Transactions With Affiliates</w:t>
              </w:r>
            </w:hyperlink>
          </w:p>
        </w:tc>
        <w:tc>
          <w:tcPr>
            <w:tcW w:w="1880" w:type="dxa"/>
            <w:vAlign w:val="bottom"/>
            <w:gridSpan w:val="9"/>
          </w:tcPr>
          <w:p>
            <w:pPr>
              <w:spacing w:after="0"/>
              <w:rPr>
                <w:sz w:val="21"/>
                <w:szCs w:val="21"/>
                <w:color w:val="auto"/>
              </w:rPr>
            </w:pPr>
          </w:p>
        </w:tc>
        <w:tc>
          <w:tcPr>
            <w:tcW w:w="5140" w:type="dxa"/>
            <w:vAlign w:val="bottom"/>
            <w:gridSpan w:val="4"/>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77</w:t>
              </w:r>
            </w:hyperlink>
          </w:p>
        </w:tc>
      </w:tr>
      <w:tr>
        <w:trPr>
          <w:trHeight w:val="20"/>
        </w:trPr>
        <w:tc>
          <w:tcPr>
            <w:tcW w:w="14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3740" w:type="dxa"/>
            <w:vAlign w:val="bottom"/>
            <w:gridSpan w:val="15"/>
          </w:tcPr>
          <w:p>
            <w:pPr>
              <w:spacing w:after="0" w:line="250" w:lineRule="exact"/>
              <w:rPr>
                <w:rFonts w:ascii="Arial" w:cs="Arial" w:eastAsia="Arial" w:hAnsi="Arial"/>
                <w:sz w:val="22"/>
                <w:szCs w:val="22"/>
                <w:color w:val="0000FF"/>
                <w:w w:val="95"/>
              </w:rPr>
            </w:pPr>
            <w:hyperlink w:anchor="page59">
              <w:r>
                <w:rPr>
                  <w:rFonts w:ascii="Arial" w:cs="Arial" w:eastAsia="Arial" w:hAnsi="Arial"/>
                  <w:sz w:val="22"/>
                  <w:szCs w:val="22"/>
                  <w:color w:val="0000FF"/>
                  <w:w w:val="95"/>
                </w:rPr>
                <w:t>Section 6.10  Formation Of Subsidiaries</w:t>
              </w:r>
            </w:hyperlink>
          </w:p>
        </w:tc>
        <w:tc>
          <w:tcPr>
            <w:tcW w:w="7020" w:type="dxa"/>
            <w:vAlign w:val="bottom"/>
            <w:gridSpan w:val="13"/>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77</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180" w:type="dxa"/>
            <w:vAlign w:val="bottom"/>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6.11</w:t>
              </w:r>
            </w:hyperlink>
          </w:p>
        </w:tc>
        <w:tc>
          <w:tcPr>
            <w:tcW w:w="2400" w:type="dxa"/>
            <w:vAlign w:val="bottom"/>
            <w:gridSpan w:val="13"/>
          </w:tcPr>
          <w:p>
            <w:pPr>
              <w:ind w:left="10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Share Transactions</w:t>
              </w:r>
            </w:hyperlink>
          </w:p>
        </w:tc>
        <w:tc>
          <w:tcPr>
            <w:tcW w:w="7180" w:type="dxa"/>
            <w:vAlign w:val="bottom"/>
            <w:gridSpan w:val="14"/>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77</w:t>
              </w:r>
            </w:hyperlink>
          </w:p>
        </w:tc>
      </w:tr>
      <w:tr>
        <w:trPr>
          <w:trHeight w:val="20"/>
        </w:trPr>
        <w:tc>
          <w:tcPr>
            <w:tcW w:w="14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0760" w:type="dxa"/>
            <w:vAlign w:val="bottom"/>
            <w:gridSpan w:val="28"/>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6.12  No Impairment of Collateral Shares</w:t>
              </w:r>
            </w:hyperlink>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77</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180" w:type="dxa"/>
            <w:vAlign w:val="bottom"/>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6.13</w:t>
              </w:r>
            </w:hyperlink>
          </w:p>
        </w:tc>
        <w:tc>
          <w:tcPr>
            <w:tcW w:w="960" w:type="dxa"/>
            <w:vAlign w:val="bottom"/>
            <w:gridSpan w:val="3"/>
          </w:tcPr>
          <w:p>
            <w:pPr>
              <w:ind w:left="120"/>
              <w:spacing w:after="0" w:line="250" w:lineRule="exact"/>
              <w:rPr>
                <w:rFonts w:ascii="Arial" w:cs="Arial" w:eastAsia="Arial" w:hAnsi="Arial"/>
                <w:sz w:val="22"/>
                <w:szCs w:val="22"/>
                <w:color w:val="0000FF"/>
                <w:w w:val="76"/>
              </w:rPr>
            </w:pPr>
            <w:hyperlink w:anchor="page59">
              <w:r>
                <w:rPr>
                  <w:rFonts w:ascii="Arial" w:cs="Arial" w:eastAsia="Arial" w:hAnsi="Arial"/>
                  <w:sz w:val="22"/>
                  <w:szCs w:val="22"/>
                  <w:color w:val="0000FF"/>
                  <w:w w:val="76"/>
                </w:rPr>
                <w:t>Tax Status</w:t>
              </w:r>
            </w:hyperlink>
          </w:p>
        </w:tc>
        <w:tc>
          <w:tcPr>
            <w:tcW w:w="2240" w:type="dxa"/>
            <w:vAlign w:val="bottom"/>
            <w:gridSpan w:val="15"/>
          </w:tcPr>
          <w:p>
            <w:pPr>
              <w:spacing w:after="0"/>
              <w:rPr>
                <w:sz w:val="21"/>
                <w:szCs w:val="21"/>
                <w:color w:val="auto"/>
              </w:rPr>
            </w:pPr>
          </w:p>
        </w:tc>
        <w:tc>
          <w:tcPr>
            <w:tcW w:w="6380" w:type="dxa"/>
            <w:vAlign w:val="bottom"/>
            <w:gridSpan w:val="9"/>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77</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180" w:type="dxa"/>
            <w:vAlign w:val="bottom"/>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6.14</w:t>
              </w:r>
            </w:hyperlink>
          </w:p>
        </w:tc>
        <w:tc>
          <w:tcPr>
            <w:tcW w:w="1160" w:type="dxa"/>
            <w:vAlign w:val="bottom"/>
            <w:gridSpan w:val="4"/>
          </w:tcPr>
          <w:p>
            <w:pPr>
              <w:ind w:left="120"/>
              <w:spacing w:after="0" w:line="250" w:lineRule="exact"/>
              <w:rPr>
                <w:rFonts w:ascii="Arial" w:cs="Arial" w:eastAsia="Arial" w:hAnsi="Arial"/>
                <w:sz w:val="22"/>
                <w:szCs w:val="22"/>
                <w:color w:val="0000FF"/>
                <w:w w:val="84"/>
              </w:rPr>
            </w:pPr>
            <w:hyperlink w:anchor="page59">
              <w:r>
                <w:rPr>
                  <w:rFonts w:ascii="Arial" w:cs="Arial" w:eastAsia="Arial" w:hAnsi="Arial"/>
                  <w:sz w:val="22"/>
                  <w:szCs w:val="22"/>
                  <w:color w:val="0000FF"/>
                  <w:w w:val="84"/>
                </w:rPr>
                <w:t>Agreements</w:t>
              </w:r>
            </w:hyperlink>
          </w:p>
        </w:tc>
        <w:tc>
          <w:tcPr>
            <w:tcW w:w="8420" w:type="dxa"/>
            <w:vAlign w:val="bottom"/>
            <w:gridSpan w:val="23"/>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78</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0760" w:type="dxa"/>
            <w:vAlign w:val="bottom"/>
            <w:gridSpan w:val="28"/>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6.15  Anti-Corruption Laws and Sanctions</w:t>
              </w:r>
            </w:hyperlink>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78</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180" w:type="dxa"/>
            <w:vAlign w:val="bottom"/>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6.16</w:t>
              </w:r>
            </w:hyperlink>
          </w:p>
        </w:tc>
        <w:tc>
          <w:tcPr>
            <w:tcW w:w="3300" w:type="dxa"/>
            <w:vAlign w:val="bottom"/>
            <w:gridSpan w:val="19"/>
          </w:tcPr>
          <w:p>
            <w:pPr>
              <w:ind w:left="1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Employee Matters</w:t>
              </w:r>
            </w:hyperlink>
          </w:p>
        </w:tc>
        <w:tc>
          <w:tcPr>
            <w:tcW w:w="6280" w:type="dxa"/>
            <w:vAlign w:val="bottom"/>
            <w:gridSpan w:val="8"/>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78</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2860" w:type="dxa"/>
            <w:vAlign w:val="bottom"/>
            <w:gridSpan w:val="8"/>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Article 7 Events Of Default</w:t>
              </w:r>
            </w:hyperlink>
          </w:p>
        </w:tc>
        <w:tc>
          <w:tcPr>
            <w:tcW w:w="7900" w:type="dxa"/>
            <w:vAlign w:val="bottom"/>
            <w:gridSpan w:val="20"/>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78</w:t>
              </w:r>
            </w:hyperlink>
          </w:p>
        </w:tc>
      </w:tr>
      <w:tr>
        <w:trPr>
          <w:trHeight w:val="20"/>
        </w:trPr>
        <w:tc>
          <w:tcPr>
            <w:tcW w:w="14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0760" w:type="dxa"/>
            <w:vAlign w:val="bottom"/>
            <w:gridSpan w:val="28"/>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7.01  Events Of Default</w:t>
              </w:r>
            </w:hyperlink>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78</w:t>
              </w:r>
            </w:hyperlink>
          </w:p>
        </w:tc>
      </w:tr>
      <w:tr>
        <w:trPr>
          <w:trHeight w:val="20"/>
        </w:trPr>
        <w:tc>
          <w:tcPr>
            <w:tcW w:w="14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2860" w:type="dxa"/>
            <w:vAlign w:val="bottom"/>
            <w:gridSpan w:val="8"/>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Article 8 Agents</w:t>
              </w:r>
            </w:hyperlink>
          </w:p>
        </w:tc>
        <w:tc>
          <w:tcPr>
            <w:tcW w:w="7900" w:type="dxa"/>
            <w:vAlign w:val="bottom"/>
            <w:gridSpan w:val="20"/>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83</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3740" w:type="dxa"/>
            <w:vAlign w:val="bottom"/>
            <w:gridSpan w:val="15"/>
          </w:tcPr>
          <w:p>
            <w:pPr>
              <w:spacing w:after="0" w:line="250" w:lineRule="exact"/>
              <w:rPr>
                <w:rFonts w:ascii="Arial" w:cs="Arial" w:eastAsia="Arial" w:hAnsi="Arial"/>
                <w:sz w:val="22"/>
                <w:szCs w:val="22"/>
                <w:color w:val="0000FF"/>
                <w:w w:val="92"/>
              </w:rPr>
            </w:pPr>
            <w:hyperlink w:anchor="page59">
              <w:r>
                <w:rPr>
                  <w:rFonts w:ascii="Arial" w:cs="Arial" w:eastAsia="Arial" w:hAnsi="Arial"/>
                  <w:sz w:val="22"/>
                  <w:szCs w:val="22"/>
                  <w:color w:val="0000FF"/>
                  <w:w w:val="92"/>
                </w:rPr>
                <w:t>Section 8.01  Authorization and Authority</w:t>
              </w:r>
            </w:hyperlink>
          </w:p>
        </w:tc>
        <w:tc>
          <w:tcPr>
            <w:tcW w:w="7020" w:type="dxa"/>
            <w:vAlign w:val="bottom"/>
            <w:gridSpan w:val="13"/>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83</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180" w:type="dxa"/>
            <w:vAlign w:val="bottom"/>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8.02</w:t>
              </w:r>
            </w:hyperlink>
          </w:p>
        </w:tc>
        <w:tc>
          <w:tcPr>
            <w:tcW w:w="1720" w:type="dxa"/>
            <w:vAlign w:val="bottom"/>
            <w:gridSpan w:val="8"/>
          </w:tcPr>
          <w:p>
            <w:pPr>
              <w:ind w:left="120"/>
              <w:spacing w:after="0" w:line="250" w:lineRule="exact"/>
              <w:rPr>
                <w:rFonts w:ascii="Arial" w:cs="Arial" w:eastAsia="Arial" w:hAnsi="Arial"/>
                <w:sz w:val="22"/>
                <w:szCs w:val="22"/>
                <w:color w:val="0000FF"/>
                <w:w w:val="90"/>
              </w:rPr>
            </w:pPr>
            <w:hyperlink w:anchor="page59">
              <w:r>
                <w:rPr>
                  <w:rFonts w:ascii="Arial" w:cs="Arial" w:eastAsia="Arial" w:hAnsi="Arial"/>
                  <w:sz w:val="22"/>
                  <w:szCs w:val="22"/>
                  <w:color w:val="0000FF"/>
                  <w:w w:val="90"/>
                </w:rPr>
                <w:t>Agent Individually</w:t>
              </w:r>
            </w:hyperlink>
          </w:p>
        </w:tc>
        <w:tc>
          <w:tcPr>
            <w:tcW w:w="840" w:type="dxa"/>
            <w:vAlign w:val="bottom"/>
            <w:gridSpan w:val="6"/>
          </w:tcPr>
          <w:p>
            <w:pPr>
              <w:spacing w:after="0"/>
              <w:rPr>
                <w:sz w:val="21"/>
                <w:szCs w:val="21"/>
                <w:color w:val="auto"/>
              </w:rPr>
            </w:pPr>
          </w:p>
        </w:tc>
        <w:tc>
          <w:tcPr>
            <w:tcW w:w="7020" w:type="dxa"/>
            <w:vAlign w:val="bottom"/>
            <w:gridSpan w:val="13"/>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83</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4900" w:type="dxa"/>
            <w:vAlign w:val="bottom"/>
            <w:gridSpan w:val="22"/>
          </w:tcPr>
          <w:p>
            <w:pPr>
              <w:spacing w:after="0" w:line="250" w:lineRule="exact"/>
              <w:rPr>
                <w:rFonts w:ascii="Arial" w:cs="Arial" w:eastAsia="Arial" w:hAnsi="Arial"/>
                <w:sz w:val="22"/>
                <w:szCs w:val="22"/>
                <w:color w:val="0000FF"/>
                <w:w w:val="91"/>
              </w:rPr>
            </w:pPr>
            <w:hyperlink w:anchor="page59">
              <w:r>
                <w:rPr>
                  <w:rFonts w:ascii="Arial" w:cs="Arial" w:eastAsia="Arial" w:hAnsi="Arial"/>
                  <w:sz w:val="22"/>
                  <w:szCs w:val="22"/>
                  <w:color w:val="0000FF"/>
                  <w:w w:val="91"/>
                </w:rPr>
                <w:t>Section 8.03  Duties of Agents; Exculpatory Provisions</w:t>
              </w:r>
            </w:hyperlink>
          </w:p>
        </w:tc>
        <w:tc>
          <w:tcPr>
            <w:tcW w:w="5860" w:type="dxa"/>
            <w:vAlign w:val="bottom"/>
            <w:gridSpan w:val="6"/>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85</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180" w:type="dxa"/>
            <w:vAlign w:val="bottom"/>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8.04</w:t>
              </w:r>
            </w:hyperlink>
          </w:p>
        </w:tc>
        <w:tc>
          <w:tcPr>
            <w:tcW w:w="960" w:type="dxa"/>
            <w:vAlign w:val="bottom"/>
            <w:gridSpan w:val="3"/>
          </w:tcPr>
          <w:p>
            <w:pPr>
              <w:ind w:left="120"/>
              <w:spacing w:after="0" w:line="250" w:lineRule="exact"/>
              <w:rPr>
                <w:rFonts w:ascii="Arial" w:cs="Arial" w:eastAsia="Arial" w:hAnsi="Arial"/>
                <w:sz w:val="22"/>
                <w:szCs w:val="22"/>
                <w:color w:val="0000FF"/>
                <w:w w:val="92"/>
              </w:rPr>
            </w:pPr>
            <w:hyperlink w:anchor="page59">
              <w:r>
                <w:rPr>
                  <w:rFonts w:ascii="Arial" w:cs="Arial" w:eastAsia="Arial" w:hAnsi="Arial"/>
                  <w:sz w:val="22"/>
                  <w:szCs w:val="22"/>
                  <w:color w:val="0000FF"/>
                  <w:w w:val="92"/>
                </w:rPr>
                <w:t>Authority</w:t>
              </w:r>
            </w:hyperlink>
          </w:p>
        </w:tc>
        <w:tc>
          <w:tcPr>
            <w:tcW w:w="2760" w:type="dxa"/>
            <w:vAlign w:val="bottom"/>
            <w:gridSpan w:val="18"/>
          </w:tcPr>
          <w:p>
            <w:pPr>
              <w:spacing w:after="0"/>
              <w:rPr>
                <w:sz w:val="21"/>
                <w:szCs w:val="21"/>
                <w:color w:val="auto"/>
              </w:rPr>
            </w:pPr>
          </w:p>
        </w:tc>
        <w:tc>
          <w:tcPr>
            <w:tcW w:w="5860" w:type="dxa"/>
            <w:vAlign w:val="bottom"/>
            <w:gridSpan w:val="6"/>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86</w:t>
              </w:r>
            </w:hyperlink>
          </w:p>
        </w:tc>
      </w:tr>
      <w:tr>
        <w:trPr>
          <w:trHeight w:val="20"/>
        </w:trPr>
        <w:tc>
          <w:tcPr>
            <w:tcW w:w="20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0760" w:type="dxa"/>
            <w:vAlign w:val="bottom"/>
            <w:gridSpan w:val="28"/>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8.05  Reliance by Agent</w:t>
              </w:r>
            </w:hyperlink>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86</w:t>
              </w:r>
            </w:hyperlink>
          </w:p>
        </w:tc>
      </w:tr>
      <w:tr>
        <w:trPr>
          <w:trHeight w:val="20"/>
        </w:trPr>
        <w:tc>
          <w:tcPr>
            <w:tcW w:w="206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3100" w:type="dxa"/>
            <w:vAlign w:val="bottom"/>
            <w:gridSpan w:val="11"/>
          </w:tcPr>
          <w:p>
            <w:pPr>
              <w:spacing w:after="0" w:line="250" w:lineRule="exact"/>
              <w:rPr>
                <w:rFonts w:ascii="Arial" w:cs="Arial" w:eastAsia="Arial" w:hAnsi="Arial"/>
                <w:sz w:val="22"/>
                <w:szCs w:val="22"/>
                <w:color w:val="0000FF"/>
                <w:w w:val="92"/>
              </w:rPr>
            </w:pPr>
            <w:hyperlink w:anchor="page59">
              <w:r>
                <w:rPr>
                  <w:rFonts w:ascii="Arial" w:cs="Arial" w:eastAsia="Arial" w:hAnsi="Arial"/>
                  <w:sz w:val="22"/>
                  <w:szCs w:val="22"/>
                  <w:color w:val="0000FF"/>
                  <w:w w:val="92"/>
                </w:rPr>
                <w:t>Section 8.06  Delegation of Duties</w:t>
              </w:r>
            </w:hyperlink>
          </w:p>
        </w:tc>
        <w:tc>
          <w:tcPr>
            <w:tcW w:w="7660" w:type="dxa"/>
            <w:vAlign w:val="bottom"/>
            <w:gridSpan w:val="17"/>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86</w:t>
              </w:r>
            </w:hyperlink>
          </w:p>
        </w:tc>
      </w:tr>
      <w:tr>
        <w:trPr>
          <w:trHeight w:val="20"/>
        </w:trPr>
        <w:tc>
          <w:tcPr>
            <w:tcW w:w="206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0760" w:type="dxa"/>
            <w:vAlign w:val="bottom"/>
            <w:gridSpan w:val="28"/>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8.07  Resignation of Agent</w:t>
              </w:r>
            </w:hyperlink>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87</w:t>
              </w:r>
            </w:hyperlink>
          </w:p>
        </w:tc>
      </w:tr>
      <w:tr>
        <w:trPr>
          <w:trHeight w:val="20"/>
        </w:trPr>
        <w:tc>
          <w:tcPr>
            <w:tcW w:w="206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5100" w:type="dxa"/>
            <w:vAlign w:val="bottom"/>
            <w:gridSpan w:val="23"/>
          </w:tcPr>
          <w:p>
            <w:pPr>
              <w:spacing w:after="0" w:line="250" w:lineRule="exact"/>
              <w:rPr>
                <w:rFonts w:ascii="Arial" w:cs="Arial" w:eastAsia="Arial" w:hAnsi="Arial"/>
                <w:sz w:val="22"/>
                <w:szCs w:val="22"/>
                <w:color w:val="0000FF"/>
                <w:w w:val="89"/>
              </w:rPr>
            </w:pPr>
            <w:hyperlink w:anchor="page59">
              <w:r>
                <w:rPr>
                  <w:rFonts w:ascii="Arial" w:cs="Arial" w:eastAsia="Arial" w:hAnsi="Arial"/>
                  <w:sz w:val="22"/>
                  <w:szCs w:val="22"/>
                  <w:color w:val="0000FF"/>
                  <w:w w:val="89"/>
                </w:rPr>
                <w:t>Section 8.08  Non-Reliance on Agents and Other Lenders</w:t>
              </w:r>
            </w:hyperlink>
          </w:p>
        </w:tc>
        <w:tc>
          <w:tcPr>
            <w:tcW w:w="5660" w:type="dxa"/>
            <w:vAlign w:val="bottom"/>
            <w:gridSpan w:val="5"/>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87</w:t>
              </w:r>
            </w:hyperlink>
          </w:p>
        </w:tc>
      </w:tr>
      <w:tr>
        <w:trPr>
          <w:trHeight w:val="20"/>
        </w:trPr>
        <w:tc>
          <w:tcPr>
            <w:tcW w:w="206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5100" w:type="dxa"/>
            <w:vAlign w:val="bottom"/>
            <w:gridSpan w:val="23"/>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8.09  Removal of Administrative Agent</w:t>
              </w:r>
            </w:hyperlink>
          </w:p>
        </w:tc>
        <w:tc>
          <w:tcPr>
            <w:tcW w:w="5660" w:type="dxa"/>
            <w:vAlign w:val="bottom"/>
            <w:gridSpan w:val="5"/>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88</w:t>
              </w:r>
            </w:hyperlink>
          </w:p>
        </w:tc>
      </w:tr>
      <w:tr>
        <w:trPr>
          <w:trHeight w:val="20"/>
        </w:trPr>
        <w:tc>
          <w:tcPr>
            <w:tcW w:w="206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2060" w:type="dxa"/>
            <w:vAlign w:val="bottom"/>
            <w:gridSpan w:val="3"/>
          </w:tcPr>
          <w:p>
            <w:pPr>
              <w:spacing w:after="0" w:line="250" w:lineRule="exact"/>
              <w:rPr>
                <w:rFonts w:ascii="Arial" w:cs="Arial" w:eastAsia="Arial" w:hAnsi="Arial"/>
                <w:sz w:val="22"/>
                <w:szCs w:val="22"/>
                <w:color w:val="0000FF"/>
                <w:w w:val="90"/>
              </w:rPr>
            </w:pPr>
            <w:hyperlink w:anchor="page59">
              <w:r>
                <w:rPr>
                  <w:rFonts w:ascii="Arial" w:cs="Arial" w:eastAsia="Arial" w:hAnsi="Arial"/>
                  <w:sz w:val="22"/>
                  <w:szCs w:val="22"/>
                  <w:color w:val="0000FF"/>
                  <w:w w:val="90"/>
                </w:rPr>
                <w:t>Article 9 Miscellaneous</w:t>
              </w:r>
            </w:hyperlink>
          </w:p>
        </w:tc>
        <w:tc>
          <w:tcPr>
            <w:tcW w:w="2180" w:type="dxa"/>
            <w:vAlign w:val="bottom"/>
            <w:gridSpan w:val="15"/>
          </w:tcPr>
          <w:p>
            <w:pPr>
              <w:spacing w:after="0"/>
              <w:rPr>
                <w:sz w:val="21"/>
                <w:szCs w:val="21"/>
                <w:color w:val="auto"/>
              </w:rPr>
            </w:pPr>
          </w:p>
        </w:tc>
        <w:tc>
          <w:tcPr>
            <w:tcW w:w="6520" w:type="dxa"/>
            <w:vAlign w:val="bottom"/>
            <w:gridSpan w:val="10"/>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89</w:t>
              </w:r>
            </w:hyperlink>
          </w:p>
        </w:tc>
      </w:tr>
      <w:tr>
        <w:trPr>
          <w:trHeight w:val="20"/>
        </w:trPr>
        <w:tc>
          <w:tcPr>
            <w:tcW w:w="206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4100" w:type="dxa"/>
            <w:vAlign w:val="bottom"/>
            <w:gridSpan w:val="17"/>
          </w:tcPr>
          <w:p>
            <w:pPr>
              <w:spacing w:after="0" w:line="250" w:lineRule="exact"/>
              <w:rPr>
                <w:rFonts w:ascii="Arial" w:cs="Arial" w:eastAsia="Arial" w:hAnsi="Arial"/>
                <w:sz w:val="22"/>
                <w:szCs w:val="22"/>
                <w:color w:val="0000FF"/>
                <w:w w:val="91"/>
              </w:rPr>
            </w:pPr>
            <w:hyperlink w:anchor="page59">
              <w:r>
                <w:rPr>
                  <w:rFonts w:ascii="Arial" w:cs="Arial" w:eastAsia="Arial" w:hAnsi="Arial"/>
                  <w:sz w:val="22"/>
                  <w:szCs w:val="22"/>
                  <w:color w:val="0000FF"/>
                  <w:w w:val="91"/>
                </w:rPr>
                <w:t>Section 9.01  Amendments, Adjustments, Etc.</w:t>
              </w:r>
            </w:hyperlink>
          </w:p>
        </w:tc>
        <w:tc>
          <w:tcPr>
            <w:tcW w:w="6660" w:type="dxa"/>
            <w:vAlign w:val="bottom"/>
            <w:gridSpan w:val="11"/>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89</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0760" w:type="dxa"/>
            <w:vAlign w:val="bottom"/>
            <w:gridSpan w:val="28"/>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9.02  Notices; Effectiveness; Electronic Communications</w:t>
              </w:r>
            </w:hyperlink>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91</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3140" w:type="dxa"/>
            <w:vAlign w:val="bottom"/>
            <w:gridSpan w:val="12"/>
          </w:tcPr>
          <w:p>
            <w:pPr>
              <w:spacing w:after="0" w:line="250" w:lineRule="exact"/>
              <w:rPr>
                <w:rFonts w:ascii="Arial" w:cs="Arial" w:eastAsia="Arial" w:hAnsi="Arial"/>
                <w:sz w:val="22"/>
                <w:szCs w:val="22"/>
                <w:color w:val="0000FF"/>
                <w:w w:val="88"/>
              </w:rPr>
            </w:pPr>
            <w:hyperlink w:anchor="page59">
              <w:r>
                <w:rPr>
                  <w:rFonts w:ascii="Arial" w:cs="Arial" w:eastAsia="Arial" w:hAnsi="Arial"/>
                  <w:sz w:val="22"/>
                  <w:szCs w:val="22"/>
                  <w:color w:val="0000FF"/>
                  <w:w w:val="88"/>
                </w:rPr>
                <w:t>Section 9.03  No Waiver; Remedies</w:t>
              </w:r>
            </w:hyperlink>
          </w:p>
        </w:tc>
        <w:tc>
          <w:tcPr>
            <w:tcW w:w="2620" w:type="dxa"/>
            <w:vAlign w:val="bottom"/>
            <w:gridSpan w:val="13"/>
          </w:tcPr>
          <w:p>
            <w:pPr>
              <w:spacing w:after="0"/>
              <w:rPr>
                <w:sz w:val="21"/>
                <w:szCs w:val="21"/>
                <w:color w:val="auto"/>
              </w:rPr>
            </w:pPr>
          </w:p>
        </w:tc>
        <w:tc>
          <w:tcPr>
            <w:tcW w:w="5000" w:type="dxa"/>
            <w:vAlign w:val="bottom"/>
            <w:gridSpan w:val="3"/>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93</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6080" w:type="dxa"/>
            <w:vAlign w:val="bottom"/>
            <w:gridSpan w:val="26"/>
          </w:tcPr>
          <w:p>
            <w:pPr>
              <w:spacing w:after="0" w:line="250" w:lineRule="exact"/>
              <w:rPr>
                <w:rFonts w:ascii="Arial" w:cs="Arial" w:eastAsia="Arial" w:hAnsi="Arial"/>
                <w:sz w:val="22"/>
                <w:szCs w:val="22"/>
                <w:color w:val="0000FF"/>
                <w:w w:val="90"/>
              </w:rPr>
            </w:pPr>
            <w:hyperlink w:anchor="page59">
              <w:r>
                <w:rPr>
                  <w:rFonts w:ascii="Arial" w:cs="Arial" w:eastAsia="Arial" w:hAnsi="Arial"/>
                  <w:sz w:val="22"/>
                  <w:szCs w:val="22"/>
                  <w:color w:val="0000FF"/>
                  <w:w w:val="90"/>
                </w:rPr>
                <w:t>Section 9.04  Costs And Expenses; Indemnification; Damage Waiver</w:t>
              </w:r>
            </w:hyperlink>
          </w:p>
        </w:tc>
        <w:tc>
          <w:tcPr>
            <w:tcW w:w="4680" w:type="dxa"/>
            <w:vAlign w:val="bottom"/>
            <w:gridSpan w:val="2"/>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94</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6080" w:type="dxa"/>
            <w:vAlign w:val="bottom"/>
            <w:gridSpan w:val="26"/>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9.05  Payments Set Aside</w:t>
              </w:r>
            </w:hyperlink>
          </w:p>
        </w:tc>
        <w:tc>
          <w:tcPr>
            <w:tcW w:w="4680" w:type="dxa"/>
            <w:vAlign w:val="bottom"/>
            <w:gridSpan w:val="2"/>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96</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5100" w:type="dxa"/>
            <w:vAlign w:val="bottom"/>
            <w:gridSpan w:val="23"/>
          </w:tcPr>
          <w:p>
            <w:pPr>
              <w:spacing w:after="0" w:line="250" w:lineRule="exact"/>
              <w:rPr>
                <w:rFonts w:ascii="Arial" w:cs="Arial" w:eastAsia="Arial" w:hAnsi="Arial"/>
                <w:sz w:val="22"/>
                <w:szCs w:val="22"/>
                <w:color w:val="0000FF"/>
                <w:w w:val="90"/>
              </w:rPr>
            </w:pPr>
            <w:hyperlink w:anchor="page59">
              <w:r>
                <w:rPr>
                  <w:rFonts w:ascii="Arial" w:cs="Arial" w:eastAsia="Arial" w:hAnsi="Arial"/>
                  <w:sz w:val="22"/>
                  <w:szCs w:val="22"/>
                  <w:color w:val="0000FF"/>
                  <w:w w:val="90"/>
                </w:rPr>
                <w:t>Section 9.06  Governing Law; Submission To Jurisdiction</w:t>
              </w:r>
            </w:hyperlink>
          </w:p>
        </w:tc>
        <w:tc>
          <w:tcPr>
            <w:tcW w:w="5660" w:type="dxa"/>
            <w:vAlign w:val="bottom"/>
            <w:gridSpan w:val="5"/>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96</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5100" w:type="dxa"/>
            <w:vAlign w:val="bottom"/>
            <w:gridSpan w:val="23"/>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9.07  Successors and Assigns</w:t>
              </w:r>
            </w:hyperlink>
          </w:p>
        </w:tc>
        <w:tc>
          <w:tcPr>
            <w:tcW w:w="5660" w:type="dxa"/>
            <w:vAlign w:val="bottom"/>
            <w:gridSpan w:val="5"/>
          </w:tcPr>
          <w:p>
            <w:pPr>
              <w:spacing w:after="0"/>
              <w:rPr>
                <w:sz w:val="21"/>
                <w:szCs w:val="21"/>
                <w:color w:val="auto"/>
              </w:rPr>
            </w:pPr>
          </w:p>
        </w:tc>
        <w:tc>
          <w:tcPr>
            <w:tcW w:w="340" w:type="dxa"/>
            <w:vAlign w:val="bottom"/>
            <w:gridSpan w:val="2"/>
          </w:tcPr>
          <w:p>
            <w:pPr>
              <w:jc w:val="right"/>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97</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50"/>
        </w:trPr>
        <w:tc>
          <w:tcPr>
            <w:tcW w:w="1180" w:type="dxa"/>
            <w:vAlign w:val="bottom"/>
            <w:tcBorders>
              <w:bottom w:val="single" w:sz="8" w:color="0000FF"/>
            </w:tcBorders>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9.08</w:t>
              </w:r>
            </w:hyperlink>
          </w:p>
        </w:tc>
        <w:tc>
          <w:tcPr>
            <w:tcW w:w="1160" w:type="dxa"/>
            <w:vAlign w:val="bottom"/>
            <w:tcBorders>
              <w:bottom w:val="single" w:sz="8" w:color="0000FF"/>
            </w:tcBorders>
            <w:gridSpan w:val="4"/>
          </w:tcPr>
          <w:p>
            <w:pPr>
              <w:ind w:left="120"/>
              <w:spacing w:after="0" w:line="250" w:lineRule="exact"/>
              <w:rPr>
                <w:rFonts w:ascii="Arial" w:cs="Arial" w:eastAsia="Arial" w:hAnsi="Arial"/>
                <w:sz w:val="22"/>
                <w:szCs w:val="22"/>
                <w:color w:val="0000FF"/>
                <w:w w:val="87"/>
              </w:rPr>
            </w:pPr>
            <w:hyperlink w:anchor="page59">
              <w:r>
                <w:rPr>
                  <w:rFonts w:ascii="Arial" w:cs="Arial" w:eastAsia="Arial" w:hAnsi="Arial"/>
                  <w:sz w:val="22"/>
                  <w:szCs w:val="22"/>
                  <w:color w:val="0000FF"/>
                  <w:w w:val="87"/>
                </w:rPr>
                <w:t>Severability</w:t>
              </w:r>
            </w:hyperlink>
          </w:p>
        </w:tc>
        <w:tc>
          <w:tcPr>
            <w:tcW w:w="1000" w:type="dxa"/>
            <w:vAlign w:val="bottom"/>
            <w:gridSpan w:val="8"/>
          </w:tcPr>
          <w:p>
            <w:pPr>
              <w:spacing w:after="0"/>
              <w:rPr>
                <w:sz w:val="21"/>
                <w:szCs w:val="21"/>
                <w:color w:val="auto"/>
              </w:rPr>
            </w:pPr>
          </w:p>
        </w:tc>
        <w:tc>
          <w:tcPr>
            <w:tcW w:w="7420" w:type="dxa"/>
            <w:vAlign w:val="bottom"/>
            <w:gridSpan w:val="15"/>
          </w:tcPr>
          <w:p>
            <w:pPr>
              <w:spacing w:after="0"/>
              <w:rPr>
                <w:sz w:val="21"/>
                <w:szCs w:val="21"/>
                <w:color w:val="auto"/>
              </w:rPr>
            </w:pPr>
          </w:p>
        </w:tc>
        <w:tc>
          <w:tcPr>
            <w:tcW w:w="340" w:type="dxa"/>
            <w:vAlign w:val="bottom"/>
            <w:tcBorders>
              <w:bottom w:val="single" w:sz="8" w:color="0000FF"/>
            </w:tcBorders>
            <w:gridSpan w:val="2"/>
          </w:tcPr>
          <w:p>
            <w:pPr>
              <w:jc w:val="right"/>
              <w:spacing w:after="0" w:line="250" w:lineRule="exact"/>
              <w:rPr>
                <w:rFonts w:ascii="Arial" w:cs="Arial" w:eastAsia="Arial" w:hAnsi="Arial"/>
                <w:sz w:val="22"/>
                <w:szCs w:val="22"/>
                <w:color w:val="0000FF"/>
                <w:w w:val="87"/>
              </w:rPr>
            </w:pPr>
            <w:hyperlink w:anchor="page59">
              <w:r>
                <w:rPr>
                  <w:rFonts w:ascii="Arial" w:cs="Arial" w:eastAsia="Arial" w:hAnsi="Arial"/>
                  <w:sz w:val="22"/>
                  <w:szCs w:val="22"/>
                  <w:color w:val="0000FF"/>
                  <w:w w:val="87"/>
                </w:rPr>
                <w:t>100</w:t>
              </w:r>
            </w:hyperlink>
          </w:p>
        </w:tc>
      </w:tr>
      <w:tr>
        <w:trPr>
          <w:trHeight w:val="250"/>
        </w:trPr>
        <w:tc>
          <w:tcPr>
            <w:tcW w:w="6680" w:type="dxa"/>
            <w:vAlign w:val="bottom"/>
            <w:tcBorders>
              <w:bottom w:val="single" w:sz="8" w:color="0000FF"/>
            </w:tcBorders>
            <w:gridSpan w:val="27"/>
          </w:tcPr>
          <w:p>
            <w:pPr>
              <w:spacing w:after="0" w:line="250" w:lineRule="exact"/>
              <w:rPr>
                <w:rFonts w:ascii="Arial" w:cs="Arial" w:eastAsia="Arial" w:hAnsi="Arial"/>
                <w:sz w:val="22"/>
                <w:szCs w:val="22"/>
                <w:color w:val="0000FF"/>
                <w:w w:val="90"/>
              </w:rPr>
            </w:pPr>
            <w:hyperlink w:anchor="page59">
              <w:r>
                <w:rPr>
                  <w:rFonts w:ascii="Arial" w:cs="Arial" w:eastAsia="Arial" w:hAnsi="Arial"/>
                  <w:sz w:val="22"/>
                  <w:szCs w:val="22"/>
                  <w:color w:val="0000FF"/>
                  <w:w w:val="90"/>
                </w:rPr>
                <w:t>Section 9.09  Counterparts; Integration; Effectiveness; Electronic Execution</w:t>
              </w:r>
            </w:hyperlink>
          </w:p>
        </w:tc>
        <w:tc>
          <w:tcPr>
            <w:tcW w:w="4080" w:type="dxa"/>
            <w:vAlign w:val="bottom"/>
          </w:tcPr>
          <w:p>
            <w:pPr>
              <w:spacing w:after="0"/>
              <w:rPr>
                <w:sz w:val="21"/>
                <w:szCs w:val="21"/>
                <w:color w:val="auto"/>
              </w:rPr>
            </w:pPr>
          </w:p>
        </w:tc>
        <w:tc>
          <w:tcPr>
            <w:tcW w:w="340" w:type="dxa"/>
            <w:vAlign w:val="bottom"/>
            <w:tcBorders>
              <w:bottom w:val="single" w:sz="8" w:color="0000FF"/>
            </w:tcBorders>
            <w:gridSpan w:val="2"/>
          </w:tcPr>
          <w:p>
            <w:pPr>
              <w:jc w:val="right"/>
              <w:spacing w:after="0" w:line="250" w:lineRule="exact"/>
              <w:rPr>
                <w:rFonts w:ascii="Arial" w:cs="Arial" w:eastAsia="Arial" w:hAnsi="Arial"/>
                <w:sz w:val="22"/>
                <w:szCs w:val="22"/>
                <w:color w:val="0000FF"/>
                <w:w w:val="87"/>
              </w:rPr>
            </w:pPr>
            <w:hyperlink w:anchor="page59">
              <w:r>
                <w:rPr>
                  <w:rFonts w:ascii="Arial" w:cs="Arial" w:eastAsia="Arial" w:hAnsi="Arial"/>
                  <w:sz w:val="22"/>
                  <w:szCs w:val="22"/>
                  <w:color w:val="0000FF"/>
                  <w:w w:val="87"/>
                </w:rPr>
                <w:t>100</w:t>
              </w:r>
            </w:hyperlink>
          </w:p>
        </w:tc>
      </w:tr>
      <w:tr>
        <w:trPr>
          <w:trHeight w:val="250"/>
        </w:trPr>
        <w:tc>
          <w:tcPr>
            <w:tcW w:w="10760" w:type="dxa"/>
            <w:vAlign w:val="bottom"/>
            <w:gridSpan w:val="28"/>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9.10  Survival Of Representations</w:t>
              </w:r>
            </w:hyperlink>
          </w:p>
        </w:tc>
        <w:tc>
          <w:tcPr>
            <w:tcW w:w="340" w:type="dxa"/>
            <w:vAlign w:val="bottom"/>
            <w:gridSpan w:val="2"/>
          </w:tcPr>
          <w:p>
            <w:pPr>
              <w:jc w:val="right"/>
              <w:spacing w:after="0" w:line="250" w:lineRule="exact"/>
              <w:rPr>
                <w:rFonts w:ascii="Arial" w:cs="Arial" w:eastAsia="Arial" w:hAnsi="Arial"/>
                <w:sz w:val="22"/>
                <w:szCs w:val="22"/>
                <w:color w:val="0000FF"/>
                <w:w w:val="87"/>
              </w:rPr>
            </w:pPr>
            <w:hyperlink w:anchor="page59">
              <w:r>
                <w:rPr>
                  <w:rFonts w:ascii="Arial" w:cs="Arial" w:eastAsia="Arial" w:hAnsi="Arial"/>
                  <w:sz w:val="22"/>
                  <w:szCs w:val="22"/>
                  <w:color w:val="0000FF"/>
                  <w:w w:val="87"/>
                </w:rPr>
                <w:t>100</w:t>
              </w:r>
            </w:hyperlink>
          </w:p>
        </w:tc>
      </w:tr>
      <w:tr>
        <w:trPr>
          <w:trHeight w:val="250"/>
        </w:trPr>
        <w:tc>
          <w:tcPr>
            <w:tcW w:w="1180" w:type="dxa"/>
            <w:vAlign w:val="bottom"/>
            <w:tcBorders>
              <w:top w:val="single" w:sz="8" w:color="0000FF"/>
              <w:bottom w:val="single" w:sz="8" w:color="0000FF"/>
            </w:tcBorders>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9.11</w:t>
              </w:r>
            </w:hyperlink>
          </w:p>
        </w:tc>
        <w:tc>
          <w:tcPr>
            <w:tcW w:w="1420" w:type="dxa"/>
            <w:vAlign w:val="bottom"/>
            <w:tcBorders>
              <w:top w:val="single" w:sz="8" w:color="0000FF"/>
              <w:bottom w:val="single" w:sz="8" w:color="0000FF"/>
            </w:tcBorders>
            <w:gridSpan w:val="5"/>
          </w:tcPr>
          <w:p>
            <w:pPr>
              <w:ind w:left="100"/>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Confidentiality</w:t>
              </w:r>
            </w:hyperlink>
          </w:p>
        </w:tc>
        <w:tc>
          <w:tcPr>
            <w:tcW w:w="1140" w:type="dxa"/>
            <w:vAlign w:val="bottom"/>
            <w:tcBorders>
              <w:top w:val="single" w:sz="8" w:color="0000FF"/>
            </w:tcBorders>
            <w:gridSpan w:val="9"/>
          </w:tcPr>
          <w:p>
            <w:pPr>
              <w:spacing w:after="0"/>
              <w:rPr>
                <w:sz w:val="21"/>
                <w:szCs w:val="21"/>
                <w:color w:val="auto"/>
              </w:rPr>
            </w:pPr>
          </w:p>
        </w:tc>
        <w:tc>
          <w:tcPr>
            <w:tcW w:w="7020" w:type="dxa"/>
            <w:vAlign w:val="bottom"/>
            <w:gridSpan w:val="13"/>
          </w:tcPr>
          <w:p>
            <w:pPr>
              <w:spacing w:after="0"/>
              <w:rPr>
                <w:sz w:val="21"/>
                <w:szCs w:val="21"/>
                <w:color w:val="auto"/>
              </w:rPr>
            </w:pPr>
          </w:p>
        </w:tc>
        <w:tc>
          <w:tcPr>
            <w:tcW w:w="340" w:type="dxa"/>
            <w:vAlign w:val="bottom"/>
            <w:tcBorders>
              <w:top w:val="single" w:sz="8" w:color="0000FF"/>
              <w:bottom w:val="single" w:sz="8" w:color="0000FF"/>
            </w:tcBorders>
            <w:gridSpan w:val="2"/>
          </w:tcPr>
          <w:p>
            <w:pPr>
              <w:jc w:val="right"/>
              <w:spacing w:after="0" w:line="250" w:lineRule="exact"/>
              <w:rPr>
                <w:rFonts w:ascii="Arial" w:cs="Arial" w:eastAsia="Arial" w:hAnsi="Arial"/>
                <w:sz w:val="22"/>
                <w:szCs w:val="22"/>
                <w:color w:val="0000FF"/>
                <w:w w:val="87"/>
              </w:rPr>
            </w:pPr>
            <w:hyperlink w:anchor="page59">
              <w:r>
                <w:rPr>
                  <w:rFonts w:ascii="Arial" w:cs="Arial" w:eastAsia="Arial" w:hAnsi="Arial"/>
                  <w:sz w:val="22"/>
                  <w:szCs w:val="22"/>
                  <w:color w:val="0000FF"/>
                  <w:w w:val="87"/>
                </w:rPr>
                <w:t>101</w:t>
              </w:r>
            </w:hyperlink>
          </w:p>
        </w:tc>
      </w:tr>
      <w:tr>
        <w:trPr>
          <w:trHeight w:val="250"/>
        </w:trPr>
        <w:tc>
          <w:tcPr>
            <w:tcW w:w="10760" w:type="dxa"/>
            <w:vAlign w:val="bottom"/>
            <w:tcBorders>
              <w:bottom w:val="single" w:sz="8" w:color="0000FF"/>
            </w:tcBorders>
            <w:gridSpan w:val="28"/>
          </w:tcPr>
          <w:p>
            <w:pPr>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Section 9.12  No Advisory Or Fiduciary Relationship</w:t>
              </w:r>
            </w:hyperlink>
          </w:p>
        </w:tc>
        <w:tc>
          <w:tcPr>
            <w:tcW w:w="340" w:type="dxa"/>
            <w:vAlign w:val="bottom"/>
            <w:tcBorders>
              <w:bottom w:val="single" w:sz="8" w:color="0000FF"/>
            </w:tcBorders>
            <w:gridSpan w:val="2"/>
          </w:tcPr>
          <w:p>
            <w:pPr>
              <w:jc w:val="right"/>
              <w:spacing w:after="0" w:line="250" w:lineRule="exact"/>
              <w:rPr>
                <w:rFonts w:ascii="Arial" w:cs="Arial" w:eastAsia="Arial" w:hAnsi="Arial"/>
                <w:sz w:val="22"/>
                <w:szCs w:val="22"/>
                <w:color w:val="0000FF"/>
                <w:w w:val="87"/>
              </w:rPr>
            </w:pPr>
            <w:hyperlink w:anchor="page59">
              <w:r>
                <w:rPr>
                  <w:rFonts w:ascii="Arial" w:cs="Arial" w:eastAsia="Arial" w:hAnsi="Arial"/>
                  <w:sz w:val="22"/>
                  <w:szCs w:val="22"/>
                  <w:color w:val="0000FF"/>
                  <w:w w:val="87"/>
                </w:rPr>
                <w:t>102</w:t>
              </w:r>
            </w:hyperlink>
          </w:p>
        </w:tc>
      </w:tr>
      <w:tr>
        <w:trPr>
          <w:trHeight w:val="250"/>
        </w:trPr>
        <w:tc>
          <w:tcPr>
            <w:tcW w:w="2640" w:type="dxa"/>
            <w:vAlign w:val="bottom"/>
            <w:tcBorders>
              <w:bottom w:val="single" w:sz="8" w:color="0000FF"/>
            </w:tcBorders>
            <w:gridSpan w:val="7"/>
          </w:tcPr>
          <w:p>
            <w:pPr>
              <w:spacing w:after="0" w:line="250" w:lineRule="exact"/>
              <w:rPr>
                <w:rFonts w:ascii="Arial" w:cs="Arial" w:eastAsia="Arial" w:hAnsi="Arial"/>
                <w:sz w:val="22"/>
                <w:szCs w:val="22"/>
                <w:color w:val="0000FF"/>
                <w:w w:val="93"/>
              </w:rPr>
            </w:pPr>
            <w:hyperlink w:anchor="page59">
              <w:r>
                <w:rPr>
                  <w:rFonts w:ascii="Arial" w:cs="Arial" w:eastAsia="Arial" w:hAnsi="Arial"/>
                  <w:sz w:val="22"/>
                  <w:szCs w:val="22"/>
                  <w:color w:val="0000FF"/>
                  <w:w w:val="93"/>
                </w:rPr>
                <w:t>Section 9.13  Right Of Setoff</w:t>
              </w:r>
            </w:hyperlink>
          </w:p>
        </w:tc>
        <w:tc>
          <w:tcPr>
            <w:tcW w:w="8120" w:type="dxa"/>
            <w:vAlign w:val="bottom"/>
            <w:gridSpan w:val="21"/>
          </w:tcPr>
          <w:p>
            <w:pPr>
              <w:spacing w:after="0"/>
              <w:rPr>
                <w:sz w:val="21"/>
                <w:szCs w:val="21"/>
                <w:color w:val="auto"/>
              </w:rPr>
            </w:pPr>
          </w:p>
        </w:tc>
        <w:tc>
          <w:tcPr>
            <w:tcW w:w="340" w:type="dxa"/>
            <w:vAlign w:val="bottom"/>
            <w:tcBorders>
              <w:bottom w:val="single" w:sz="8" w:color="0000FF"/>
            </w:tcBorders>
            <w:gridSpan w:val="2"/>
          </w:tcPr>
          <w:p>
            <w:pPr>
              <w:jc w:val="right"/>
              <w:spacing w:after="0" w:line="250" w:lineRule="exact"/>
              <w:rPr>
                <w:rFonts w:ascii="Arial" w:cs="Arial" w:eastAsia="Arial" w:hAnsi="Arial"/>
                <w:sz w:val="22"/>
                <w:szCs w:val="22"/>
                <w:color w:val="0000FF"/>
                <w:w w:val="87"/>
              </w:rPr>
            </w:pPr>
            <w:hyperlink w:anchor="page59">
              <w:r>
                <w:rPr>
                  <w:rFonts w:ascii="Arial" w:cs="Arial" w:eastAsia="Arial" w:hAnsi="Arial"/>
                  <w:sz w:val="22"/>
                  <w:szCs w:val="22"/>
                  <w:color w:val="0000FF"/>
                  <w:w w:val="87"/>
                </w:rPr>
                <w:t>102</w:t>
              </w:r>
            </w:hyperlink>
          </w:p>
        </w:tc>
      </w:tr>
      <w:tr>
        <w:trPr>
          <w:trHeight w:val="250"/>
        </w:trPr>
        <w:tc>
          <w:tcPr>
            <w:tcW w:w="1180" w:type="dxa"/>
            <w:vAlign w:val="bottom"/>
            <w:tcBorders>
              <w:bottom w:val="single" w:sz="8" w:color="0000FF"/>
            </w:tcBorders>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9.14</w:t>
              </w:r>
            </w:hyperlink>
          </w:p>
        </w:tc>
        <w:tc>
          <w:tcPr>
            <w:tcW w:w="1840" w:type="dxa"/>
            <w:vAlign w:val="bottom"/>
            <w:tcBorders>
              <w:bottom w:val="single" w:sz="8" w:color="0000FF"/>
            </w:tcBorders>
            <w:gridSpan w:val="9"/>
          </w:tcPr>
          <w:p>
            <w:pPr>
              <w:ind w:left="120"/>
              <w:spacing w:after="0" w:line="250" w:lineRule="exact"/>
              <w:rPr>
                <w:rFonts w:ascii="Arial" w:cs="Arial" w:eastAsia="Arial" w:hAnsi="Arial"/>
                <w:sz w:val="22"/>
                <w:szCs w:val="22"/>
                <w:color w:val="0000FF"/>
                <w:w w:val="87"/>
              </w:rPr>
            </w:pPr>
            <w:hyperlink w:anchor="page59">
              <w:r>
                <w:rPr>
                  <w:rFonts w:ascii="Arial" w:cs="Arial" w:eastAsia="Arial" w:hAnsi="Arial"/>
                  <w:sz w:val="22"/>
                  <w:szCs w:val="22"/>
                  <w:color w:val="0000FF"/>
                  <w:w w:val="87"/>
                </w:rPr>
                <w:t>Judgment Currency</w:t>
              </w:r>
            </w:hyperlink>
          </w:p>
        </w:tc>
        <w:tc>
          <w:tcPr>
            <w:tcW w:w="7740" w:type="dxa"/>
            <w:vAlign w:val="bottom"/>
            <w:gridSpan w:val="18"/>
          </w:tcPr>
          <w:p>
            <w:pPr>
              <w:spacing w:after="0"/>
              <w:rPr>
                <w:sz w:val="21"/>
                <w:szCs w:val="21"/>
                <w:color w:val="auto"/>
              </w:rPr>
            </w:pPr>
          </w:p>
        </w:tc>
        <w:tc>
          <w:tcPr>
            <w:tcW w:w="340" w:type="dxa"/>
            <w:vAlign w:val="bottom"/>
            <w:tcBorders>
              <w:bottom w:val="single" w:sz="8" w:color="0000FF"/>
            </w:tcBorders>
            <w:gridSpan w:val="2"/>
          </w:tcPr>
          <w:p>
            <w:pPr>
              <w:jc w:val="right"/>
              <w:spacing w:after="0" w:line="250" w:lineRule="exact"/>
              <w:rPr>
                <w:rFonts w:ascii="Arial" w:cs="Arial" w:eastAsia="Arial" w:hAnsi="Arial"/>
                <w:sz w:val="22"/>
                <w:szCs w:val="22"/>
                <w:color w:val="0000FF"/>
                <w:w w:val="87"/>
              </w:rPr>
            </w:pPr>
            <w:hyperlink w:anchor="page59">
              <w:r>
                <w:rPr>
                  <w:rFonts w:ascii="Arial" w:cs="Arial" w:eastAsia="Arial" w:hAnsi="Arial"/>
                  <w:sz w:val="22"/>
                  <w:szCs w:val="22"/>
                  <w:color w:val="0000FF"/>
                  <w:w w:val="87"/>
                </w:rPr>
                <w:t>102</w:t>
              </w:r>
            </w:hyperlink>
          </w:p>
        </w:tc>
      </w:tr>
    </w:tbl>
    <w:p>
      <w:pPr>
        <w:spacing w:after="0" w:line="200" w:lineRule="exact"/>
        <w:rPr>
          <w:sz w:val="20"/>
          <w:szCs w:val="20"/>
          <w:color w:val="auto"/>
        </w:rPr>
      </w:pPr>
    </w:p>
    <w:p>
      <w:pPr>
        <w:sectPr>
          <w:pgSz w:w="11900" w:h="16838" w:orient="portrait"/>
          <w:cols w:equalWidth="0" w:num="1">
            <w:col w:w="11100"/>
          </w:cols>
          <w:pgMar w:left="40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100"/>
          </w:cols>
          <w:pgMar w:left="400" w:top="1440" w:right="399" w:bottom="1440" w:gutter="0" w:footer="0" w:header="0"/>
          <w:type w:val="continuous"/>
        </w:sectPr>
      </w:pPr>
    </w:p>
    <w:bookmarkStart w:id="57" w:name="page58"/>
    <w:bookmarkEnd w:id="57"/>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760" w:type="dxa"/>
            <w:vAlign w:val="bottom"/>
            <w:gridSpan w:val="9"/>
          </w:tcPr>
          <w:p>
            <w:pPr>
              <w:spacing w:after="0"/>
              <w:rPr>
                <w:rFonts w:ascii="Arial" w:cs="Arial" w:eastAsia="Arial" w:hAnsi="Arial"/>
                <w:sz w:val="22"/>
                <w:szCs w:val="22"/>
                <w:color w:val="0000FF"/>
              </w:rPr>
            </w:pPr>
            <w:hyperlink w:anchor="page59">
              <w:r>
                <w:rPr>
                  <w:rFonts w:ascii="Arial" w:cs="Arial" w:eastAsia="Arial" w:hAnsi="Arial"/>
                  <w:sz w:val="22"/>
                  <w:szCs w:val="22"/>
                  <w:color w:val="0000FF"/>
                </w:rPr>
                <w:t>Section 9.15  USA PATRIOT Act Notice</w:t>
              </w:r>
            </w:hyperlink>
          </w:p>
        </w:tc>
        <w:tc>
          <w:tcPr>
            <w:tcW w:w="340" w:type="dxa"/>
            <w:vAlign w:val="bottom"/>
          </w:tcPr>
          <w:p>
            <w:pPr>
              <w:jc w:val="right"/>
              <w:spacing w:after="0"/>
              <w:rPr>
                <w:rFonts w:ascii="Arial" w:cs="Arial" w:eastAsia="Arial" w:hAnsi="Arial"/>
                <w:sz w:val="22"/>
                <w:szCs w:val="22"/>
                <w:color w:val="0000FF"/>
                <w:w w:val="87"/>
              </w:rPr>
            </w:pPr>
            <w:hyperlink w:anchor="page59">
              <w:r>
                <w:rPr>
                  <w:rFonts w:ascii="Arial" w:cs="Arial" w:eastAsia="Arial" w:hAnsi="Arial"/>
                  <w:sz w:val="22"/>
                  <w:szCs w:val="22"/>
                  <w:color w:val="0000FF"/>
                  <w:w w:val="87"/>
                </w:rPr>
                <w:t>103</w:t>
              </w:r>
            </w:hyperlink>
          </w:p>
        </w:tc>
      </w:tr>
      <w:tr>
        <w:trPr>
          <w:trHeight w:val="250"/>
        </w:trPr>
        <w:tc>
          <w:tcPr>
            <w:tcW w:w="3360" w:type="dxa"/>
            <w:vAlign w:val="bottom"/>
            <w:tcBorders>
              <w:top w:val="single" w:sz="8" w:color="0000FF"/>
              <w:bottom w:val="single" w:sz="8" w:color="0000FF"/>
            </w:tcBorders>
            <w:gridSpan w:val="4"/>
          </w:tcPr>
          <w:p>
            <w:pPr>
              <w:spacing w:after="0" w:line="250" w:lineRule="exact"/>
              <w:rPr>
                <w:rFonts w:ascii="Arial" w:cs="Arial" w:eastAsia="Arial" w:hAnsi="Arial"/>
                <w:sz w:val="22"/>
                <w:szCs w:val="22"/>
                <w:color w:val="0000FF"/>
                <w:w w:val="92"/>
              </w:rPr>
            </w:pPr>
            <w:hyperlink w:anchor="page59">
              <w:r>
                <w:rPr>
                  <w:rFonts w:ascii="Arial" w:cs="Arial" w:eastAsia="Arial" w:hAnsi="Arial"/>
                  <w:sz w:val="22"/>
                  <w:szCs w:val="22"/>
                  <w:color w:val="0000FF"/>
                  <w:w w:val="92"/>
                </w:rPr>
                <w:t>Section 9.16  Interest Rate Limitation</w:t>
              </w:r>
            </w:hyperlink>
          </w:p>
        </w:tc>
        <w:tc>
          <w:tcPr>
            <w:tcW w:w="280" w:type="dxa"/>
            <w:vAlign w:val="bottom"/>
            <w:tcBorders>
              <w:top w:val="single" w:sz="8" w:color="0000FF"/>
            </w:tcBorders>
            <w:gridSpan w:val="2"/>
          </w:tcPr>
          <w:p>
            <w:pPr>
              <w:spacing w:after="0"/>
              <w:rPr>
                <w:sz w:val="21"/>
                <w:szCs w:val="21"/>
                <w:color w:val="auto"/>
              </w:rPr>
            </w:pPr>
          </w:p>
        </w:tc>
        <w:tc>
          <w:tcPr>
            <w:tcW w:w="7120" w:type="dxa"/>
            <w:vAlign w:val="bottom"/>
            <w:gridSpan w:val="3"/>
          </w:tcPr>
          <w:p>
            <w:pPr>
              <w:spacing w:after="0"/>
              <w:rPr>
                <w:sz w:val="21"/>
                <w:szCs w:val="21"/>
                <w:color w:val="auto"/>
              </w:rPr>
            </w:pPr>
          </w:p>
        </w:tc>
        <w:tc>
          <w:tcPr>
            <w:tcW w:w="340" w:type="dxa"/>
            <w:vAlign w:val="bottom"/>
            <w:tcBorders>
              <w:top w:val="single" w:sz="8" w:color="0000FF"/>
              <w:bottom w:val="single" w:sz="8" w:color="0000FF"/>
            </w:tcBorders>
          </w:tcPr>
          <w:p>
            <w:pPr>
              <w:jc w:val="right"/>
              <w:spacing w:after="0" w:line="250" w:lineRule="exact"/>
              <w:rPr>
                <w:rFonts w:ascii="Arial" w:cs="Arial" w:eastAsia="Arial" w:hAnsi="Arial"/>
                <w:sz w:val="22"/>
                <w:szCs w:val="22"/>
                <w:color w:val="0000FF"/>
                <w:w w:val="87"/>
              </w:rPr>
            </w:pPr>
            <w:hyperlink w:anchor="page59">
              <w:r>
                <w:rPr>
                  <w:rFonts w:ascii="Arial" w:cs="Arial" w:eastAsia="Arial" w:hAnsi="Arial"/>
                  <w:sz w:val="22"/>
                  <w:szCs w:val="22"/>
                  <w:color w:val="0000FF"/>
                  <w:w w:val="87"/>
                </w:rPr>
                <w:t>103</w:t>
              </w:r>
            </w:hyperlink>
          </w:p>
        </w:tc>
      </w:tr>
      <w:tr>
        <w:trPr>
          <w:trHeight w:val="250"/>
        </w:trPr>
        <w:tc>
          <w:tcPr>
            <w:tcW w:w="1180" w:type="dxa"/>
            <w:vAlign w:val="bottom"/>
            <w:tcBorders>
              <w:bottom w:val="single" w:sz="8" w:color="0000FF"/>
            </w:tcBorders>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9.17</w:t>
              </w:r>
            </w:hyperlink>
          </w:p>
        </w:tc>
        <w:tc>
          <w:tcPr>
            <w:tcW w:w="1040" w:type="dxa"/>
            <w:vAlign w:val="bottom"/>
            <w:tcBorders>
              <w:bottom w:val="single" w:sz="8" w:color="0000FF"/>
            </w:tcBorders>
            <w:gridSpan w:val="2"/>
          </w:tcPr>
          <w:p>
            <w:pPr>
              <w:ind w:left="120"/>
              <w:spacing w:after="0" w:line="250" w:lineRule="exact"/>
              <w:rPr>
                <w:rFonts w:ascii="Arial" w:cs="Arial" w:eastAsia="Arial" w:hAnsi="Arial"/>
                <w:sz w:val="22"/>
                <w:szCs w:val="22"/>
                <w:color w:val="0000FF"/>
                <w:w w:val="87"/>
              </w:rPr>
            </w:pPr>
            <w:hyperlink w:anchor="page59">
              <w:r>
                <w:rPr>
                  <w:rFonts w:ascii="Arial" w:cs="Arial" w:eastAsia="Arial" w:hAnsi="Arial"/>
                  <w:sz w:val="22"/>
                  <w:szCs w:val="22"/>
                  <w:color w:val="0000FF"/>
                  <w:w w:val="87"/>
                </w:rPr>
                <w:t>Disclosure</w:t>
              </w:r>
            </w:hyperlink>
          </w:p>
        </w:tc>
        <w:tc>
          <w:tcPr>
            <w:tcW w:w="8540" w:type="dxa"/>
            <w:vAlign w:val="bottom"/>
            <w:gridSpan w:val="6"/>
          </w:tcPr>
          <w:p>
            <w:pPr>
              <w:spacing w:after="0"/>
              <w:rPr>
                <w:sz w:val="21"/>
                <w:szCs w:val="21"/>
                <w:color w:val="auto"/>
              </w:rPr>
            </w:pPr>
          </w:p>
        </w:tc>
        <w:tc>
          <w:tcPr>
            <w:tcW w:w="340" w:type="dxa"/>
            <w:vAlign w:val="bottom"/>
            <w:tcBorders>
              <w:bottom w:val="single" w:sz="8" w:color="0000FF"/>
            </w:tcBorders>
          </w:tcPr>
          <w:p>
            <w:pPr>
              <w:jc w:val="right"/>
              <w:spacing w:after="0" w:line="250" w:lineRule="exact"/>
              <w:rPr>
                <w:rFonts w:ascii="Arial" w:cs="Arial" w:eastAsia="Arial" w:hAnsi="Arial"/>
                <w:sz w:val="22"/>
                <w:szCs w:val="22"/>
                <w:color w:val="0000FF"/>
                <w:w w:val="87"/>
              </w:rPr>
            </w:pPr>
            <w:hyperlink w:anchor="page59">
              <w:r>
                <w:rPr>
                  <w:rFonts w:ascii="Arial" w:cs="Arial" w:eastAsia="Arial" w:hAnsi="Arial"/>
                  <w:sz w:val="22"/>
                  <w:szCs w:val="22"/>
                  <w:color w:val="0000FF"/>
                  <w:w w:val="87"/>
                </w:rPr>
                <w:t>103</w:t>
              </w:r>
            </w:hyperlink>
          </w:p>
        </w:tc>
      </w:tr>
      <w:tr>
        <w:trPr>
          <w:trHeight w:val="250"/>
        </w:trPr>
        <w:tc>
          <w:tcPr>
            <w:tcW w:w="4260" w:type="dxa"/>
            <w:vAlign w:val="bottom"/>
            <w:tcBorders>
              <w:bottom w:val="single" w:sz="8" w:color="0000FF"/>
            </w:tcBorders>
            <w:gridSpan w:val="7"/>
          </w:tcPr>
          <w:p>
            <w:pPr>
              <w:spacing w:after="0" w:line="250" w:lineRule="exact"/>
              <w:rPr>
                <w:rFonts w:ascii="Arial" w:cs="Arial" w:eastAsia="Arial" w:hAnsi="Arial"/>
                <w:sz w:val="22"/>
                <w:szCs w:val="22"/>
                <w:color w:val="0000FF"/>
                <w:w w:val="91"/>
              </w:rPr>
            </w:pPr>
            <w:hyperlink w:anchor="page59">
              <w:r>
                <w:rPr>
                  <w:rFonts w:ascii="Arial" w:cs="Arial" w:eastAsia="Arial" w:hAnsi="Arial"/>
                  <w:sz w:val="22"/>
                  <w:szCs w:val="22"/>
                  <w:color w:val="0000FF"/>
                  <w:w w:val="91"/>
                </w:rPr>
                <w:t>Section 9.18  Calculation Agent Determinations</w:t>
              </w:r>
            </w:hyperlink>
          </w:p>
        </w:tc>
        <w:tc>
          <w:tcPr>
            <w:tcW w:w="6500" w:type="dxa"/>
            <w:vAlign w:val="bottom"/>
            <w:gridSpan w:val="2"/>
          </w:tcPr>
          <w:p>
            <w:pPr>
              <w:spacing w:after="0"/>
              <w:rPr>
                <w:sz w:val="21"/>
                <w:szCs w:val="21"/>
                <w:color w:val="auto"/>
              </w:rPr>
            </w:pPr>
          </w:p>
        </w:tc>
        <w:tc>
          <w:tcPr>
            <w:tcW w:w="340" w:type="dxa"/>
            <w:vAlign w:val="bottom"/>
            <w:tcBorders>
              <w:bottom w:val="single" w:sz="8" w:color="0000FF"/>
            </w:tcBorders>
          </w:tcPr>
          <w:p>
            <w:pPr>
              <w:jc w:val="right"/>
              <w:spacing w:after="0" w:line="250" w:lineRule="exact"/>
              <w:rPr>
                <w:rFonts w:ascii="Arial" w:cs="Arial" w:eastAsia="Arial" w:hAnsi="Arial"/>
                <w:sz w:val="22"/>
                <w:szCs w:val="22"/>
                <w:color w:val="0000FF"/>
                <w:w w:val="87"/>
              </w:rPr>
            </w:pPr>
            <w:hyperlink w:anchor="page59">
              <w:r>
                <w:rPr>
                  <w:rFonts w:ascii="Arial" w:cs="Arial" w:eastAsia="Arial" w:hAnsi="Arial"/>
                  <w:sz w:val="22"/>
                  <w:szCs w:val="22"/>
                  <w:color w:val="0000FF"/>
                  <w:w w:val="87"/>
                </w:rPr>
                <w:t>103</w:t>
              </w:r>
            </w:hyperlink>
          </w:p>
        </w:tc>
      </w:tr>
      <w:tr>
        <w:trPr>
          <w:trHeight w:val="250"/>
        </w:trPr>
        <w:tc>
          <w:tcPr>
            <w:tcW w:w="1180" w:type="dxa"/>
            <w:vAlign w:val="bottom"/>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9.19</w:t>
              </w:r>
            </w:hyperlink>
          </w:p>
        </w:tc>
        <w:tc>
          <w:tcPr>
            <w:tcW w:w="9580" w:type="dxa"/>
            <w:vAlign w:val="bottom"/>
            <w:gridSpan w:val="8"/>
          </w:tcPr>
          <w:p>
            <w:pPr>
              <w:ind w:left="1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Joint and Several Liability</w:t>
              </w:r>
            </w:hyperlink>
          </w:p>
        </w:tc>
        <w:tc>
          <w:tcPr>
            <w:tcW w:w="340" w:type="dxa"/>
            <w:vAlign w:val="bottom"/>
          </w:tcPr>
          <w:p>
            <w:pPr>
              <w:jc w:val="right"/>
              <w:spacing w:after="0" w:line="250" w:lineRule="exact"/>
              <w:rPr>
                <w:rFonts w:ascii="Arial" w:cs="Arial" w:eastAsia="Arial" w:hAnsi="Arial"/>
                <w:sz w:val="22"/>
                <w:szCs w:val="22"/>
                <w:color w:val="0000FF"/>
                <w:w w:val="87"/>
              </w:rPr>
            </w:pPr>
            <w:hyperlink w:anchor="page59">
              <w:r>
                <w:rPr>
                  <w:rFonts w:ascii="Arial" w:cs="Arial" w:eastAsia="Arial" w:hAnsi="Arial"/>
                  <w:sz w:val="22"/>
                  <w:szCs w:val="22"/>
                  <w:color w:val="0000FF"/>
                  <w:w w:val="87"/>
                </w:rPr>
                <w:t>104</w:t>
              </w:r>
            </w:hyperlink>
          </w:p>
        </w:tc>
      </w:tr>
      <w:tr>
        <w:trPr>
          <w:trHeight w:val="250"/>
        </w:trPr>
        <w:tc>
          <w:tcPr>
            <w:tcW w:w="1180" w:type="dxa"/>
            <w:vAlign w:val="bottom"/>
            <w:tcBorders>
              <w:top w:val="single" w:sz="8" w:color="0000FF"/>
            </w:tcBorders>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9.20</w:t>
              </w:r>
            </w:hyperlink>
          </w:p>
        </w:tc>
        <w:tc>
          <w:tcPr>
            <w:tcW w:w="2400" w:type="dxa"/>
            <w:vAlign w:val="bottom"/>
            <w:tcBorders>
              <w:top w:val="single" w:sz="8" w:color="0000FF"/>
            </w:tcBorders>
            <w:gridSpan w:val="4"/>
          </w:tcPr>
          <w:p>
            <w:pPr>
              <w:ind w:left="1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Conflicts</w:t>
              </w:r>
            </w:hyperlink>
          </w:p>
        </w:tc>
        <w:tc>
          <w:tcPr>
            <w:tcW w:w="7180" w:type="dxa"/>
            <w:vAlign w:val="bottom"/>
            <w:gridSpan w:val="4"/>
          </w:tcPr>
          <w:p>
            <w:pPr>
              <w:spacing w:after="0"/>
              <w:rPr>
                <w:sz w:val="21"/>
                <w:szCs w:val="21"/>
                <w:color w:val="auto"/>
              </w:rPr>
            </w:pPr>
          </w:p>
        </w:tc>
        <w:tc>
          <w:tcPr>
            <w:tcW w:w="340" w:type="dxa"/>
            <w:vAlign w:val="bottom"/>
            <w:tcBorders>
              <w:top w:val="single" w:sz="8" w:color="0000FF"/>
            </w:tcBorders>
          </w:tcPr>
          <w:p>
            <w:pPr>
              <w:jc w:val="right"/>
              <w:spacing w:after="0" w:line="250" w:lineRule="exact"/>
              <w:rPr>
                <w:rFonts w:ascii="Arial" w:cs="Arial" w:eastAsia="Arial" w:hAnsi="Arial"/>
                <w:sz w:val="22"/>
                <w:szCs w:val="22"/>
                <w:color w:val="0000FF"/>
                <w:w w:val="87"/>
              </w:rPr>
            </w:pPr>
            <w:hyperlink w:anchor="page59">
              <w:r>
                <w:rPr>
                  <w:rFonts w:ascii="Arial" w:cs="Arial" w:eastAsia="Arial" w:hAnsi="Arial"/>
                  <w:sz w:val="22"/>
                  <w:szCs w:val="22"/>
                  <w:color w:val="0000FF"/>
                  <w:w w:val="87"/>
                </w:rPr>
                <w:t>104</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r>
      <w:tr>
        <w:trPr>
          <w:trHeight w:val="250"/>
        </w:trPr>
        <w:tc>
          <w:tcPr>
            <w:tcW w:w="1180" w:type="dxa"/>
            <w:vAlign w:val="bottom"/>
          </w:tcPr>
          <w:p>
            <w:pPr>
              <w:spacing w:after="0" w:line="250" w:lineRule="exact"/>
              <w:rPr>
                <w:rFonts w:ascii="Arial" w:cs="Arial" w:eastAsia="Arial" w:hAnsi="Arial"/>
                <w:sz w:val="22"/>
                <w:szCs w:val="22"/>
                <w:color w:val="0000FF"/>
                <w:w w:val="94"/>
              </w:rPr>
            </w:pPr>
            <w:hyperlink w:anchor="page59">
              <w:r>
                <w:rPr>
                  <w:rFonts w:ascii="Arial" w:cs="Arial" w:eastAsia="Arial" w:hAnsi="Arial"/>
                  <w:sz w:val="22"/>
                  <w:szCs w:val="22"/>
                  <w:color w:val="0000FF"/>
                  <w:w w:val="94"/>
                </w:rPr>
                <w:t>Section 9.21</w:t>
              </w:r>
            </w:hyperlink>
          </w:p>
        </w:tc>
        <w:tc>
          <w:tcPr>
            <w:tcW w:w="9580" w:type="dxa"/>
            <w:vAlign w:val="bottom"/>
            <w:gridSpan w:val="8"/>
          </w:tcPr>
          <w:p>
            <w:pPr>
              <w:ind w:left="120"/>
              <w:spacing w:after="0" w:line="250" w:lineRule="exact"/>
              <w:rPr>
                <w:rFonts w:ascii="Arial" w:cs="Arial" w:eastAsia="Arial" w:hAnsi="Arial"/>
                <w:sz w:val="22"/>
                <w:szCs w:val="22"/>
                <w:color w:val="0000FF"/>
              </w:rPr>
            </w:pPr>
            <w:hyperlink w:anchor="page59">
              <w:r>
                <w:rPr>
                  <w:rFonts w:ascii="Arial" w:cs="Arial" w:eastAsia="Arial" w:hAnsi="Arial"/>
                  <w:sz w:val="22"/>
                  <w:szCs w:val="22"/>
                  <w:color w:val="0000FF"/>
                </w:rPr>
                <w:t>U.S. QFC Contractual Stay Requirements</w:t>
              </w:r>
            </w:hyperlink>
          </w:p>
        </w:tc>
        <w:tc>
          <w:tcPr>
            <w:tcW w:w="340" w:type="dxa"/>
            <w:vAlign w:val="bottom"/>
          </w:tcPr>
          <w:p>
            <w:pPr>
              <w:jc w:val="right"/>
              <w:spacing w:after="0" w:line="250" w:lineRule="exact"/>
              <w:rPr>
                <w:rFonts w:ascii="Arial" w:cs="Arial" w:eastAsia="Arial" w:hAnsi="Arial"/>
                <w:sz w:val="22"/>
                <w:szCs w:val="22"/>
                <w:color w:val="0000FF"/>
                <w:w w:val="87"/>
              </w:rPr>
            </w:pPr>
            <w:hyperlink w:anchor="page59">
              <w:r>
                <w:rPr>
                  <w:rFonts w:ascii="Arial" w:cs="Arial" w:eastAsia="Arial" w:hAnsi="Arial"/>
                  <w:sz w:val="22"/>
                  <w:szCs w:val="22"/>
                  <w:color w:val="0000FF"/>
                  <w:w w:val="87"/>
                </w:rPr>
                <w:t>104</w:t>
              </w:r>
            </w:hyperlink>
          </w:p>
        </w:tc>
      </w:tr>
      <w:tr>
        <w:trPr>
          <w:trHeight w:val="20"/>
        </w:trPr>
        <w:tc>
          <w:tcPr>
            <w:tcW w:w="1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100"/>
          </w:cols>
          <w:pgMar w:left="400" w:top="1440" w:right="399" w:bottom="1440" w:gutter="0" w:footer="0" w:header="0"/>
        </w:sectPr>
      </w:pPr>
    </w:p>
    <w:bookmarkStart w:id="58" w:name="page59"/>
    <w:bookmarkEnd w:id="58"/>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SCHEDULES</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Schedule I</w:t>
      </w:r>
      <w:r>
        <w:rPr>
          <w:sz w:val="20"/>
          <w:szCs w:val="20"/>
          <w:color w:val="auto"/>
        </w:rPr>
        <w:tab/>
      </w:r>
      <w:r>
        <w:rPr>
          <w:rFonts w:ascii="Arial" w:cs="Arial" w:eastAsia="Arial" w:hAnsi="Arial"/>
          <w:sz w:val="19"/>
          <w:szCs w:val="19"/>
          <w:color w:val="auto"/>
        </w:rPr>
        <w:t>Commitments and Lender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139"/>
          </w:cols>
          <w:pgMar w:left="320" w:top="1440" w:right="1440"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firstLine="648"/>
        <w:spacing w:after="0" w:line="225"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MARGIN LOAN AGREEMENT</w:t>
      </w:r>
      <w:r>
        <w:rPr>
          <w:rFonts w:ascii="Arial" w:cs="Arial" w:eastAsia="Arial" w:hAnsi="Arial"/>
          <w:sz w:val="21"/>
          <w:szCs w:val="21"/>
          <w:color w:val="auto"/>
        </w:rPr>
        <w:t>, dated as of November 30, 2020 (as it may be amended or modified from time to time,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xml:space="preserve">”), by and among </w:t>
      </w:r>
      <w:r>
        <w:rPr>
          <w:rFonts w:ascii="Arial" w:cs="Arial" w:eastAsia="Arial" w:hAnsi="Arial"/>
          <w:sz w:val="21"/>
          <w:szCs w:val="21"/>
          <w:b w:val="1"/>
          <w:bCs w:val="1"/>
          <w:color w:val="auto"/>
        </w:rPr>
        <w:t>CANNAE FUNDING C, LLC</w:t>
      </w:r>
      <w:r>
        <w:rPr>
          <w:rFonts w:ascii="Arial" w:cs="Arial" w:eastAsia="Arial" w:hAnsi="Arial"/>
          <w:sz w:val="21"/>
          <w:szCs w:val="21"/>
          <w:color w:val="auto"/>
        </w:rPr>
        <w:t>, a limited liability company organized under the laws of Delaware, as a borrower (“</w:t>
      </w:r>
      <w:r>
        <w:rPr>
          <w:rFonts w:ascii="Arial" w:cs="Arial" w:eastAsia="Arial" w:hAnsi="Arial"/>
          <w:sz w:val="21"/>
          <w:szCs w:val="21"/>
          <w:b w:val="1"/>
          <w:bCs w:val="1"/>
          <w:i w:val="1"/>
          <w:iCs w:val="1"/>
          <w:color w:val="auto"/>
        </w:rPr>
        <w:t>Borrower 1</w:t>
      </w:r>
      <w:r>
        <w:rPr>
          <w:rFonts w:ascii="Arial" w:cs="Arial" w:eastAsia="Arial" w:hAnsi="Arial"/>
          <w:sz w:val="21"/>
          <w:szCs w:val="21"/>
          <w:color w:val="auto"/>
        </w:rPr>
        <w:t xml:space="preserve">”), </w:t>
      </w:r>
      <w:r>
        <w:rPr>
          <w:rFonts w:ascii="Arial" w:cs="Arial" w:eastAsia="Arial" w:hAnsi="Arial"/>
          <w:sz w:val="21"/>
          <w:szCs w:val="21"/>
          <w:b w:val="1"/>
          <w:bCs w:val="1"/>
          <w:color w:val="auto"/>
        </w:rPr>
        <w:t>CANNAE FUNDING D, LLC</w:t>
      </w:r>
      <w:r>
        <w:rPr>
          <w:rFonts w:ascii="Arial" w:cs="Arial" w:eastAsia="Arial" w:hAnsi="Arial"/>
          <w:sz w:val="21"/>
          <w:szCs w:val="21"/>
          <w:color w:val="auto"/>
        </w:rPr>
        <w:t>, a limited liability company organized under the laws of Delaware, as a borrower (“</w:t>
      </w:r>
      <w:r>
        <w:rPr>
          <w:rFonts w:ascii="Arial" w:cs="Arial" w:eastAsia="Arial" w:hAnsi="Arial"/>
          <w:sz w:val="21"/>
          <w:szCs w:val="21"/>
          <w:b w:val="1"/>
          <w:bCs w:val="1"/>
          <w:i w:val="1"/>
          <w:iCs w:val="1"/>
          <w:color w:val="auto"/>
        </w:rPr>
        <w:t>Borrower 2</w:t>
      </w:r>
      <w:r>
        <w:rPr>
          <w:rFonts w:ascii="Arial" w:cs="Arial" w:eastAsia="Arial" w:hAnsi="Arial"/>
          <w:sz w:val="21"/>
          <w:szCs w:val="21"/>
          <w:color w:val="auto"/>
        </w:rPr>
        <w:t>” and, together with Borrower 1, the “</w:t>
      </w:r>
      <w:r>
        <w:rPr>
          <w:rFonts w:ascii="Arial" w:cs="Arial" w:eastAsia="Arial" w:hAnsi="Arial"/>
          <w:sz w:val="21"/>
          <w:szCs w:val="21"/>
          <w:b w:val="1"/>
          <w:bCs w:val="1"/>
          <w:i w:val="1"/>
          <w:iCs w:val="1"/>
          <w:color w:val="auto"/>
        </w:rPr>
        <w:t>Borrowers</w:t>
      </w:r>
      <w:r>
        <w:rPr>
          <w:rFonts w:ascii="Arial" w:cs="Arial" w:eastAsia="Arial" w:hAnsi="Arial"/>
          <w:sz w:val="21"/>
          <w:szCs w:val="21"/>
          <w:color w:val="auto"/>
        </w:rPr>
        <w:t xml:space="preserve">”), </w:t>
      </w:r>
      <w:r>
        <w:rPr>
          <w:rFonts w:ascii="Arial" w:cs="Arial" w:eastAsia="Arial" w:hAnsi="Arial"/>
          <w:sz w:val="21"/>
          <w:szCs w:val="21"/>
          <w:b w:val="1"/>
          <w:bCs w:val="1"/>
          <w:color w:val="auto"/>
        </w:rPr>
        <w:t>ROYAL BANK OF CANADA</w:t>
      </w:r>
      <w:r>
        <w:rPr>
          <w:rFonts w:ascii="Arial" w:cs="Arial" w:eastAsia="Arial" w:hAnsi="Arial"/>
          <w:sz w:val="21"/>
          <w:szCs w:val="21"/>
          <w:color w:val="auto"/>
        </w:rPr>
        <w:t xml:space="preserve">, as Administrative Agent, </w:t>
      </w:r>
      <w:r>
        <w:rPr>
          <w:rFonts w:ascii="Arial" w:cs="Arial" w:eastAsia="Arial" w:hAnsi="Arial"/>
          <w:sz w:val="21"/>
          <w:szCs w:val="21"/>
          <w:b w:val="1"/>
          <w:bCs w:val="1"/>
          <w:color w:val="auto"/>
        </w:rPr>
        <w:t>ROYAL BANK OF CANADA</w:t>
      </w:r>
      <w:r>
        <w:rPr>
          <w:rFonts w:ascii="Arial" w:cs="Arial" w:eastAsia="Arial" w:hAnsi="Arial"/>
          <w:sz w:val="21"/>
          <w:szCs w:val="21"/>
          <w:color w:val="auto"/>
        </w:rPr>
        <w:t>, as Calculation Agent, and the lenders from time to time a party hereto (each, a “</w:t>
      </w:r>
      <w:r>
        <w:rPr>
          <w:rFonts w:ascii="Arial" w:cs="Arial" w:eastAsia="Arial" w:hAnsi="Arial"/>
          <w:sz w:val="21"/>
          <w:szCs w:val="21"/>
          <w:b w:val="1"/>
          <w:bCs w:val="1"/>
          <w:i w:val="1"/>
          <w:iCs w:val="1"/>
          <w:color w:val="auto"/>
        </w:rPr>
        <w:t>Lender</w:t>
      </w:r>
      <w:r>
        <w:rPr>
          <w:rFonts w:ascii="Arial" w:cs="Arial" w:eastAsia="Arial" w:hAnsi="Arial"/>
          <w:sz w:val="21"/>
          <w:szCs w:val="21"/>
          <w:color w:val="auto"/>
        </w:rPr>
        <w:t>”, and collectively, the “</w:t>
      </w:r>
      <w:r>
        <w:rPr>
          <w:rFonts w:ascii="Arial" w:cs="Arial" w:eastAsia="Arial" w:hAnsi="Arial"/>
          <w:sz w:val="21"/>
          <w:szCs w:val="21"/>
          <w:b w:val="1"/>
          <w:bCs w:val="1"/>
          <w:i w:val="1"/>
          <w:iCs w:val="1"/>
          <w:color w:val="auto"/>
        </w:rPr>
        <w:t>Lenders</w:t>
      </w:r>
      <w:r>
        <w:rPr>
          <w:rFonts w:ascii="Arial" w:cs="Arial" w:eastAsia="Arial" w:hAnsi="Arial"/>
          <w:sz w:val="21"/>
          <w:szCs w:val="21"/>
          <w:color w:val="auto"/>
        </w:rPr>
        <w:t>”).</w:t>
      </w:r>
    </w:p>
    <w:p>
      <w:pPr>
        <w:spacing w:after="0" w:line="160" w:lineRule="exact"/>
        <w:rPr>
          <w:sz w:val="20"/>
          <w:szCs w:val="20"/>
          <w:color w:val="auto"/>
        </w:rPr>
      </w:pPr>
    </w:p>
    <w:p>
      <w:pPr>
        <w:ind w:right="60" w:firstLine="648"/>
        <w:spacing w:after="0" w:line="223" w:lineRule="auto"/>
        <w:rPr>
          <w:sz w:val="20"/>
          <w:szCs w:val="20"/>
          <w:color w:val="auto"/>
        </w:rPr>
      </w:pPr>
      <w:r>
        <w:rPr>
          <w:rFonts w:ascii="Arial" w:cs="Arial" w:eastAsia="Arial" w:hAnsi="Arial"/>
          <w:sz w:val="22"/>
          <w:szCs w:val="22"/>
          <w:color w:val="auto"/>
        </w:rPr>
        <w:t>WHEREAS, Borrowers have requested that Lenders provide Borrowers with loans from time to time in an aggregate principal amount not exceeding the Commitments (as hereinafter defined), and each Lender is prepared to make such loans upon the terms and subject to the conditions set forth in this Agreement.</w:t>
      </w:r>
    </w:p>
    <w:p>
      <w:pPr>
        <w:spacing w:after="0" w:line="159" w:lineRule="exact"/>
        <w:rPr>
          <w:sz w:val="20"/>
          <w:szCs w:val="20"/>
          <w:color w:val="auto"/>
        </w:rPr>
      </w:pPr>
    </w:p>
    <w:p>
      <w:pPr>
        <w:ind w:right="580" w:firstLine="648"/>
        <w:spacing w:after="0" w:line="232" w:lineRule="auto"/>
        <w:rPr>
          <w:sz w:val="20"/>
          <w:szCs w:val="20"/>
          <w:color w:val="auto"/>
        </w:rPr>
      </w:pPr>
      <w:r>
        <w:rPr>
          <w:rFonts w:ascii="Arial" w:cs="Arial" w:eastAsia="Arial" w:hAnsi="Arial"/>
          <w:sz w:val="22"/>
          <w:szCs w:val="22"/>
          <w:color w:val="auto"/>
        </w:rPr>
        <w:t>NOW, THEREFORE, in consideration of the mutual covenants and agreements herein contained, the parties hereto covenant and agree as follows:</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1</w:t>
      </w:r>
    </w:p>
    <w:p>
      <w:pPr>
        <w:ind w:left="4100"/>
        <w:spacing w:after="0"/>
        <w:rPr>
          <w:sz w:val="20"/>
          <w:szCs w:val="20"/>
          <w:color w:val="auto"/>
        </w:rPr>
      </w:pPr>
      <w:r>
        <w:rPr>
          <w:rFonts w:ascii="Arial" w:cs="Arial" w:eastAsia="Arial" w:hAnsi="Arial"/>
          <w:sz w:val="22"/>
          <w:szCs w:val="22"/>
          <w:color w:val="auto"/>
        </w:rPr>
        <w:t>Definitions And Accounting Terms</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i w:val="1"/>
          <w:iCs w:val="1"/>
          <w:color w:val="auto"/>
        </w:rPr>
        <w:t xml:space="preserve">Certain Defined Terms. </w:t>
      </w:r>
      <w:r>
        <w:rPr>
          <w:rFonts w:ascii="Arial" w:cs="Arial" w:eastAsia="Arial" w:hAnsi="Arial"/>
          <w:sz w:val="19"/>
          <w:szCs w:val="19"/>
          <w:color w:val="auto"/>
        </w:rPr>
        <w:t>As used in this Agreement, the following terms shall have the following meanings:</w:t>
      </w:r>
    </w:p>
    <w:p>
      <w:pPr>
        <w:spacing w:after="0" w:line="179" w:lineRule="exact"/>
        <w:rPr>
          <w:sz w:val="20"/>
          <w:szCs w:val="20"/>
          <w:color w:val="auto"/>
        </w:rPr>
      </w:pPr>
    </w:p>
    <w:p>
      <w:pPr>
        <w:ind w:right="38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Accelerating Lenders</w:t>
      </w:r>
      <w:r>
        <w:rPr>
          <w:rFonts w:ascii="Arial" w:cs="Arial" w:eastAsia="Arial" w:hAnsi="Arial"/>
          <w:sz w:val="22"/>
          <w:szCs w:val="22"/>
          <w:color w:val="auto"/>
        </w:rPr>
        <w:t>” means Lenders that have accelerated their Advances upon an Event of Default in accordance with the Margin Loan Documentation.</w:t>
      </w:r>
    </w:p>
    <w:p>
      <w:pPr>
        <w:spacing w:after="0" w:line="159" w:lineRule="exact"/>
        <w:rPr>
          <w:sz w:val="20"/>
          <w:szCs w:val="20"/>
          <w:color w:val="auto"/>
        </w:rPr>
      </w:pPr>
    </w:p>
    <w:p>
      <w:pPr>
        <w:ind w:right="26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Acceptable Collateral</w:t>
      </w:r>
      <w:r>
        <w:rPr>
          <w:rFonts w:ascii="Arial" w:cs="Arial" w:eastAsia="Arial" w:hAnsi="Arial"/>
          <w:sz w:val="21"/>
          <w:szCs w:val="21"/>
          <w:color w:val="auto"/>
        </w:rPr>
        <w:t>” means the following assets of Borrowers, as long as such assets are (x) held in the Collateral Accounts, (y) subject to a first priority Lien in favor of the relevant Applicable Lender and not subject to any other Lien (other than Permitted Liens), and (z) the Collateral Requirement has been satisfied with respect thereto:</w:t>
      </w:r>
    </w:p>
    <w:p>
      <w:pPr>
        <w:spacing w:after="0" w:line="158" w:lineRule="exact"/>
        <w:rPr>
          <w:sz w:val="20"/>
          <w:szCs w:val="20"/>
          <w:color w:val="auto"/>
        </w:rPr>
      </w:pPr>
    </w:p>
    <w:p>
      <w:pPr>
        <w:ind w:left="1940" w:hanging="636"/>
        <w:spacing w:after="0"/>
        <w:tabs>
          <w:tab w:leader="none" w:pos="19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Cash and Cash Equivalents; and</w:t>
      </w:r>
    </w:p>
    <w:p>
      <w:pPr>
        <w:spacing w:after="0" w:line="179" w:lineRule="exact"/>
        <w:rPr>
          <w:rFonts w:ascii="Arial" w:cs="Arial" w:eastAsia="Arial" w:hAnsi="Arial"/>
          <w:sz w:val="22"/>
          <w:szCs w:val="22"/>
          <w:color w:val="auto"/>
        </w:rPr>
      </w:pPr>
    </w:p>
    <w:p>
      <w:pPr>
        <w:ind w:left="660" w:right="140" w:firstLine="644"/>
        <w:spacing w:after="0" w:line="246" w:lineRule="auto"/>
        <w:tabs>
          <w:tab w:leader="none" w:pos="1951" w:val="left"/>
        </w:tabs>
        <w:numPr>
          <w:ilvl w:val="0"/>
          <w:numId w:val="27"/>
        </w:numPr>
        <w:rPr>
          <w:rFonts w:ascii="Arial" w:cs="Arial" w:eastAsia="Arial" w:hAnsi="Arial"/>
          <w:sz w:val="19"/>
          <w:szCs w:val="19"/>
          <w:color w:val="auto"/>
        </w:rPr>
      </w:pPr>
      <w:r>
        <w:rPr>
          <w:rFonts w:ascii="Arial" w:cs="Arial" w:eastAsia="Arial" w:hAnsi="Arial"/>
          <w:sz w:val="19"/>
          <w:szCs w:val="19"/>
          <w:color w:val="auto"/>
        </w:rPr>
        <w:t>security entitlements in respect of Collateral Shares that were deposited into the Collateral Accounts on, and have remained Collateral since, the Closing Date (or, in the case of any Additional Collateral Shares, the date such Additional Collateral Shares have been deposited in the Collateral Accounts), so long as (i) such Collateral Shares are registered in the name of DTC or its nominee, maintained in the form of book entries on the books of DTC, and are allowed to be settled through DTC’s regular book-entry settlement services, (ii) such Collateral Shares and such security entitlements are not subject to any Transfer Restrictions (other than DNB Existing Transfer Restrictions and CDAY Existing Transfer Restrictions) (and, for the avoidance of doubt, are not subject to any restricted legend), and (iii) such Collateral Shares are duly authorized, validly issued, fully paid and non-assessable.</w:t>
      </w:r>
    </w:p>
    <w:p>
      <w:pPr>
        <w:spacing w:after="0" w:line="152" w:lineRule="exact"/>
        <w:rPr>
          <w:sz w:val="20"/>
          <w:szCs w:val="20"/>
          <w:color w:val="auto"/>
        </w:rPr>
      </w:pPr>
    </w:p>
    <w:p>
      <w:pPr>
        <w:ind w:right="3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Additional Collateral Shares</w:t>
      </w:r>
      <w:r>
        <w:rPr>
          <w:rFonts w:ascii="Arial" w:cs="Arial" w:eastAsia="Arial" w:hAnsi="Arial"/>
          <w:sz w:val="22"/>
          <w:szCs w:val="22"/>
          <w:color w:val="auto"/>
        </w:rPr>
        <w:t>” means Collateral Shares deposited in the Collateral Accounts after the Closing Date in accordance with the requirements of Section 2.08(f).</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Additional Lender</w:t>
      </w:r>
      <w:r>
        <w:rPr>
          <w:rFonts w:ascii="Arial" w:cs="Arial" w:eastAsia="Arial" w:hAnsi="Arial"/>
          <w:sz w:val="22"/>
          <w:szCs w:val="22"/>
          <w:color w:val="auto"/>
        </w:rPr>
        <w:t>” has the meaning specified in Section 2.17.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00"/>
          </w:cols>
          <w:pgMar w:left="320" w:top="1440" w:right="379" w:bottom="1440" w:gutter="0" w:footer="0" w:header="0"/>
        </w:sectPr>
      </w:pPr>
    </w:p>
    <w:bookmarkStart w:id="60" w:name="page61"/>
    <w:bookmarkEnd w:id="60"/>
    <w:p>
      <w:pPr>
        <w:spacing w:after="0" w:line="200" w:lineRule="exact"/>
        <w:rPr>
          <w:sz w:val="20"/>
          <w:szCs w:val="20"/>
          <w:color w:val="auto"/>
        </w:rPr>
      </w:pPr>
    </w:p>
    <w:p>
      <w:pPr>
        <w:spacing w:after="0" w:line="234" w:lineRule="exact"/>
        <w:rPr>
          <w:sz w:val="20"/>
          <w:szCs w:val="20"/>
          <w:color w:val="auto"/>
        </w:rPr>
      </w:pPr>
    </w:p>
    <w:p>
      <w:pPr>
        <w:ind w:right="6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Adjusted Daily Simple SOFR</w:t>
      </w:r>
      <w:r>
        <w:rPr>
          <w:rFonts w:ascii="Arial" w:cs="Arial" w:eastAsia="Arial" w:hAnsi="Arial"/>
          <w:sz w:val="21"/>
          <w:szCs w:val="21"/>
          <w:color w:val="auto"/>
        </w:rPr>
        <w:t xml:space="preserve">” means an interest rate per annum equal to (a) the Daily Simple SOFR, plus (b) 0.250 per cent. For the avoidance of doubt, the </w:t>
      </w:r>
      <w:r>
        <w:rPr>
          <w:rFonts w:ascii="Arial" w:cs="Arial" w:eastAsia="Arial" w:hAnsi="Arial"/>
          <w:sz w:val="21"/>
          <w:szCs w:val="21"/>
          <w:b w:val="1"/>
          <w:bCs w:val="1"/>
          <w:color w:val="auto"/>
        </w:rPr>
        <w:t>Adjusted Daily Simple SOFR</w:t>
      </w:r>
      <w:r>
        <w:rPr>
          <w:rFonts w:ascii="Arial" w:cs="Arial" w:eastAsia="Arial" w:hAnsi="Arial"/>
          <w:sz w:val="21"/>
          <w:szCs w:val="21"/>
          <w:color w:val="auto"/>
        </w:rPr>
        <w:t xml:space="preserve"> shall not be less than 0.00 per cent.</w:t>
      </w:r>
    </w:p>
    <w:p>
      <w:pPr>
        <w:spacing w:after="0" w:line="151" w:lineRule="exact"/>
        <w:rPr>
          <w:sz w:val="20"/>
          <w:szCs w:val="20"/>
          <w:color w:val="auto"/>
        </w:rPr>
      </w:pPr>
    </w:p>
    <w:p>
      <w:pPr>
        <w:ind w:right="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Adjusted Term SOFR Rate</w:t>
      </w:r>
      <w:r>
        <w:rPr>
          <w:rFonts w:ascii="Arial" w:cs="Arial" w:eastAsia="Arial" w:hAnsi="Arial"/>
          <w:sz w:val="22"/>
          <w:szCs w:val="22"/>
          <w:color w:val="auto"/>
        </w:rPr>
        <w:t xml:space="preserve">” means, for any Interest Period, an interest rate per annum equal to (a) the Term SOFR Rate for such Interest Period, plus (b) 0.250 per cent. For the avoidance of doubt, the </w:t>
      </w:r>
      <w:r>
        <w:rPr>
          <w:rFonts w:ascii="Arial" w:cs="Arial" w:eastAsia="Arial" w:hAnsi="Arial"/>
          <w:sz w:val="22"/>
          <w:szCs w:val="22"/>
          <w:b w:val="1"/>
          <w:bCs w:val="1"/>
          <w:color w:val="auto"/>
        </w:rPr>
        <w:t>Adjusted Term SOFR Rate</w:t>
      </w:r>
      <w:r>
        <w:rPr>
          <w:rFonts w:ascii="Arial" w:cs="Arial" w:eastAsia="Arial" w:hAnsi="Arial"/>
          <w:sz w:val="22"/>
          <w:szCs w:val="22"/>
          <w:color w:val="auto"/>
        </w:rPr>
        <w:t xml:space="preserve"> shall not be less than 0.00 per cent.</w:t>
      </w:r>
    </w:p>
    <w:p>
      <w:pPr>
        <w:spacing w:after="0" w:line="159" w:lineRule="exact"/>
        <w:rPr>
          <w:sz w:val="20"/>
          <w:szCs w:val="20"/>
          <w:color w:val="auto"/>
        </w:rPr>
      </w:pPr>
    </w:p>
    <w:p>
      <w:pPr>
        <w:ind w:right="20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Adjustment Determination Date</w:t>
      </w:r>
      <w:r>
        <w:rPr>
          <w:rFonts w:ascii="Arial" w:cs="Arial" w:eastAsia="Arial" w:hAnsi="Arial"/>
          <w:sz w:val="19"/>
          <w:szCs w:val="19"/>
          <w:color w:val="auto"/>
        </w:rPr>
        <w:t>” means, in respect of any Facility Adjustment Event or Potential Facility Adjustment Event, the date on which Calculation Agent has notified Borrowers of (i) the adjustments that will be made to the terms of the Facility on account thereof or (ii) its determination that no such adjustments under Section 9.01 are necessary.</w:t>
      </w:r>
    </w:p>
    <w:p>
      <w:pPr>
        <w:spacing w:after="0" w:line="132" w:lineRule="exact"/>
        <w:rPr>
          <w:sz w:val="20"/>
          <w:szCs w:val="20"/>
          <w:color w:val="auto"/>
        </w:rPr>
      </w:pPr>
    </w:p>
    <w:p>
      <w:pPr>
        <w:ind w:right="62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Adjustment Determination Period</w:t>
      </w:r>
      <w:r>
        <w:rPr>
          <w:rFonts w:ascii="Arial" w:cs="Arial" w:eastAsia="Arial" w:hAnsi="Arial"/>
          <w:sz w:val="21"/>
          <w:szCs w:val="21"/>
          <w:color w:val="auto"/>
        </w:rPr>
        <w:t>” means the period beginning on, and including, the date on which a Facility Adjustment Event or Potential Facility Adjustment Event occurs and ending on, and including, the earlier of (i) the related Adjustment Determination Date and (ii) the fifth (5th) Business Day following such occurrence.</w:t>
      </w:r>
    </w:p>
    <w:p>
      <w:pPr>
        <w:spacing w:after="0" w:line="158"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Administrative Agent</w:t>
      </w:r>
      <w:r>
        <w:rPr>
          <w:rFonts w:ascii="Arial" w:cs="Arial" w:eastAsia="Arial" w:hAnsi="Arial"/>
          <w:sz w:val="19"/>
          <w:szCs w:val="19"/>
          <w:color w:val="auto"/>
        </w:rPr>
        <w:t xml:space="preserve">” means Royal Bank of Canada, in its capacity as administrative agent hereunder, or any successor administrative agent subject to Section 2.15;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any time that Royal Bank of Canada is the only Lender, any notices, payments, prepayments, repayments and approvals (except for waivers and amendments) shall be provided to, made by or made to, as applicable, Royal Bank of Canada in its capacity as the sole Lender hereunder. To the extent that any Additional Lender becomes party to this Agreement pursuant to Section 2.17, all references to “Administrative Agent” shall refer to Royal Bank of Canada, in its capacity as administrative agent hereunder subject to Section 2.15.</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Advance</w:t>
      </w:r>
      <w:r>
        <w:rPr>
          <w:rFonts w:ascii="Arial" w:cs="Arial" w:eastAsia="Arial" w:hAnsi="Arial"/>
          <w:sz w:val="22"/>
          <w:szCs w:val="22"/>
          <w:color w:val="auto"/>
        </w:rPr>
        <w:t>” has the meaning specified in Section 2.01.</w:t>
      </w:r>
    </w:p>
    <w:p>
      <w:pPr>
        <w:spacing w:after="0" w:line="179" w:lineRule="exact"/>
        <w:rPr>
          <w:sz w:val="20"/>
          <w:szCs w:val="20"/>
          <w:color w:val="auto"/>
        </w:rPr>
      </w:pPr>
    </w:p>
    <w:p>
      <w:pPr>
        <w:ind w:right="60"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xml:space="preserve">” means, with respect to any Person, another Person that directly, or indirectly through one or more intermediaries, Controls or is Controlled by or is under common Control with the Person specified;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only Affiliates of each Borrower shall be CHI and CHI’s Subsidiaries, and the only Affiliates of CHI shall be its Subsidiaries, including the Borrowers. For the avoidance of doubt, each Issuer and its Subsidiaries shall not be considered Affiliates of CHI or of any of CHI’s Subsidiaries, including the Borrowers.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Agent</w:t>
      </w:r>
      <w:r>
        <w:rPr>
          <w:rFonts w:ascii="Arial" w:cs="Arial" w:eastAsia="Arial" w:hAnsi="Arial"/>
          <w:sz w:val="22"/>
          <w:szCs w:val="22"/>
          <w:color w:val="auto"/>
        </w:rPr>
        <w:t>” means each of Administrative Agent and Calculation Agent.</w:t>
      </w:r>
    </w:p>
    <w:p>
      <w:pPr>
        <w:spacing w:after="0" w:line="179"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Agented Lender</w:t>
      </w:r>
      <w:r>
        <w:rPr>
          <w:rFonts w:ascii="Arial" w:cs="Arial" w:eastAsia="Arial" w:hAnsi="Arial"/>
          <w:sz w:val="22"/>
          <w:szCs w:val="22"/>
          <w:color w:val="auto"/>
        </w:rPr>
        <w:t xml:space="preserve">” means any Lender who has taken an Advance hereunder by assignment, but has not yet entered into its Control Agreement and a joinder to the Security Agreement with respect to the Collateral securing the Obligations owing to it. Any reference in the Margin Loan Documentation to the Applicable Lender with respect to an Agented Lender shall be to the Lender who assigned an Advance to such Agented Lender, and </w:t>
      </w:r>
      <w:r>
        <w:rPr>
          <w:rFonts w:ascii="Arial" w:cs="Arial" w:eastAsia="Arial" w:hAnsi="Arial"/>
          <w:sz w:val="22"/>
          <w:szCs w:val="22"/>
          <w:i w:val="1"/>
          <w:iCs w:val="1"/>
          <w:color w:val="auto"/>
        </w:rPr>
        <w:t>vice versa.</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“Aggregate Collateral Share Value” </w:t>
      </w:r>
      <w:r>
        <w:rPr>
          <w:rFonts w:ascii="Arial" w:cs="Arial" w:eastAsia="Arial" w:hAnsi="Arial"/>
          <w:sz w:val="19"/>
          <w:szCs w:val="19"/>
          <w:color w:val="auto"/>
        </w:rPr>
        <w:t>means, at any time, the sum of the DNB Aggregate Value and the CDAY Aggregate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Value.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has the meaning specified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40" w:right="379" w:bottom="1440" w:gutter="0" w:footer="0" w:header="0"/>
        </w:sectPr>
      </w:pPr>
    </w:p>
    <w:bookmarkStart w:id="61" w:name="page62"/>
    <w:bookmarkEnd w:id="61"/>
    <w:p>
      <w:pPr>
        <w:spacing w:after="0" w:line="200" w:lineRule="exact"/>
        <w:rPr>
          <w:sz w:val="20"/>
          <w:szCs w:val="20"/>
          <w:color w:val="auto"/>
        </w:rPr>
      </w:pPr>
    </w:p>
    <w:p>
      <w:pPr>
        <w:spacing w:after="0" w:line="234" w:lineRule="exact"/>
        <w:rPr>
          <w:sz w:val="20"/>
          <w:szCs w:val="20"/>
          <w:color w:val="auto"/>
        </w:rPr>
      </w:pPr>
    </w:p>
    <w:p>
      <w:pPr>
        <w:ind w:right="18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Anti-Corruption Laws</w:t>
      </w:r>
      <w:r>
        <w:rPr>
          <w:rFonts w:ascii="Arial" w:cs="Arial" w:eastAsia="Arial" w:hAnsi="Arial"/>
          <w:sz w:val="22"/>
          <w:szCs w:val="22"/>
          <w:color w:val="auto"/>
        </w:rPr>
        <w:t>” means all laws, rules, and regulations of any jurisdiction applicable to Borrowers or Guarantor from time to time concerning or relating to bribery or corruption.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Lender</w:t>
      </w:r>
      <w:r>
        <w:rPr>
          <w:rFonts w:ascii="Arial" w:cs="Arial" w:eastAsia="Arial" w:hAnsi="Arial"/>
          <w:sz w:val="22"/>
          <w:szCs w:val="22"/>
          <w:color w:val="auto"/>
        </w:rPr>
        <w:t>” means any Lender other than an Agented Lender.</w:t>
      </w:r>
    </w:p>
    <w:p>
      <w:pPr>
        <w:spacing w:after="0" w:line="179" w:lineRule="exact"/>
        <w:rPr>
          <w:sz w:val="20"/>
          <w:szCs w:val="20"/>
          <w:color w:val="auto"/>
        </w:rPr>
      </w:pPr>
    </w:p>
    <w:p>
      <w:pPr>
        <w:ind w:right="4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Percentage</w:t>
      </w:r>
      <w:r>
        <w:rPr>
          <w:rFonts w:ascii="Arial" w:cs="Arial" w:eastAsia="Arial" w:hAnsi="Arial"/>
          <w:sz w:val="19"/>
          <w:szCs w:val="19"/>
          <w:color w:val="auto"/>
        </w:rPr>
        <w:t xml:space="preserve">” means, subject to Section 2.14, with respect to any Lender at any time, (a) the aggregate principal amount of such Lender’s Advances divided by (b) the aggregate principal amount of the Advances owed to all Lenders;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there are no outstanding Advances, “Applicable Percentage” shall be the Funding Percentage.</w:t>
      </w:r>
    </w:p>
    <w:p>
      <w:pPr>
        <w:spacing w:after="0" w:line="132" w:lineRule="exact"/>
        <w:rPr>
          <w:sz w:val="20"/>
          <w:szCs w:val="20"/>
          <w:color w:val="auto"/>
        </w:rPr>
      </w:pPr>
    </w:p>
    <w:p>
      <w:pPr>
        <w:ind w:right="4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Approved Fund</w:t>
      </w:r>
      <w:r>
        <w:rPr>
          <w:rFonts w:ascii="Arial" w:cs="Arial" w:eastAsia="Arial" w:hAnsi="Arial"/>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Approved Lender</w:t>
      </w:r>
      <w:r>
        <w:rPr>
          <w:rFonts w:ascii="Arial" w:cs="Arial" w:eastAsia="Arial" w:hAnsi="Arial"/>
          <w:sz w:val="22"/>
          <w:szCs w:val="22"/>
          <w:color w:val="auto"/>
        </w:rPr>
        <w:t>” has the meaning set forth in the Fee and Ratio Letter.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Assigning Lender</w:t>
      </w:r>
      <w:r>
        <w:rPr>
          <w:rFonts w:ascii="Arial" w:cs="Arial" w:eastAsia="Arial" w:hAnsi="Arial"/>
          <w:sz w:val="22"/>
          <w:szCs w:val="22"/>
          <w:color w:val="auto"/>
        </w:rPr>
        <w:t>” has the meaning set forth in the definition of “Required Lenders”.</w:t>
      </w:r>
    </w:p>
    <w:p>
      <w:pPr>
        <w:spacing w:after="0" w:line="179"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Attributable Debt</w:t>
      </w:r>
      <w:r>
        <w:rPr>
          <w:rFonts w:ascii="Arial" w:cs="Arial" w:eastAsia="Arial" w:hAnsi="Arial"/>
          <w:sz w:val="22"/>
          <w:szCs w:val="22"/>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Availability Period</w:t>
      </w:r>
      <w:r>
        <w:rPr>
          <w:rFonts w:ascii="Arial" w:cs="Arial" w:eastAsia="Arial" w:hAnsi="Arial"/>
          <w:sz w:val="21"/>
          <w:szCs w:val="21"/>
          <w:color w:val="auto"/>
        </w:rPr>
        <w:t>” means the period from and including the Closing Date to but excluding the Maturity Date.</w:t>
      </w:r>
    </w:p>
    <w:p>
      <w:pPr>
        <w:spacing w:after="0" w:line="191" w:lineRule="exact"/>
        <w:rPr>
          <w:sz w:val="20"/>
          <w:szCs w:val="20"/>
          <w:color w:val="auto"/>
        </w:rPr>
      </w:pPr>
    </w:p>
    <w:p>
      <w:pPr>
        <w:ind w:right="120" w:firstLine="648"/>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Available Tenor</w:t>
      </w:r>
      <w:r>
        <w:rPr>
          <w:rFonts w:ascii="Arial" w:cs="Arial" w:eastAsia="Arial" w:hAnsi="Arial"/>
          <w:sz w:val="19"/>
          <w:szCs w:val="19"/>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Applicable Rate or the length of an Interest Period pursuant to this Agreement as of such date and not including, for the avoidance of doubt, any tenor for such Benchmark that is then-removed from the definition of “Interest Period” pursuant to paragraph (f) of Section 2.18.</w:t>
      </w:r>
    </w:p>
    <w:p>
      <w:pPr>
        <w:spacing w:after="0" w:line="176" w:lineRule="exact"/>
        <w:rPr>
          <w:sz w:val="20"/>
          <w:szCs w:val="20"/>
          <w:color w:val="auto"/>
        </w:rPr>
      </w:pPr>
    </w:p>
    <w:p>
      <w:pPr>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Bankruptcy Action</w:t>
      </w:r>
      <w:r>
        <w:rPr>
          <w:rFonts w:ascii="Arial" w:cs="Arial" w:eastAsia="Arial" w:hAnsi="Arial"/>
          <w:sz w:val="19"/>
          <w:szCs w:val="19"/>
          <w:color w:val="auto"/>
        </w:rPr>
        <w:t>” means any of the following, with respect to any Person: (a) to institute any proceedings to adjudicate such Person as bankrupt or insolvent, (b) to institute or consent to the institution of bankruptcy, reorganization or insolvency proceedings against such Person or file a bankruptcy petition or any other petition seeking, or consenting to, reorganization or relief with respect to such Person under any Debtor Relief Law, (c) to file or consent to a petition seeking liquidation, reorganization, dissolution, winding up or similar relief with respect to such Person, (d) to consent to the appointment of a receiver, liquidator, assignee, trustee, sequestrator or conservator (or other similar official) of such Person or any part of its property, (e) to make any assignment for the benefit of such Person’s creditors, (f) to cause such Person to admit in writing its inability to pay its debts, or (g) to take any action in furtherance of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40" w:right="359" w:bottom="1440" w:gutter="0" w:footer="0" w:header="0"/>
        </w:sectPr>
      </w:pPr>
    </w:p>
    <w:bookmarkStart w:id="62" w:name="page63"/>
    <w:bookmarkEnd w:id="62"/>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Bankruptcy Code</w:t>
      </w:r>
      <w:r>
        <w:rPr>
          <w:rFonts w:ascii="Arial" w:cs="Arial" w:eastAsia="Arial" w:hAnsi="Arial"/>
          <w:sz w:val="22"/>
          <w:szCs w:val="22"/>
          <w:color w:val="auto"/>
        </w:rPr>
        <w:t>” means the United States Bankruptcy Code.</w:t>
      </w:r>
    </w:p>
    <w:p>
      <w:pPr>
        <w:spacing w:after="0" w:line="179"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Rate</w:t>
      </w:r>
      <w:r>
        <w:rPr>
          <w:rFonts w:ascii="Arial" w:cs="Arial" w:eastAsia="Arial" w:hAnsi="Arial"/>
          <w:sz w:val="22"/>
          <w:szCs w:val="22"/>
          <w:color w:val="auto"/>
        </w:rPr>
        <w:t>” means, for any day, a rate per annum equal to the greatest of (i) the Prime Rate in effect on such day, (ii) the Federal Funds Effective Rate in effect on such day plus ½ of 1.00% and (iii) Adjusted Term SOFR for a one-month tenor in effect for such day plus 1.00%; provided that to the extent such highest rate as calculated above shall, at any time, be less than the Floor, such rate shall be deemed to be Floor for all purposes herein. Any change in the Base Rate due to a change in the Prime Rate, the Federal Funds Effective Rate or Adjusted Term SOFR shall be effective on the opening of business on the day specified in the public announcement of such change in the Prime Rate, the Federal Funds Effective Rate or Adjusted Term SOFR, respectively.</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Rate Advance</w:t>
      </w:r>
      <w:r>
        <w:rPr>
          <w:rFonts w:ascii="Arial" w:cs="Arial" w:eastAsia="Arial" w:hAnsi="Arial"/>
          <w:sz w:val="22"/>
          <w:szCs w:val="22"/>
          <w:color w:val="auto"/>
        </w:rPr>
        <w:t>” means an Advance that bears interest at a rate based on Base Rate.</w:t>
      </w:r>
    </w:p>
    <w:p>
      <w:pPr>
        <w:spacing w:after="0" w:line="220" w:lineRule="exact"/>
        <w:rPr>
          <w:sz w:val="20"/>
          <w:szCs w:val="20"/>
          <w:color w:val="auto"/>
        </w:rPr>
      </w:pPr>
    </w:p>
    <w:p>
      <w:pPr>
        <w:ind w:right="180" w:firstLine="638"/>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Benchmark</w:t>
      </w:r>
      <w:r>
        <w:rPr>
          <w:rFonts w:ascii="Arial" w:cs="Arial" w:eastAsia="Arial" w:hAnsi="Arial"/>
          <w:sz w:val="21"/>
          <w:szCs w:val="21"/>
          <w:color w:val="auto"/>
        </w:rPr>
        <w:t xml:space="preserve">” means, initially, the Term SOFR Rate, subject to replacement in the event the Loans should bear interest based on the Alternate Rate as provided in Section 2.18(a);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paragraph (b) of Section 2.18.</w:t>
      </w:r>
    </w:p>
    <w:p>
      <w:pPr>
        <w:spacing w:after="0" w:line="153" w:lineRule="exact"/>
        <w:rPr>
          <w:sz w:val="20"/>
          <w:szCs w:val="20"/>
          <w:color w:val="auto"/>
        </w:rPr>
      </w:pPr>
    </w:p>
    <w:p>
      <w:pPr>
        <w:ind w:right="400" w:firstLine="63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Benchmark Replacement</w:t>
      </w:r>
      <w:r>
        <w:rPr>
          <w:rFonts w:ascii="Arial" w:cs="Arial" w:eastAsia="Arial" w:hAnsi="Arial"/>
          <w:sz w:val="22"/>
          <w:szCs w:val="22"/>
          <w:color w:val="auto"/>
        </w:rPr>
        <w:t>” means with respect to any Benchmark Transition Event, for any Available Tenor, the first alternative set forth in the order below that can be determined by the Administrative Agent for the applicable Benchmark Replacement Date:</w:t>
      </w:r>
    </w:p>
    <w:p>
      <w:pPr>
        <w:spacing w:after="0" w:line="186" w:lineRule="exact"/>
        <w:rPr>
          <w:sz w:val="20"/>
          <w:szCs w:val="20"/>
          <w:color w:val="auto"/>
        </w:rPr>
      </w:pPr>
    </w:p>
    <w:p>
      <w:pPr>
        <w:ind w:left="940" w:hanging="284"/>
        <w:spacing w:after="0"/>
        <w:tabs>
          <w:tab w:leader="none" w:pos="9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Adjusted Daily Simple SOFR; or</w:t>
      </w:r>
    </w:p>
    <w:p>
      <w:pPr>
        <w:spacing w:after="0" w:line="206" w:lineRule="exact"/>
        <w:rPr>
          <w:rFonts w:ascii="Arial" w:cs="Arial" w:eastAsia="Arial" w:hAnsi="Arial"/>
          <w:sz w:val="22"/>
          <w:szCs w:val="22"/>
          <w:color w:val="auto"/>
        </w:rPr>
      </w:pPr>
    </w:p>
    <w:p>
      <w:pPr>
        <w:ind w:right="40" w:firstLine="656"/>
        <w:spacing w:after="0" w:line="216" w:lineRule="auto"/>
        <w:tabs>
          <w:tab w:leader="none" w:pos="954"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sum of: (i) the alternate benchmark rate that has been selected by the Administrative Agent and the Borrowers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spacing w:after="0" w:line="185" w:lineRule="exact"/>
        <w:rPr>
          <w:sz w:val="20"/>
          <w:szCs w:val="20"/>
          <w:color w:val="auto"/>
        </w:rPr>
      </w:pPr>
    </w:p>
    <w:p>
      <w:pPr>
        <w:ind w:right="760" w:firstLine="648"/>
        <w:spacing w:after="0" w:line="223" w:lineRule="auto"/>
        <w:rPr>
          <w:sz w:val="20"/>
          <w:szCs w:val="20"/>
          <w:color w:val="auto"/>
        </w:rPr>
      </w:pPr>
      <w:r>
        <w:rPr>
          <w:rFonts w:ascii="Arial" w:cs="Arial" w:eastAsia="Arial" w:hAnsi="Arial"/>
          <w:sz w:val="22"/>
          <w:szCs w:val="22"/>
          <w:color w:val="auto"/>
        </w:rPr>
        <w:t>If the Benchmark Replacement as determined pursuant to clause (a) or (b) above would be less than the Floor, the Benchmark Replacement will be deemed to be the Floor for the purposes of this Agreement and the other Margin Loan Documentation.</w:t>
      </w:r>
    </w:p>
    <w:p>
      <w:pPr>
        <w:spacing w:after="0" w:line="186" w:lineRule="exact"/>
        <w:rPr>
          <w:sz w:val="20"/>
          <w:szCs w:val="20"/>
          <w:color w:val="auto"/>
        </w:rPr>
      </w:pPr>
    </w:p>
    <w:p>
      <w:pPr>
        <w:ind w:right="20" w:firstLine="648"/>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Benchmark Replacement Adjustment</w:t>
      </w:r>
      <w:r>
        <w:rPr>
          <w:rFonts w:ascii="Arial" w:cs="Arial" w:eastAsia="Arial" w:hAnsi="Arial"/>
          <w:sz w:val="21"/>
          <w:szCs w:val="21"/>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Borrowers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00" w:lineRule="exact"/>
        <w:rPr>
          <w:sz w:val="20"/>
          <w:szCs w:val="20"/>
          <w:color w:val="auto"/>
        </w:rPr>
      </w:pPr>
    </w:p>
    <w:p>
      <w:pPr>
        <w:spacing w:after="0" w:line="234" w:lineRule="exact"/>
        <w:rPr>
          <w:sz w:val="20"/>
          <w:szCs w:val="20"/>
          <w:color w:val="auto"/>
        </w:rPr>
      </w:pPr>
    </w:p>
    <w:p>
      <w:pPr>
        <w:ind w:right="440"/>
        <w:spacing w:after="0" w:line="232" w:lineRule="auto"/>
        <w:rPr>
          <w:sz w:val="20"/>
          <w:szCs w:val="20"/>
          <w:color w:val="auto"/>
        </w:rPr>
      </w:pPr>
      <w:r>
        <w:rPr>
          <w:rFonts w:ascii="Arial" w:cs="Arial" w:eastAsia="Arial" w:hAnsi="Arial"/>
          <w:sz w:val="22"/>
          <w:szCs w:val="22"/>
          <w:color w:val="auto"/>
        </w:rPr>
        <w:t>replacement of such Benchmark with the applicable Unadjusted Benchmark Replacement for dollar-denominated syndicated credit facilities at such time.</w:t>
      </w:r>
    </w:p>
    <w:p>
      <w:pPr>
        <w:spacing w:after="0" w:line="186" w:lineRule="exact"/>
        <w:rPr>
          <w:sz w:val="20"/>
          <w:szCs w:val="20"/>
          <w:color w:val="auto"/>
        </w:rPr>
      </w:pPr>
    </w:p>
    <w:p>
      <w:pPr>
        <w:ind w:right="8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Benchmark Replacement Date</w:t>
      </w:r>
      <w:r>
        <w:rPr>
          <w:rFonts w:ascii="Arial" w:cs="Arial" w:eastAsia="Arial" w:hAnsi="Arial"/>
          <w:sz w:val="22"/>
          <w:szCs w:val="22"/>
          <w:color w:val="auto"/>
        </w:rPr>
        <w:t>” means a date and time determined by the Administrative Agent, which date shall be no later than, with respect to any Benchmark, the earliest to occur of the following events with respect to the then-current Benchmark:</w:t>
      </w:r>
    </w:p>
    <w:p>
      <w:pPr>
        <w:spacing w:after="0" w:line="186" w:lineRule="exact"/>
        <w:rPr>
          <w:sz w:val="20"/>
          <w:szCs w:val="20"/>
          <w:color w:val="auto"/>
        </w:rPr>
      </w:pPr>
    </w:p>
    <w:p>
      <w:pPr>
        <w:jc w:val="both"/>
        <w:ind w:right="40" w:firstLine="656"/>
        <w:spacing w:after="0" w:line="218" w:lineRule="auto"/>
        <w:tabs>
          <w:tab w:leader="none" w:pos="954" w:val="left"/>
        </w:tabs>
        <w:numPr>
          <w:ilvl w:val="0"/>
          <w:numId w:val="29"/>
        </w:numPr>
        <w:rPr>
          <w:rFonts w:ascii="Arial" w:cs="Arial" w:eastAsia="Arial" w:hAnsi="Arial"/>
          <w:sz w:val="22"/>
          <w:szCs w:val="22"/>
          <w:color w:val="auto"/>
        </w:rPr>
      </w:pPr>
      <w:r>
        <w:rPr>
          <w:rFonts w:ascii="Arial" w:cs="Arial" w:eastAsia="Arial" w:hAnsi="Arial"/>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87" w:lineRule="exact"/>
        <w:rPr>
          <w:rFonts w:ascii="Arial" w:cs="Arial" w:eastAsia="Arial" w:hAnsi="Arial"/>
          <w:sz w:val="22"/>
          <w:szCs w:val="22"/>
          <w:color w:val="auto"/>
        </w:rPr>
      </w:pPr>
    </w:p>
    <w:p>
      <w:pPr>
        <w:ind w:right="40" w:firstLine="656"/>
        <w:spacing w:after="0" w:line="252" w:lineRule="auto"/>
        <w:tabs>
          <w:tab w:leader="none" w:pos="954" w:val="left"/>
        </w:tabs>
        <w:numPr>
          <w:ilvl w:val="0"/>
          <w:numId w:val="29"/>
        </w:numPr>
        <w:rPr>
          <w:rFonts w:ascii="Arial" w:cs="Arial" w:eastAsia="Arial" w:hAnsi="Arial"/>
          <w:sz w:val="19"/>
          <w:szCs w:val="19"/>
          <w:color w:val="auto"/>
        </w:rPr>
      </w:pPr>
      <w:r>
        <w:rPr>
          <w:rFonts w:ascii="Arial" w:cs="Arial" w:eastAsia="Arial" w:hAnsi="Arial"/>
          <w:sz w:val="19"/>
          <w:szCs w:val="19"/>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76" w:lineRule="exact"/>
        <w:rPr>
          <w:sz w:val="20"/>
          <w:szCs w:val="20"/>
          <w:color w:val="auto"/>
        </w:rPr>
      </w:pPr>
    </w:p>
    <w:p>
      <w:pPr>
        <w:ind w:right="20" w:firstLine="648"/>
        <w:spacing w:after="0" w:line="268" w:lineRule="auto"/>
        <w:rPr>
          <w:sz w:val="20"/>
          <w:szCs w:val="20"/>
          <w:color w:val="auto"/>
        </w:rPr>
      </w:pPr>
      <w:r>
        <w:rPr>
          <w:rFonts w:ascii="Arial" w:cs="Arial" w:eastAsia="Arial" w:hAnsi="Arial"/>
          <w:sz w:val="19"/>
          <w:szCs w:val="19"/>
          <w:color w:val="auto"/>
        </w:rPr>
        <w:t>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59" w:lineRule="exact"/>
        <w:rPr>
          <w:sz w:val="20"/>
          <w:szCs w:val="20"/>
          <w:color w:val="auto"/>
        </w:rPr>
      </w:pPr>
    </w:p>
    <w:p>
      <w:pPr>
        <w:ind w:right="2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Benchmark Transition Event</w:t>
      </w:r>
      <w:r>
        <w:rPr>
          <w:rFonts w:ascii="Arial" w:cs="Arial" w:eastAsia="Arial" w:hAnsi="Arial"/>
          <w:sz w:val="22"/>
          <w:szCs w:val="22"/>
          <w:color w:val="auto"/>
        </w:rPr>
        <w:t>” means, with respect to any Benchmark, the occurrence of one or more of the following events with respect to such then-current Benchmark:</w:t>
      </w:r>
    </w:p>
    <w:p>
      <w:pPr>
        <w:spacing w:after="0" w:line="186" w:lineRule="exact"/>
        <w:rPr>
          <w:sz w:val="20"/>
          <w:szCs w:val="20"/>
          <w:color w:val="auto"/>
        </w:rPr>
      </w:pPr>
    </w:p>
    <w:p>
      <w:pPr>
        <w:ind w:firstLine="656"/>
        <w:spacing w:after="0" w:line="216" w:lineRule="auto"/>
        <w:tabs>
          <w:tab w:leader="none" w:pos="928" w:val="left"/>
        </w:tabs>
        <w:numPr>
          <w:ilvl w:val="0"/>
          <w:numId w:val="30"/>
        </w:numPr>
        <w:rPr>
          <w:rFonts w:ascii="Arial" w:cs="Arial" w:eastAsia="Arial" w:hAnsi="Arial"/>
          <w:sz w:val="20"/>
          <w:szCs w:val="20"/>
          <w:color w:val="auto"/>
        </w:rPr>
      </w:pPr>
      <w:r>
        <w:rPr>
          <w:rFonts w:ascii="Arial" w:cs="Arial" w:eastAsia="Arial" w:hAnsi="Arial"/>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4" w:lineRule="exact"/>
        <w:rPr>
          <w:rFonts w:ascii="Arial" w:cs="Arial" w:eastAsia="Arial" w:hAnsi="Arial"/>
          <w:sz w:val="20"/>
          <w:szCs w:val="20"/>
          <w:color w:val="auto"/>
        </w:rPr>
      </w:pPr>
    </w:p>
    <w:p>
      <w:pPr>
        <w:ind w:right="80" w:firstLine="656"/>
        <w:spacing w:after="0" w:line="244" w:lineRule="auto"/>
        <w:tabs>
          <w:tab w:leader="none" w:pos="928" w:val="left"/>
        </w:tabs>
        <w:numPr>
          <w:ilvl w:val="0"/>
          <w:numId w:val="30"/>
        </w:numPr>
        <w:rPr>
          <w:rFonts w:ascii="Arial" w:cs="Arial" w:eastAsia="Arial" w:hAnsi="Arial"/>
          <w:sz w:val="18"/>
          <w:szCs w:val="18"/>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the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7" w:lineRule="exact"/>
        <w:rPr>
          <w:rFonts w:ascii="Arial" w:cs="Arial" w:eastAsia="Arial" w:hAnsi="Arial"/>
          <w:sz w:val="18"/>
          <w:szCs w:val="18"/>
          <w:color w:val="auto"/>
        </w:rPr>
      </w:pPr>
    </w:p>
    <w:p>
      <w:pPr>
        <w:ind w:right="100" w:firstLine="656"/>
        <w:spacing w:after="0" w:line="232" w:lineRule="auto"/>
        <w:tabs>
          <w:tab w:leader="none" w:pos="928" w:val="left"/>
        </w:tabs>
        <w:numPr>
          <w:ilvl w:val="0"/>
          <w:numId w:val="30"/>
        </w:numPr>
        <w:rPr>
          <w:rFonts w:ascii="Arial" w:cs="Arial" w:eastAsia="Arial" w:hAnsi="Arial"/>
          <w:sz w:val="20"/>
          <w:szCs w:val="20"/>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40" w:right="359" w:bottom="1440" w:gutter="0" w:footer="0" w:header="0"/>
        </w:sectPr>
      </w:pPr>
    </w:p>
    <w:bookmarkStart w:id="64" w:name="page65"/>
    <w:bookmarkEnd w:id="64"/>
    <w:p>
      <w:pPr>
        <w:spacing w:after="0" w:line="200" w:lineRule="exact"/>
        <w:rPr>
          <w:sz w:val="20"/>
          <w:szCs w:val="20"/>
          <w:color w:val="auto"/>
        </w:rPr>
      </w:pPr>
    </w:p>
    <w:p>
      <w:pPr>
        <w:spacing w:after="0" w:line="234" w:lineRule="exact"/>
        <w:rPr>
          <w:sz w:val="20"/>
          <w:szCs w:val="20"/>
          <w:color w:val="auto"/>
        </w:rPr>
      </w:pPr>
    </w:p>
    <w:p>
      <w:pPr>
        <w:ind w:right="280"/>
        <w:spacing w:after="0" w:line="232" w:lineRule="auto"/>
        <w:rPr>
          <w:sz w:val="20"/>
          <w:szCs w:val="20"/>
          <w:color w:val="auto"/>
        </w:rPr>
      </w:pPr>
      <w:r>
        <w:rPr>
          <w:rFonts w:ascii="Arial" w:cs="Arial" w:eastAsia="Arial" w:hAnsi="Arial"/>
          <w:sz w:val="22"/>
          <w:szCs w:val="22"/>
          <w:color w:val="auto"/>
        </w:rPr>
        <w:t>announcing that all Available Tenors of such Benchmark (or such component thereof) are no longer, or as of a specified future date will no longer be, representative.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For the avoidance of doubt, a “Benchmark Transition Event” will be deemed to have occurred with respect to any</w:t>
      </w:r>
    </w:p>
    <w:p>
      <w:pPr>
        <w:spacing w:after="0" w:line="237" w:lineRule="auto"/>
        <w:rPr>
          <w:sz w:val="20"/>
          <w:szCs w:val="20"/>
          <w:color w:val="auto"/>
        </w:rPr>
      </w:pPr>
      <w:r>
        <w:rPr>
          <w:rFonts w:ascii="Arial" w:cs="Arial" w:eastAsia="Arial" w:hAnsi="Arial"/>
          <w:sz w:val="19"/>
          <w:szCs w:val="19"/>
          <w:color w:val="auto"/>
        </w:rPr>
        <w:t>Benchmark if a public statement or publication of information set forth above has occurred with respect to each then-current</w:t>
      </w:r>
    </w:p>
    <w:p>
      <w:pPr>
        <w:spacing w:after="0"/>
        <w:rPr>
          <w:sz w:val="20"/>
          <w:szCs w:val="20"/>
          <w:color w:val="auto"/>
        </w:rPr>
      </w:pPr>
      <w:r>
        <w:rPr>
          <w:rFonts w:ascii="Arial" w:cs="Arial" w:eastAsia="Arial" w:hAnsi="Arial"/>
          <w:sz w:val="22"/>
          <w:szCs w:val="22"/>
          <w:color w:val="auto"/>
        </w:rPr>
        <w:t xml:space="preserve">Available Tenor of such Benchmark (or the published component used in </w:t>
      </w:r>
      <w:r>
        <w:rPr>
          <w:rFonts w:ascii="Arial" w:cs="Arial" w:eastAsia="Arial" w:hAnsi="Arial"/>
          <w:sz w:val="19"/>
          <w:szCs w:val="19"/>
          <w:color w:val="auto"/>
        </w:rPr>
        <w:t>the calculation thereof).</w:t>
      </w:r>
    </w:p>
    <w:p>
      <w:pPr>
        <w:spacing w:after="0" w:line="188" w:lineRule="exact"/>
        <w:rPr>
          <w:sz w:val="20"/>
          <w:szCs w:val="20"/>
          <w:color w:val="auto"/>
        </w:rPr>
      </w:pPr>
    </w:p>
    <w:p>
      <w:pPr>
        <w:ind w:right="80" w:firstLine="648"/>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Unavailability Period</w:t>
      </w:r>
      <w:r>
        <w:rPr>
          <w:rFonts w:ascii="Arial" w:cs="Arial" w:eastAsia="Arial" w:hAnsi="Arial"/>
          <w:sz w:val="19"/>
          <w:szCs w:val="19"/>
          <w:color w:val="auto"/>
        </w:rPr>
        <w:t>” means, with respect to any Benchmark, the period (if any) (x) beginning at the time that a Benchmark Replacement Date pursuant to clauses (a) or (b) of that definition has occurred if, at such time, no Benchmark Replacement has replaced such then-current Benchmark for all purposes hereunder and under any Facility Documents in accordance with Section 2.18 and (y) ending at the time that a Benchmark Replacement has replaced such then-current Benchmark for all purposes hereunder and under any Facility Documents in accordance with Section 2.18.</w:t>
      </w:r>
    </w:p>
    <w:p>
      <w:pPr>
        <w:spacing w:after="0" w:line="149" w:lineRule="exact"/>
        <w:rPr>
          <w:sz w:val="20"/>
          <w:szCs w:val="20"/>
          <w:color w:val="auto"/>
        </w:rPr>
      </w:pPr>
    </w:p>
    <w:p>
      <w:pPr>
        <w:ind w:right="3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Beneficial Ownership Certification</w:t>
      </w:r>
      <w:r>
        <w:rPr>
          <w:rFonts w:ascii="Arial" w:cs="Arial" w:eastAsia="Arial" w:hAnsi="Arial"/>
          <w:sz w:val="22"/>
          <w:szCs w:val="22"/>
          <w:color w:val="auto"/>
        </w:rPr>
        <w:t>” means a certification regarding beneficial ownership required by the Beneficial Ownership Regulation.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Beneficial Ownership Regulation</w:t>
      </w:r>
      <w:r>
        <w:rPr>
          <w:rFonts w:ascii="Arial" w:cs="Arial" w:eastAsia="Arial" w:hAnsi="Arial"/>
          <w:sz w:val="22"/>
          <w:szCs w:val="22"/>
          <w:color w:val="auto"/>
        </w:rPr>
        <w:t>” means 31 C.F.R. § 1010.230.</w:t>
      </w:r>
    </w:p>
    <w:p>
      <w:pPr>
        <w:spacing w:after="0" w:line="179" w:lineRule="exact"/>
        <w:rPr>
          <w:sz w:val="20"/>
          <w:szCs w:val="20"/>
          <w:color w:val="auto"/>
        </w:rPr>
      </w:pPr>
    </w:p>
    <w:p>
      <w:pPr>
        <w:ind w:right="1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 of Directors</w:t>
      </w:r>
      <w:r>
        <w:rPr>
          <w:rFonts w:ascii="Arial" w:cs="Arial" w:eastAsia="Arial" w:hAnsi="Arial"/>
          <w:sz w:val="22"/>
          <w:szCs w:val="22"/>
          <w:color w:val="auto"/>
        </w:rPr>
        <w:t>” means, with respect to any Person, the board of directors or managers (or analogous governing body) of such Person or a committee of such board (or other governing body) duly authorized under such Person’s Organization Documents and applicable Law to act for it.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Borrower 1</w:t>
      </w:r>
      <w:r>
        <w:rPr>
          <w:rFonts w:ascii="Arial" w:cs="Arial" w:eastAsia="Arial" w:hAnsi="Arial"/>
          <w:sz w:val="22"/>
          <w:szCs w:val="22"/>
          <w:color w:val="auto"/>
        </w:rPr>
        <w:t>” has the meaning specified in the preamble hereto.</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Borrower 2</w:t>
      </w:r>
      <w:r>
        <w:rPr>
          <w:rFonts w:ascii="Arial" w:cs="Arial" w:eastAsia="Arial" w:hAnsi="Arial"/>
          <w:sz w:val="22"/>
          <w:szCs w:val="22"/>
          <w:color w:val="auto"/>
        </w:rPr>
        <w:t>” has the meaning specified in the preamble hereto.</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Borrowers</w:t>
      </w:r>
      <w:r>
        <w:rPr>
          <w:rFonts w:ascii="Arial" w:cs="Arial" w:eastAsia="Arial" w:hAnsi="Arial"/>
          <w:sz w:val="22"/>
          <w:szCs w:val="22"/>
          <w:color w:val="auto"/>
        </w:rPr>
        <w:t>” has the meaning specified in the preamble hereto.</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Borrowing Notice</w:t>
      </w:r>
      <w:r>
        <w:rPr>
          <w:rFonts w:ascii="Arial" w:cs="Arial" w:eastAsia="Arial" w:hAnsi="Arial"/>
          <w:sz w:val="22"/>
          <w:szCs w:val="22"/>
          <w:color w:val="auto"/>
        </w:rPr>
        <w:t>” has the meaning specified in Section 2.02(a)(ii).</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any day on which commercial banks are open for business in New York City, United States and/or Chicago.</w:t>
      </w:r>
    </w:p>
    <w:p>
      <w:pPr>
        <w:spacing w:after="0" w:line="159" w:lineRule="exact"/>
        <w:rPr>
          <w:sz w:val="20"/>
          <w:szCs w:val="20"/>
          <w:color w:val="auto"/>
        </w:rPr>
      </w:pPr>
    </w:p>
    <w:p>
      <w:pPr>
        <w:ind w:right="400"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Calculation Agent</w:t>
      </w:r>
      <w:r>
        <w:rPr>
          <w:rFonts w:ascii="Arial" w:cs="Arial" w:eastAsia="Arial" w:hAnsi="Arial"/>
          <w:sz w:val="19"/>
          <w:szCs w:val="19"/>
          <w:color w:val="auto"/>
        </w:rPr>
        <w:t xml:space="preserve">” means Royal Bank of Canada, in its capacity as calculation agent under any of the Margin Loan Documentation, or any successor calculation agent hereunder, subject to Section 2.15. All calculations and determinations hereunder or in connection with the transactions contemplated hereby or as otherwise provided herein shall be made by Calculation Agent without any required consent or approval of any other party hereto but in consultation with each Lender;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in no event shall such consultation obligation (x) cause Calculation Agent to unduly delay any calculation,</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determination or delivery of any notice or (y) expose the Calculation Agent to any liability.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Cash</w:t>
      </w:r>
      <w:r>
        <w:rPr>
          <w:rFonts w:ascii="Arial" w:cs="Arial" w:eastAsia="Arial" w:hAnsi="Arial"/>
          <w:sz w:val="22"/>
          <w:szCs w:val="22"/>
          <w:color w:val="auto"/>
        </w:rPr>
        <w:t>” means all cash in Dollars at any time and from time to time deposited in the Collateral Accounts.</w:t>
      </w:r>
    </w:p>
    <w:p>
      <w:pPr>
        <w:spacing w:after="0" w:line="179" w:lineRule="exact"/>
        <w:rPr>
          <w:sz w:val="20"/>
          <w:szCs w:val="20"/>
          <w:color w:val="auto"/>
        </w:rPr>
      </w:pPr>
    </w:p>
    <w:p>
      <w:pPr>
        <w:ind w:right="5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Cash Equivalents</w:t>
      </w:r>
      <w:r>
        <w:rPr>
          <w:rFonts w:ascii="Arial" w:cs="Arial" w:eastAsia="Arial" w:hAnsi="Arial"/>
          <w:sz w:val="22"/>
          <w:szCs w:val="22"/>
          <w:color w:val="auto"/>
        </w:rPr>
        <w:t>” means any readily marketable direct obligations of the Government of the United States or any agency or instrumentality thereof or obligations unconditionally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20" w:top="1440" w:right="379" w:bottom="1440" w:gutter="0" w:footer="0" w:header="0"/>
        </w:sectPr>
      </w:pPr>
    </w:p>
    <w:bookmarkStart w:id="65" w:name="page66"/>
    <w:bookmarkEnd w:id="65"/>
    <w:p>
      <w:pPr>
        <w:spacing w:after="0" w:line="200" w:lineRule="exact"/>
        <w:rPr>
          <w:sz w:val="20"/>
          <w:szCs w:val="20"/>
          <w:color w:val="auto"/>
        </w:rPr>
      </w:pPr>
    </w:p>
    <w:p>
      <w:pPr>
        <w:spacing w:after="0" w:line="234" w:lineRule="exact"/>
        <w:rPr>
          <w:sz w:val="20"/>
          <w:szCs w:val="20"/>
          <w:color w:val="auto"/>
        </w:rPr>
      </w:pPr>
    </w:p>
    <w:p>
      <w:pPr>
        <w:ind w:right="240"/>
        <w:spacing w:after="0" w:line="232" w:lineRule="auto"/>
        <w:rPr>
          <w:sz w:val="20"/>
          <w:szCs w:val="20"/>
          <w:color w:val="auto"/>
        </w:rPr>
      </w:pPr>
      <w:r>
        <w:rPr>
          <w:rFonts w:ascii="Arial" w:cs="Arial" w:eastAsia="Arial" w:hAnsi="Arial"/>
          <w:sz w:val="22"/>
          <w:szCs w:val="22"/>
          <w:color w:val="auto"/>
        </w:rPr>
        <w:t>guaranteed by the full faith and credit of the Government of the United States having a maturity of not greater than twelve (12) months from the date of issuance thereof.</w:t>
      </w:r>
    </w:p>
    <w:p>
      <w:pPr>
        <w:spacing w:after="0" w:line="159" w:lineRule="exact"/>
        <w:rPr>
          <w:sz w:val="20"/>
          <w:szCs w:val="20"/>
          <w:color w:val="auto"/>
        </w:rPr>
      </w:pPr>
    </w:p>
    <w:p>
      <w:pPr>
        <w:ind w:right="80"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CDAY Aggregate Value</w:t>
      </w:r>
      <w:r>
        <w:rPr>
          <w:rFonts w:ascii="Arial" w:cs="Arial" w:eastAsia="Arial" w:hAnsi="Arial"/>
          <w:sz w:val="19"/>
          <w:szCs w:val="19"/>
          <w:color w:val="auto"/>
        </w:rPr>
        <w:t>” means, at any time, the sum of (i) the Share Collateral Value with respect to the CDAY Shares and (ii) the market value (as reasonably determined by the Calculation Agent) of all securities or securities entitlements received in connection with Collateral Shares that are CDAY Shares as described in Section 2.08(e) that constitute Acceptable Collateral, subject to a valuation percentage (which may, for the avoidance of doubt, be any percentage from, and including, 0% to, and including, 100%) determined by Calculation Agent in its sole discretion (it being understood that, in making such determination, Calculation Agent may take into account, among other factors, volatility, correlation, liquidity and free float of the Shares or any other relevant securities, the credit profile of Issuer or the issuer of such other securities and Transfer Restrictions, in each case, relative to the Shares or, if applicable, any other securities prior to giving effect to the relevant event).</w:t>
      </w:r>
    </w:p>
    <w:p>
      <w:pPr>
        <w:spacing w:after="0" w:line="152" w:lineRule="exact"/>
        <w:rPr>
          <w:sz w:val="20"/>
          <w:szCs w:val="20"/>
          <w:color w:val="auto"/>
        </w:rPr>
      </w:pPr>
    </w:p>
    <w:p>
      <w:pPr>
        <w:ind w:right="40"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CDAY Existing Transfer Restrictions</w:t>
      </w:r>
      <w:r>
        <w:rPr>
          <w:rFonts w:ascii="Arial" w:cs="Arial" w:eastAsia="Arial" w:hAnsi="Arial"/>
          <w:sz w:val="19"/>
          <w:szCs w:val="19"/>
          <w:color w:val="auto"/>
        </w:rPr>
        <w:t>” means (I) solely with respect to CDAY Shares (including, for the avoidance of doubt, Collateral Shares) in the hands of Borrower 1 and not with respect to any CDAY Shares in the hands of any Applicable Lender exercising its remedies under the Margin Loan Documentation, the Transfer Restrictions on such CDAY Shares expressly set forth in the CDAY Registration Rights Agreement and (II) legal restrictions on the CDAY Shares under the federal securities laws of the United States arising solely as a result of (x) being deemed “restricted securities” (within the meaning of Rule 144(a)</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19"/>
          <w:szCs w:val="19"/>
          <w:color w:val="auto"/>
        </w:rPr>
        <w:t>(3)(i) under the Securities Act) due to such CDAY Shares being issued in a transaction exempt from the registration requirements of the Securities Act pursuant to Section 4(a)(2) thereof, with a “holding period” (within the meaning of Rule 144(d) under the Securities Act) in the hands of Borrower 1 and in the hands of any Applicable Lender exercising its remedies under the Margin Loan Documentation that commenced on or before April 30, 2018 or, solely with respect to CDAY Shares which are Collateral Shares in the hands of an Applicable Lender and solely (A) at any time during which the Guarantee Agreement will not be enforced pursuant to the proviso to Section 1.08 of the Guarantee Agreement or (B) after the Guarantee Termination Date, the Closing Date or (y) Borrower 1’s status as an “affiliate” (within the meaning of Rule 144) of the CDAY Issuer (it being understood that this clause (y) does not constitute a representation as to such status).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CDAY Issuer</w:t>
      </w:r>
      <w:r>
        <w:rPr>
          <w:rFonts w:ascii="Arial" w:cs="Arial" w:eastAsia="Arial" w:hAnsi="Arial"/>
          <w:sz w:val="22"/>
          <w:szCs w:val="22"/>
          <w:color w:val="auto"/>
        </w:rPr>
        <w:t>” means Ceridian HCM Holding Inc., a Delaware corporation.</w:t>
      </w:r>
    </w:p>
    <w:p>
      <w:pPr>
        <w:spacing w:after="0" w:line="179" w:lineRule="exact"/>
        <w:rPr>
          <w:sz w:val="20"/>
          <w:szCs w:val="20"/>
          <w:color w:val="auto"/>
        </w:rPr>
      </w:pPr>
    </w:p>
    <w:p>
      <w:pPr>
        <w:ind w:right="14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CDAY Registration Rights Agreement</w:t>
      </w:r>
      <w:r>
        <w:rPr>
          <w:rFonts w:ascii="Arial" w:cs="Arial" w:eastAsia="Arial" w:hAnsi="Arial"/>
          <w:sz w:val="22"/>
          <w:szCs w:val="22"/>
          <w:color w:val="auto"/>
        </w:rPr>
        <w:t>” means the Registration Rights Agreement entered into as of April 30, 2018, by and among the CDAY Issuer, the persons listed on the signature pages thereto as a THL Party, Cannae Holdings, LLC and the other persons listed on the signature pages thereto as an other stockholder.</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CDAY Shares</w:t>
      </w:r>
      <w:r>
        <w:rPr>
          <w:rFonts w:ascii="Arial" w:cs="Arial" w:eastAsia="Arial" w:hAnsi="Arial"/>
          <w:sz w:val="22"/>
          <w:szCs w:val="22"/>
          <w:color w:val="auto"/>
        </w:rPr>
        <w:t>” means the shares of common stock, par value $0.01 per share, of CDAY Issuer.</w:t>
      </w:r>
    </w:p>
    <w:p>
      <w:pPr>
        <w:spacing w:after="0" w:line="179"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CDAY THL Entities</w:t>
      </w:r>
      <w:r>
        <w:rPr>
          <w:rFonts w:ascii="Arial" w:cs="Arial" w:eastAsia="Arial" w:hAnsi="Arial"/>
          <w:sz w:val="22"/>
          <w:szCs w:val="22"/>
          <w:color w:val="auto"/>
        </w:rPr>
        <w:t>” means, collectively, Thomas H. Lee Equity Fund VI, L.P., a Delaware limited partnership, Thomas H. Lee Parallel Fund VI, L.P., a Delaware limited partnership, Thomas H. Lee Parallel (DT) Fund VI, L.P., a Delaware limited partnership, Great-West Investors, L.P., a Delaware limited partnership, Putnam Investments Employees’ Securities Company III, LLC, a Delaware limited liability company, THL Coinvestment Partners, L.P., a Delaware limited partnership, THL Operating Partners, L.P., a Delaware limited partnership, THL Equity Fund VI Investors (Ceridian), L.P., a Delaware limited partnership, THL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40" w:right="359" w:bottom="1440" w:gutter="0" w:footer="0" w:header="0"/>
        </w:sectPr>
      </w:pPr>
    </w:p>
    <w:bookmarkStart w:id="66" w:name="page67"/>
    <w:bookmarkEnd w:id="66"/>
    <w:p>
      <w:pPr>
        <w:spacing w:after="0" w:line="200" w:lineRule="exact"/>
        <w:rPr>
          <w:sz w:val="20"/>
          <w:szCs w:val="20"/>
          <w:color w:val="auto"/>
        </w:rPr>
      </w:pPr>
    </w:p>
    <w:p>
      <w:pPr>
        <w:spacing w:after="0" w:line="234" w:lineRule="exact"/>
        <w:rPr>
          <w:sz w:val="20"/>
          <w:szCs w:val="20"/>
          <w:color w:val="auto"/>
        </w:rPr>
      </w:pPr>
    </w:p>
    <w:p>
      <w:pPr>
        <w:ind w:right="280"/>
        <w:spacing w:after="0" w:line="268" w:lineRule="auto"/>
        <w:rPr>
          <w:sz w:val="20"/>
          <w:szCs w:val="20"/>
          <w:color w:val="auto"/>
        </w:rPr>
      </w:pPr>
      <w:r>
        <w:rPr>
          <w:rFonts w:ascii="Arial" w:cs="Arial" w:eastAsia="Arial" w:hAnsi="Arial"/>
          <w:sz w:val="19"/>
          <w:szCs w:val="19"/>
          <w:color w:val="auto"/>
        </w:rPr>
        <w:t>Fund VI Investors (Ceridian) II, L.P., a Delaware limited partnership, THL Equity Fund VI Investors (Ceridian) III, LLC, a Delaware limited liability company, THL Equity Fund VI Investors (Ceridian) IV, LLC, a Delaware limited liability company, THL Equity Fund VI Investors (Ceridian) V, LLC, a Delaware limited liability company, and any Affiliate thereof.</w:t>
      </w:r>
    </w:p>
    <w:p>
      <w:pPr>
        <w:spacing w:after="0" w:line="132" w:lineRule="exact"/>
        <w:rPr>
          <w:sz w:val="20"/>
          <w:szCs w:val="20"/>
          <w:color w:val="auto"/>
        </w:rPr>
      </w:pPr>
    </w:p>
    <w:p>
      <w:pPr>
        <w:ind w:right="120"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Law</w:t>
      </w:r>
      <w:r>
        <w:rPr>
          <w:rFonts w:ascii="Arial" w:cs="Arial" w:eastAsia="Arial" w:hAnsi="Arial"/>
          <w:sz w:val="19"/>
          <w:szCs w:val="19"/>
          <w:color w:val="auto"/>
        </w:rPr>
        <w:t xml:space="preserve">” means the occurrence, after the date of this Agreement, of (a) the adoption of any law, rule, regulation or treaty, (b) any change in any law, rule, regulation or treaty or in the interpretation or application thereof by any Governmental Authority or (c) compliance by any Lender (or, for purposes of Section 2.09(b), by any lending office of any Lender or by any Lender’s holding company, if any) with any request, guideline or directive (whether or not having the force of law) of any Governmental Authority made or issued after the date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have been introduced or adopted after the Closing Date, regardless of the date enacted, adopted or issued.</w:t>
      </w:r>
    </w:p>
    <w:p>
      <w:pPr>
        <w:spacing w:after="0" w:line="155"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means that (i) with respect to the CDAY Issuer, (x) a “person” or “group” (other than a group including the CDAY THL Entities) becomes the “beneficial owner” of more than 50% of the CDAY Issuer’s voting equity (all within the meaning of Section 13(d) of the Exchange Act and the rules promulgated thereunder) or (y) any CDAY THL Entity, or any “group” including the CDAY THL Entities, becomes the “beneficial owner” of more than 60% of the CDAY Issuer’s voting equity (all within the meaning of Section 13(d) of the Exchange Act and the rules promulgated thereunder), (ii) with respect to the DNB Issuer, (x) a “person” or “group” (other than a group including the DNB THL Entities) becomes the “beneficial owner” of more than 50% of the DNB Issuer’s voting equity (all within the meaning of Section 13(d) of the Exchange Act and the rules promulgated thereunder) or (y) any DNB THL Entity, or any “group” including the DNB THL Entities, becomes the “beneficial owner” of more than 60% of the DNB Issuer’s voting equity (all within the meaning of Section 13(d) of the Exchange Act and the rules promulgated thereunder) or (iii) with respect to a Borrower, (a) CHI ceases to directly or indirectly hold and control 100% of the Equity Interests of such Borrower or (b) CHI (1) is involved in any merger, consolidation, amalgamation or similar transaction in which CHI is not the continuing Person, or (2) sells or otherwise disposes, or its Subsidiaries sell or dispose, of all or substantially all of CHI’s consolidated assets.</w:t>
      </w:r>
    </w:p>
    <w:p>
      <w:pPr>
        <w:spacing w:after="0" w:line="3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Charges</w:t>
      </w:r>
      <w:r>
        <w:rPr>
          <w:rFonts w:ascii="Arial" w:cs="Arial" w:eastAsia="Arial" w:hAnsi="Arial"/>
          <w:sz w:val="22"/>
          <w:szCs w:val="22"/>
          <w:color w:val="auto"/>
        </w:rPr>
        <w:t>” has the meaning specified in Section 9.16.</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“CHI” </w:t>
      </w:r>
      <w:r>
        <w:rPr>
          <w:rFonts w:ascii="Arial" w:cs="Arial" w:eastAsia="Arial" w:hAnsi="Arial"/>
          <w:sz w:val="22"/>
          <w:szCs w:val="22"/>
          <w:color w:val="auto"/>
        </w:rPr>
        <w:t>means Cannae Holdings, Inc.</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CHI Financial Statements</w:t>
      </w:r>
      <w:r>
        <w:rPr>
          <w:rFonts w:ascii="Arial" w:cs="Arial" w:eastAsia="Arial" w:hAnsi="Arial"/>
          <w:sz w:val="21"/>
          <w:szCs w:val="21"/>
          <w:color w:val="auto"/>
        </w:rPr>
        <w:t>” means the financial statements of Guarantor delivered pursuant to Section 5.01.</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means November 30, 2020.</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Collateral</w:t>
      </w:r>
      <w:r>
        <w:rPr>
          <w:rFonts w:ascii="Arial" w:cs="Arial" w:eastAsia="Arial" w:hAnsi="Arial"/>
          <w:sz w:val="22"/>
          <w:szCs w:val="22"/>
          <w:color w:val="auto"/>
        </w:rPr>
        <w:t>” has the meaning specified in the Security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Collateral Accounts</w:t>
      </w:r>
      <w:r>
        <w:rPr>
          <w:rFonts w:ascii="Arial" w:cs="Arial" w:eastAsia="Arial" w:hAnsi="Arial"/>
          <w:sz w:val="22"/>
          <w:szCs w:val="22"/>
          <w:color w:val="auto"/>
        </w:rPr>
        <w:t>” has the meaning specified in the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00"/>
          </w:cols>
          <w:pgMar w:left="320" w:top="1440" w:right="37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Collateral Call LTV Level</w:t>
      </w:r>
      <w:r>
        <w:rPr>
          <w:rFonts w:ascii="Arial" w:cs="Arial" w:eastAsia="Arial" w:hAnsi="Arial"/>
          <w:sz w:val="22"/>
          <w:szCs w:val="22"/>
          <w:color w:val="auto"/>
        </w:rPr>
        <w:t>” has the meaning specified in the Fee and Ratio Letter.</w:t>
      </w: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Collateral Call Notice</w:t>
      </w:r>
      <w:r>
        <w:rPr>
          <w:rFonts w:ascii="Arial" w:cs="Arial" w:eastAsia="Arial" w:hAnsi="Arial"/>
          <w:sz w:val="22"/>
          <w:szCs w:val="22"/>
          <w:color w:val="auto"/>
        </w:rPr>
        <w:t>” has the meaning specified in Section 2.08(c).</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Collateral Call Notice Deadline</w:t>
      </w:r>
      <w:r>
        <w:rPr>
          <w:rFonts w:ascii="Arial" w:cs="Arial" w:eastAsia="Arial" w:hAnsi="Arial"/>
          <w:sz w:val="22"/>
          <w:szCs w:val="22"/>
          <w:color w:val="auto"/>
        </w:rPr>
        <w:t>” has the meaning specified in Section 9.02(a).</w:t>
      </w:r>
    </w:p>
    <w:p>
      <w:pPr>
        <w:spacing w:after="0" w:line="179" w:lineRule="exact"/>
        <w:rPr>
          <w:sz w:val="20"/>
          <w:szCs w:val="20"/>
          <w:color w:val="auto"/>
        </w:rPr>
      </w:pPr>
    </w:p>
    <w:p>
      <w:pPr>
        <w:ind w:right="20" w:firstLine="648"/>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Collateral Call Trigger Event</w:t>
      </w:r>
      <w:r>
        <w:rPr>
          <w:rFonts w:ascii="Arial" w:cs="Arial" w:eastAsia="Arial" w:hAnsi="Arial"/>
          <w:sz w:val="19"/>
          <w:szCs w:val="19"/>
          <w:color w:val="auto"/>
        </w:rPr>
        <w:t>” means, at any time, that the LTV Level exceeds the Collateral Call LTV Level, in each case, at such time, as determined by Calculation Agent. A Collateral Call Trigger Event shall be considered “cured” and no longer be in effect at the time that Borrowers voluntarily prepay the Advances and/or deliver a sufficient amount of Cash and/or Cash Equivalents to the Collateral Accounts pursuant to Section 2.08(c) to cause the LTV Level (determined based on the Market Price as in effect as of the date of the Collateral Call Trigger Event) to be less than or equal to the Maintenance LTV Level.</w:t>
      </w:r>
    </w:p>
    <w:p>
      <w:pPr>
        <w:spacing w:after="0" w:line="149" w:lineRule="exact"/>
        <w:rPr>
          <w:sz w:val="20"/>
          <w:szCs w:val="20"/>
          <w:color w:val="auto"/>
        </w:rPr>
      </w:pPr>
    </w:p>
    <w:p>
      <w:pPr>
        <w:jc w:val="both"/>
        <w:ind w:right="44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Collateral Requirement</w:t>
      </w:r>
      <w:r>
        <w:rPr>
          <w:rFonts w:ascii="Arial" w:cs="Arial" w:eastAsia="Arial" w:hAnsi="Arial"/>
          <w:sz w:val="22"/>
          <w:szCs w:val="22"/>
          <w:color w:val="auto"/>
        </w:rPr>
        <w:t>” means, at any time, the requirement that all steps required under applicable Law, if any, or reasonably requested by any Applicable Lender or any Custodian to ensure that the Security Agreement creates a valid, first priority, perfected Lien (subject to no other Liens, other than Permitted Liens) in favor of such Applicable Lender on all the Collateral have been taken.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Collateral Shares</w:t>
      </w:r>
      <w:r>
        <w:rPr>
          <w:rFonts w:ascii="Arial" w:cs="Arial" w:eastAsia="Arial" w:hAnsi="Arial"/>
          <w:sz w:val="22"/>
          <w:szCs w:val="22"/>
          <w:color w:val="auto"/>
        </w:rPr>
        <w:t>” means any Shares held in the Collateral Accounts.</w:t>
      </w:r>
    </w:p>
    <w:p>
      <w:pPr>
        <w:spacing w:after="0" w:line="179" w:lineRule="exact"/>
        <w:rPr>
          <w:sz w:val="20"/>
          <w:szCs w:val="20"/>
          <w:color w:val="auto"/>
        </w:rPr>
      </w:pPr>
    </w:p>
    <w:p>
      <w:pPr>
        <w:ind w:right="2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Commitment</w:t>
      </w:r>
      <w:r>
        <w:rPr>
          <w:rFonts w:ascii="Arial" w:cs="Arial" w:eastAsia="Arial" w:hAnsi="Arial"/>
          <w:sz w:val="22"/>
          <w:szCs w:val="22"/>
          <w:color w:val="auto"/>
        </w:rPr>
        <w:t xml:space="preserve">” means, with respect to each Lender, the commitment of such Lender to make the Advances, as set forth in Schedule I hereto, subject to reduction pursuant to Section 2.01(a) and increase in connection with an Incremental Facility Amendment;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Administrative Agent shall update Schedule I following any Advance or prepayment of any Advance as appropriate to reflect such Advance or prepayment.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Communication</w:t>
      </w:r>
      <w:r>
        <w:rPr>
          <w:rFonts w:ascii="Arial" w:cs="Arial" w:eastAsia="Arial" w:hAnsi="Arial"/>
          <w:sz w:val="22"/>
          <w:szCs w:val="22"/>
          <w:color w:val="auto"/>
        </w:rPr>
        <w:t>” has the meaning specified in Section 5.06.</w:t>
      </w:r>
    </w:p>
    <w:p>
      <w:pPr>
        <w:spacing w:after="0" w:line="206"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Conforming Changes</w:t>
      </w:r>
      <w:r>
        <w:rPr>
          <w:rFonts w:ascii="Arial" w:cs="Arial" w:eastAsia="Arial" w:hAnsi="Arial"/>
          <w:sz w:val="19"/>
          <w:szCs w:val="19"/>
          <w:color w:val="auto"/>
        </w:rPr>
        <w:t>”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2.18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necessary in connection with the administration of this Agreement and the other Margin Loan Documentation).</w:t>
      </w:r>
    </w:p>
    <w:p>
      <w:pPr>
        <w:spacing w:after="0" w:line="191" w:lineRule="exact"/>
        <w:rPr>
          <w:sz w:val="20"/>
          <w:szCs w:val="20"/>
          <w:color w:val="auto"/>
        </w:rPr>
      </w:pPr>
    </w:p>
    <w:p>
      <w:pPr>
        <w:ind w:right="28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440" w:right="359" w:bottom="1440" w:gutter="0" w:footer="0" w:header="0"/>
        </w:sectPr>
      </w:pPr>
    </w:p>
    <w:bookmarkStart w:id="68" w:name="page69"/>
    <w:bookmarkEnd w:id="68"/>
    <w:p>
      <w:pPr>
        <w:spacing w:after="0" w:line="200" w:lineRule="exact"/>
        <w:rPr>
          <w:sz w:val="20"/>
          <w:szCs w:val="20"/>
          <w:color w:val="auto"/>
        </w:rPr>
      </w:pPr>
    </w:p>
    <w:p>
      <w:pPr>
        <w:spacing w:after="0" w:line="234" w:lineRule="exact"/>
        <w:rPr>
          <w:sz w:val="20"/>
          <w:szCs w:val="20"/>
          <w:color w:val="auto"/>
        </w:rPr>
      </w:pPr>
    </w:p>
    <w:p>
      <w:pPr>
        <w:ind w:right="8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b w:val="1"/>
          <w:bCs w:val="1"/>
          <w:i w:val="1"/>
          <w:iCs w:val="1"/>
          <w:color w:val="auto"/>
        </w:rPr>
        <w:t>Controlling</w:t>
      </w:r>
      <w:r>
        <w:rPr>
          <w:rFonts w:ascii="Arial" w:cs="Arial" w:eastAsia="Arial" w:hAnsi="Arial"/>
          <w:sz w:val="22"/>
          <w:szCs w:val="22"/>
          <w:color w:val="auto"/>
        </w:rPr>
        <w:t>” and “</w:t>
      </w:r>
      <w:r>
        <w:rPr>
          <w:rFonts w:ascii="Arial" w:cs="Arial" w:eastAsia="Arial" w:hAnsi="Arial"/>
          <w:sz w:val="22"/>
          <w:szCs w:val="22"/>
          <w:b w:val="1"/>
          <w:bCs w:val="1"/>
          <w:i w:val="1"/>
          <w:iCs w:val="1"/>
          <w:color w:val="auto"/>
        </w:rPr>
        <w:t>Controlled</w:t>
      </w:r>
      <w:r>
        <w:rPr>
          <w:rFonts w:ascii="Arial" w:cs="Arial" w:eastAsia="Arial" w:hAnsi="Arial"/>
          <w:sz w:val="22"/>
          <w:szCs w:val="22"/>
          <w:color w:val="auto"/>
        </w:rPr>
        <w:t>” have meanings correlative thereto.</w:t>
      </w:r>
    </w:p>
    <w:p>
      <w:pPr>
        <w:spacing w:after="0" w:line="159"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Control Agreements</w:t>
      </w:r>
      <w:r>
        <w:rPr>
          <w:rFonts w:ascii="Arial" w:cs="Arial" w:eastAsia="Arial" w:hAnsi="Arial"/>
          <w:sz w:val="22"/>
          <w:szCs w:val="22"/>
          <w:color w:val="auto"/>
        </w:rPr>
        <w:t>” means those certain Account Control Agreements, in each case, dated as of the Closing Date (or any later date on which any Person becomes an Applicable Lender), among a Borrower, the Custodian and an Applicable Lender, substantially in the form of Exhibit C.</w:t>
      </w:r>
    </w:p>
    <w:p>
      <w:pPr>
        <w:spacing w:after="0" w:line="159" w:lineRule="exact"/>
        <w:rPr>
          <w:sz w:val="20"/>
          <w:szCs w:val="20"/>
          <w:color w:val="auto"/>
        </w:rPr>
      </w:pPr>
    </w:p>
    <w:p>
      <w:pPr>
        <w:ind w:right="40"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Cure Time</w:t>
      </w:r>
      <w:r>
        <w:rPr>
          <w:rFonts w:ascii="Arial" w:cs="Arial" w:eastAsia="Arial" w:hAnsi="Arial"/>
          <w:sz w:val="22"/>
          <w:szCs w:val="22"/>
          <w:color w:val="auto"/>
        </w:rPr>
        <w:t xml:space="preserve">” means, in respect of any Collateral Call Trigger Event in respect of which Administrative Agent or any Lender has delivered a Collateral Call Notice to Borrowers, 5:00 p.m. on the </w:t>
      </w:r>
      <w:r>
        <w:rPr>
          <w:rFonts w:ascii="Arial" w:cs="Arial" w:eastAsia="Arial" w:hAnsi="Arial"/>
          <w:sz w:val="22"/>
          <w:szCs w:val="22"/>
          <w:b w:val="1"/>
          <w:bCs w:val="1"/>
          <w:color w:val="auto"/>
        </w:rPr>
        <w:t>second</w:t>
      </w:r>
      <w:r>
        <w:rPr>
          <w:rFonts w:ascii="Arial" w:cs="Arial" w:eastAsia="Arial" w:hAnsi="Arial"/>
          <w:sz w:val="22"/>
          <w:szCs w:val="22"/>
          <w:color w:val="auto"/>
        </w:rPr>
        <w:t xml:space="preserve"> succeeding Scheduled Trading Day following the Scheduled Trading Day on which Borrowers have received (in accordance with Section 9.02) the relevant Collateral Call Notice;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any Collateral Call Notice is received on a day that is not a Scheduled Trading Day, or after the Collateral Call Notice Deadline on any Scheduled Trading Day, such Collateral Call Notice shall be deemed to have been received at the open of business on the immediately following Scheduled Trading Day after delivery of such Collateral Call Notice.</w:t>
      </w:r>
    </w:p>
    <w:p>
      <w:pPr>
        <w:spacing w:after="0" w:line="164" w:lineRule="exact"/>
        <w:rPr>
          <w:sz w:val="20"/>
          <w:szCs w:val="20"/>
          <w:color w:val="auto"/>
        </w:rPr>
      </w:pPr>
    </w:p>
    <w:p>
      <w:pPr>
        <w:ind w:right="2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Custodian</w:t>
      </w:r>
      <w:r>
        <w:rPr>
          <w:rFonts w:ascii="Arial" w:cs="Arial" w:eastAsia="Arial" w:hAnsi="Arial"/>
          <w:sz w:val="22"/>
          <w:szCs w:val="22"/>
          <w:color w:val="auto"/>
        </w:rPr>
        <w:t>” means RBC Capital Markets, LLC or any successor appointed by the relevant Borrower that is reasonably acceptable to the Administrative Agent and the relevant Applicable Lender.</w:t>
      </w:r>
    </w:p>
    <w:p>
      <w:pPr>
        <w:spacing w:after="0" w:line="159"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Daily Simple SOFR</w:t>
      </w:r>
      <w:r>
        <w:rPr>
          <w:rFonts w:ascii="Arial" w:cs="Arial" w:eastAsia="Arial" w:hAnsi="Arial"/>
          <w:sz w:val="22"/>
          <w:szCs w:val="22"/>
          <w:color w:val="auto"/>
        </w:rPr>
        <w:t>” means, for any day (a SOFR Rate Day), a rate per annum equal SOFR for the day (such day SOFR Determination Date)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Debt Purchase Transaction</w:t>
      </w:r>
      <w:r>
        <w:rPr>
          <w:rFonts w:ascii="Arial" w:cs="Arial" w:eastAsia="Arial" w:hAnsi="Arial"/>
          <w:sz w:val="22"/>
          <w:szCs w:val="22"/>
          <w:color w:val="auto"/>
        </w:rPr>
        <w:t>” means, in relation to a person, a transaction where such person:</w:t>
      </w:r>
    </w:p>
    <w:p>
      <w:pPr>
        <w:spacing w:after="0" w:line="17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purchases, by way of assignment or transfer, any Commitment or Advance;</w:t>
      </w:r>
    </w:p>
    <w:p>
      <w:pPr>
        <w:spacing w:after="0" w:line="179" w:lineRule="exact"/>
        <w:rPr>
          <w:rFonts w:ascii="Arial" w:cs="Arial" w:eastAsia="Arial" w:hAnsi="Arial"/>
          <w:sz w:val="22"/>
          <w:szCs w:val="22"/>
          <w:color w:val="auto"/>
        </w:rPr>
      </w:pPr>
    </w:p>
    <w:p>
      <w:pPr>
        <w:ind w:left="1140" w:hanging="484"/>
        <w:spacing w:after="0"/>
        <w:tabs>
          <w:tab w:leader="none" w:pos="11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enters into any sub-participation in respect of any Commitment or Advance; or</w:t>
      </w:r>
    </w:p>
    <w:p>
      <w:pPr>
        <w:spacing w:after="0" w:line="179" w:lineRule="exact"/>
        <w:rPr>
          <w:rFonts w:ascii="Arial" w:cs="Arial" w:eastAsia="Arial" w:hAnsi="Arial"/>
          <w:sz w:val="22"/>
          <w:szCs w:val="22"/>
          <w:color w:val="auto"/>
        </w:rPr>
      </w:pPr>
    </w:p>
    <w:p>
      <w:pPr>
        <w:ind w:left="660" w:right="980" w:hanging="4"/>
        <w:spacing w:after="0" w:line="232" w:lineRule="auto"/>
        <w:tabs>
          <w:tab w:leader="none" w:pos="12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enters into any other agreement or arrangement having an economic effect substantially similar to a sub-participation in respect of any Commitment or Advance.</w:t>
      </w:r>
    </w:p>
    <w:p>
      <w:pPr>
        <w:spacing w:after="0" w:line="159"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Debtor Relief Laws</w:t>
      </w:r>
      <w:r>
        <w:rPr>
          <w:rFonts w:ascii="Arial" w:cs="Arial" w:eastAsia="Arial" w:hAnsi="Arial"/>
          <w:sz w:val="19"/>
          <w:szCs w:val="19"/>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32" w:lineRule="exact"/>
        <w:rPr>
          <w:sz w:val="20"/>
          <w:szCs w:val="20"/>
          <w:color w:val="auto"/>
        </w:rPr>
      </w:pPr>
    </w:p>
    <w:p>
      <w:pPr>
        <w:ind w:right="4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Default</w:t>
      </w:r>
      <w:r>
        <w:rPr>
          <w:rFonts w:ascii="Arial" w:cs="Arial" w:eastAsia="Arial" w:hAnsi="Arial"/>
          <w:sz w:val="22"/>
          <w:szCs w:val="22"/>
          <w:color w:val="auto"/>
        </w:rPr>
        <w:t>” means any event or condition that constitutes an Event of Default or that, with the giving of any notice, the passage of time, or both, would be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00"/>
          </w:cols>
          <w:pgMar w:left="320" w:top="1440" w:right="379" w:bottom="1440" w:gutter="0" w:footer="0" w:header="0"/>
        </w:sectPr>
      </w:pPr>
    </w:p>
    <w:bookmarkStart w:id="69" w:name="page70"/>
    <w:bookmarkEnd w:id="69"/>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Delisting</w:t>
      </w:r>
      <w:r>
        <w:rPr>
          <w:rFonts w:ascii="Arial" w:cs="Arial" w:eastAsia="Arial" w:hAnsi="Arial"/>
          <w:sz w:val="22"/>
          <w:szCs w:val="22"/>
          <w:color w:val="auto"/>
        </w:rPr>
        <w:t>” means that any Shares are no longer listed or admitted for trading on any Designated Exchange.</w:t>
      </w:r>
    </w:p>
    <w:p>
      <w:pPr>
        <w:spacing w:after="0" w:line="179" w:lineRule="exact"/>
        <w:rPr>
          <w:sz w:val="20"/>
          <w:szCs w:val="20"/>
          <w:color w:val="auto"/>
        </w:rPr>
      </w:pPr>
    </w:p>
    <w:p>
      <w:pPr>
        <w:ind w:right="5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Designated Exchange</w:t>
      </w:r>
      <w:r>
        <w:rPr>
          <w:rFonts w:ascii="Arial" w:cs="Arial" w:eastAsia="Arial" w:hAnsi="Arial"/>
          <w:sz w:val="22"/>
          <w:szCs w:val="22"/>
          <w:color w:val="auto"/>
        </w:rPr>
        <w:t>” means any of The New York Stock Exchange, The NASDAQ Global Select Market or The NASDAQ Global Market, or, in each case, any successor thereto.</w:t>
      </w:r>
    </w:p>
    <w:p>
      <w:pPr>
        <w:spacing w:after="0" w:line="159" w:lineRule="exact"/>
        <w:rPr>
          <w:sz w:val="20"/>
          <w:szCs w:val="20"/>
          <w:color w:val="auto"/>
        </w:rPr>
      </w:pPr>
    </w:p>
    <w:p>
      <w:pPr>
        <w:ind w:right="80"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Disrupted Day</w:t>
      </w:r>
      <w:r>
        <w:rPr>
          <w:rFonts w:ascii="Arial" w:cs="Arial" w:eastAsia="Arial" w:hAnsi="Arial"/>
          <w:sz w:val="22"/>
          <w:szCs w:val="22"/>
          <w:color w:val="auto"/>
        </w:rPr>
        <w:t xml:space="preserve">” means any Scheduled Trading Day on which, due to any failure of the Exchange to open for trading during its regular trading session or the occurrence or existence of a Market Disruption Event or otherwise, Calculation Agent is unable to determine the Market Price by reference to the closing sale price on the Exchange;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Disrupted Day will result from any failures experienced only by the Calculation Agent and not the Exchange in general and/or market participants generally with respect to the Shares.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Disqualified Person</w:t>
      </w:r>
      <w:r>
        <w:rPr>
          <w:rFonts w:ascii="Arial" w:cs="Arial" w:eastAsia="Arial" w:hAnsi="Arial"/>
          <w:sz w:val="22"/>
          <w:szCs w:val="22"/>
          <w:color w:val="auto"/>
        </w:rPr>
        <w:t>” has the meaning set forth in the definition of “Independent Director”.</w:t>
      </w:r>
    </w:p>
    <w:p>
      <w:pPr>
        <w:spacing w:after="0" w:line="179" w:lineRule="exact"/>
        <w:rPr>
          <w:sz w:val="20"/>
          <w:szCs w:val="20"/>
          <w:color w:val="auto"/>
        </w:rPr>
      </w:pPr>
    </w:p>
    <w:p>
      <w:pPr>
        <w:ind w:right="4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DNB ADTV</w:t>
      </w:r>
      <w:r>
        <w:rPr>
          <w:rFonts w:ascii="Arial" w:cs="Arial" w:eastAsia="Arial" w:hAnsi="Arial"/>
          <w:sz w:val="22"/>
          <w:szCs w:val="22"/>
          <w:color w:val="auto"/>
        </w:rPr>
        <w:t>” means, on any date of determination, the arithmetic average of the DNB Daily Trading Volume for each of the ninety (90) consecutive Scheduled Trading Days immediately preceding such date of determination, as determined by Calculation Agent.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DNB ADTV Reference Level</w:t>
      </w:r>
      <w:r>
        <w:rPr>
          <w:rFonts w:ascii="Arial" w:cs="Arial" w:eastAsia="Arial" w:hAnsi="Arial"/>
          <w:sz w:val="22"/>
          <w:szCs w:val="22"/>
          <w:color w:val="auto"/>
        </w:rPr>
        <w:t>” has the meaning specified in the Fee and Ratio Letter.</w:t>
      </w:r>
    </w:p>
    <w:p>
      <w:pPr>
        <w:spacing w:after="0" w:line="179"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DNB Aggregate Value</w:t>
      </w:r>
      <w:r>
        <w:rPr>
          <w:rFonts w:ascii="Arial" w:cs="Arial" w:eastAsia="Arial" w:hAnsi="Arial"/>
          <w:sz w:val="19"/>
          <w:szCs w:val="19"/>
          <w:color w:val="auto"/>
        </w:rPr>
        <w:t xml:space="preserve">” means, at any time, the sum of (i) the Share Collateral Value with respect to the DNB Shares and (ii) the market value (as reasonably determined by the Calculation Agent) of all securities or securities entitlements received in connection with Collateral Shares that are DNB Shares as described in Section 2.08(e) that constitute Acceptable Collateral, subject to a valuation percentage (which may, for the avoidance of doubt, be any percentage from, and including, 0% to, and including, 100%) determined by Calculation Agent in its sole discretion (it being understood that, in making such determination, Calculation Agent may take into account, among other factors, volatility, correlation, liquidity and free float of the Shares or any other relevant securities, the credit profile of Issuer or the issuer of such other securities and Transfer Restrictions, in each case, relative to the Shares or, if applicable, any other securities prior to giving effect to the relevant event);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solely for purposes of calculating the LTV Level, in no event shall DNB Aggregate Value be greater than the amount equal to the product of (x) CDAY Aggregate Value and (y) 1.5.</w:t>
      </w:r>
    </w:p>
    <w:p>
      <w:pPr>
        <w:spacing w:after="0" w:line="155" w:lineRule="exact"/>
        <w:rPr>
          <w:sz w:val="20"/>
          <w:szCs w:val="20"/>
          <w:color w:val="auto"/>
        </w:rPr>
      </w:pPr>
    </w:p>
    <w:p>
      <w:pPr>
        <w:ind w:right="260" w:firstLine="648"/>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DNB Daily Trading Volume</w:t>
      </w:r>
      <w:r>
        <w:rPr>
          <w:rFonts w:ascii="Arial" w:cs="Arial" w:eastAsia="Arial" w:hAnsi="Arial"/>
          <w:sz w:val="19"/>
          <w:szCs w:val="19"/>
          <w:color w:val="auto"/>
        </w:rPr>
        <w:t xml:space="preserve">” means, for any Scheduled Trading Day, an amount equal to the product of (x) the traded volume of the DNB Shares on the Exchange for such Scheduled Trading Day (excluding any traded volume attributable to (i) block trades, (ii) any trades executed pre-open or after-hours or (iii) trading outside of the regular trading session for such Exchange) and (y) the Market Price of DNB Shares for such Scheduled Trading Day, as determined by Calculation Agent;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DNB Daily Trading Volume on any Disrupted Day shall be deemed to be zero.</w:t>
      </w:r>
    </w:p>
    <w:p>
      <w:pPr>
        <w:spacing w:after="0" w:line="176" w:lineRule="exact"/>
        <w:rPr>
          <w:sz w:val="20"/>
          <w:szCs w:val="20"/>
          <w:color w:val="auto"/>
        </w:rPr>
      </w:pPr>
    </w:p>
    <w:p>
      <w:pPr>
        <w:ind w:right="120"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DNB Existing Transfer Restrictions</w:t>
      </w:r>
      <w:r>
        <w:rPr>
          <w:rFonts w:ascii="Arial" w:cs="Arial" w:eastAsia="Arial" w:hAnsi="Arial"/>
          <w:sz w:val="22"/>
          <w:szCs w:val="22"/>
          <w:color w:val="auto"/>
        </w:rPr>
        <w:t>” means (I) solely with respect to DNB Shares (including, for the avoidance of doubt, Collateral Shares) in the hands of Borrower 2 and not with respect to any DNB Shares in the hands of any Applicable Lender exercising its remedies under the Margin Loan Documentation, the Transfer Restrictions on such DNB Shares expressly set forth in the DNB Lock-Up Agreement and (II) legal restrictions on the DNB Shares under the federal securities laws of the United States arising solely as a result of (x) being deemed “restricted securities” (within the meaning of Rule 144(a)(3)(i) under the Securities Act)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00" w:lineRule="exact"/>
        <w:rPr>
          <w:sz w:val="20"/>
          <w:szCs w:val="20"/>
          <w:color w:val="auto"/>
        </w:rPr>
      </w:pPr>
    </w:p>
    <w:p>
      <w:pPr>
        <w:spacing w:after="0" w:line="234" w:lineRule="exact"/>
        <w:rPr>
          <w:sz w:val="20"/>
          <w:szCs w:val="20"/>
          <w:color w:val="auto"/>
        </w:rPr>
      </w:pPr>
    </w:p>
    <w:p>
      <w:pPr>
        <w:spacing w:after="0" w:line="221" w:lineRule="auto"/>
        <w:rPr>
          <w:sz w:val="20"/>
          <w:szCs w:val="20"/>
          <w:color w:val="auto"/>
        </w:rPr>
      </w:pPr>
      <w:r>
        <w:rPr>
          <w:rFonts w:ascii="Arial" w:cs="Arial" w:eastAsia="Arial" w:hAnsi="Arial"/>
          <w:sz w:val="21"/>
          <w:szCs w:val="21"/>
          <w:color w:val="auto"/>
        </w:rPr>
        <w:t>such DNB Shares being issued in a transaction exempt from the registration requirements of the Securities Act pursuant to Section 4(a)(2) thereof, with a “holding period” (within the meaning of Rule 144(d) under the Securities Act) in the hands of Borrower 2 and in the hands of any Applicable Lender exercising its remedies under the Margin Loan Documentation that commenced on or before July 31, 2019 or, solely with respect to DNB Shares which are Collateral Shares in the hands of an Applicable Lender and solely (A) at any time during which the Guarantee Agreement will not be enforced pursuant to the proviso to Section 1.08 of the Guarantee Agreement or (B) after the Guarantee Termination Date, the Closing Date or (y) Borrower 2’s status as an “affiliate” (within the meaning of Rule 144) of the DNB Issuer (it being understood that this clause (y) does not constitute a representation as to such status).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DNB Issuer</w:t>
      </w:r>
      <w:r>
        <w:rPr>
          <w:rFonts w:ascii="Arial" w:cs="Arial" w:eastAsia="Arial" w:hAnsi="Arial"/>
          <w:sz w:val="22"/>
          <w:szCs w:val="22"/>
          <w:color w:val="auto"/>
        </w:rPr>
        <w:t>” means Dun &amp; Bradstreet Holdings, Inc., a Delaware corporation.</w:t>
      </w:r>
    </w:p>
    <w:p>
      <w:pPr>
        <w:spacing w:after="0" w:line="179" w:lineRule="exact"/>
        <w:rPr>
          <w:sz w:val="20"/>
          <w:szCs w:val="20"/>
          <w:color w:val="auto"/>
        </w:rPr>
      </w:pPr>
    </w:p>
    <w:p>
      <w:pPr>
        <w:ind w:right="68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DNB Lock-Up Agreement</w:t>
      </w:r>
      <w:r>
        <w:rPr>
          <w:rFonts w:ascii="Arial" w:cs="Arial" w:eastAsia="Arial" w:hAnsi="Arial"/>
          <w:sz w:val="21"/>
          <w:szCs w:val="21"/>
          <w:color w:val="auto"/>
        </w:rPr>
        <w:t>” means that certain letter agreement, dated June 30, 2020, from DNB Holdco, LLC to Goldman Sachs &amp; Co. LLC, BofA Securities, Inc., J.P. Morgan Securities LLC and Barclays Capital Inc.</w:t>
      </w:r>
    </w:p>
    <w:p>
      <w:pPr>
        <w:spacing w:after="0" w:line="151" w:lineRule="exact"/>
        <w:rPr>
          <w:sz w:val="20"/>
          <w:szCs w:val="20"/>
          <w:color w:val="auto"/>
        </w:rPr>
      </w:pPr>
    </w:p>
    <w:p>
      <w:pPr>
        <w:ind w:right="10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DNB Registration Rights Agreement</w:t>
      </w:r>
      <w:r>
        <w:rPr>
          <w:rFonts w:ascii="Arial" w:cs="Arial" w:eastAsia="Arial" w:hAnsi="Arial"/>
          <w:sz w:val="21"/>
          <w:szCs w:val="21"/>
          <w:color w:val="auto"/>
        </w:rPr>
        <w:t>” means the Registration Rights Agreement entered into as of July 6, 2020, by and among the DNB Issuer, Star Parent, L.P. and each of the persons listed on the signature pages thereto.</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DNB Shares</w:t>
      </w:r>
      <w:r>
        <w:rPr>
          <w:rFonts w:ascii="Arial" w:cs="Arial" w:eastAsia="Arial" w:hAnsi="Arial"/>
          <w:sz w:val="22"/>
          <w:szCs w:val="22"/>
          <w:color w:val="auto"/>
        </w:rPr>
        <w:t>” means the shares of common stock, par value $0.0001 per share, of DNB Issuer.</w:t>
      </w:r>
    </w:p>
    <w:p>
      <w:pPr>
        <w:spacing w:after="0" w:line="179" w:lineRule="exact"/>
        <w:rPr>
          <w:sz w:val="20"/>
          <w:szCs w:val="20"/>
          <w:color w:val="auto"/>
        </w:rPr>
      </w:pPr>
    </w:p>
    <w:p>
      <w:pPr>
        <w:ind w:right="2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DNB Stock Purchase Agreement</w:t>
      </w:r>
      <w:r>
        <w:rPr>
          <w:rFonts w:ascii="Arial" w:cs="Arial" w:eastAsia="Arial" w:hAnsi="Arial"/>
          <w:sz w:val="22"/>
          <w:szCs w:val="22"/>
          <w:color w:val="auto"/>
        </w:rPr>
        <w:t>” means that certain Common Stock Purchase Agreement entered into between DNB Issuer and DNB Holdco, LLC as of June 23, 2020.</w:t>
      </w:r>
    </w:p>
    <w:p>
      <w:pPr>
        <w:spacing w:after="0" w:line="159" w:lineRule="exact"/>
        <w:rPr>
          <w:sz w:val="20"/>
          <w:szCs w:val="20"/>
          <w:color w:val="auto"/>
        </w:rPr>
      </w:pPr>
    </w:p>
    <w:p>
      <w:pPr>
        <w:ind w:right="2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DNB THL Entities</w:t>
      </w:r>
      <w:r>
        <w:rPr>
          <w:rFonts w:ascii="Arial" w:cs="Arial" w:eastAsia="Arial" w:hAnsi="Arial"/>
          <w:sz w:val="22"/>
          <w:szCs w:val="22"/>
          <w:color w:val="auto"/>
        </w:rPr>
        <w:t>” means, collectively, Thomas H. Lee Equity Fund VIII, L.P., a Delaware limited partnership, Thomas H. Lee Parallel Fund VIII, L.P., a Delaware limited partnership, THL Fund VIII Coinvestment Partners, L.P., a Delaware limited partnership, THL Executive Fund VIII, L.P., a Delaware limited partnership, THL Equity Fund VIII Investors (D&amp;B), L.P., a Delaware limited partnership, and any Affiliate thereof.</w:t>
      </w:r>
    </w:p>
    <w:p>
      <w:pPr>
        <w:spacing w:after="0" w:line="161" w:lineRule="exact"/>
        <w:rPr>
          <w:sz w:val="20"/>
          <w:szCs w:val="20"/>
          <w:color w:val="auto"/>
        </w:rPr>
      </w:pPr>
    </w:p>
    <w:p>
      <w:pPr>
        <w:ind w:right="2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DNB Voting Agreement</w:t>
      </w:r>
      <w:r>
        <w:rPr>
          <w:rFonts w:ascii="Arial" w:cs="Arial" w:eastAsia="Arial" w:hAnsi="Arial"/>
          <w:sz w:val="22"/>
          <w:szCs w:val="22"/>
          <w:color w:val="auto"/>
        </w:rPr>
        <w:t>” means that certain letter agreement, dated as of June 30, 2020, entered into by and among Thomas H. Lee Equity Fund VIII, L.P., Thomas H. Lee Parallel Fund VIII, L.P., THL Fund VIII Coinvestment Partners, L.P., THL Executive Fund VIII, L.P., THL Equity Fund VIII Investors (D&amp;B), L.P., D&amp;B Holdco, LLC, CC Star Holdings, LP, Bilcar, LLC and Black Knight InfoServ, LLC.</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Dollars</w:t>
      </w:r>
      <w:r>
        <w:rPr>
          <w:rFonts w:ascii="Arial" w:cs="Arial" w:eastAsia="Arial" w:hAnsi="Arial"/>
          <w:sz w:val="22"/>
          <w:szCs w:val="22"/>
          <w:color w:val="auto"/>
        </w:rPr>
        <w:t>” and “</w:t>
      </w:r>
      <w:r>
        <w:rPr>
          <w:rFonts w:ascii="Arial" w:cs="Arial" w:eastAsia="Arial" w:hAnsi="Arial"/>
          <w:sz w:val="22"/>
          <w:szCs w:val="22"/>
          <w:b w:val="1"/>
          <w:bCs w:val="1"/>
          <w:i w:val="1"/>
          <w:iCs w:val="1"/>
          <w:color w:val="auto"/>
        </w:rPr>
        <w:t>$</w:t>
      </w:r>
      <w:r>
        <w:rPr>
          <w:rFonts w:ascii="Arial" w:cs="Arial" w:eastAsia="Arial" w:hAnsi="Arial"/>
          <w:sz w:val="22"/>
          <w:szCs w:val="22"/>
          <w:color w:val="auto"/>
        </w:rPr>
        <w:t>” mean the lawful money of the United States.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DTC</w:t>
      </w:r>
      <w:r>
        <w:rPr>
          <w:rFonts w:ascii="Arial" w:cs="Arial" w:eastAsia="Arial" w:hAnsi="Arial"/>
          <w:sz w:val="22"/>
          <w:szCs w:val="22"/>
          <w:color w:val="auto"/>
        </w:rPr>
        <w:t>” means The Depository Trust Company, a New York corporation, or its successor.</w:t>
      </w:r>
    </w:p>
    <w:p>
      <w:pPr>
        <w:spacing w:after="0" w:line="179"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Early Closure</w:t>
      </w:r>
      <w:r>
        <w:rPr>
          <w:rFonts w:ascii="Arial" w:cs="Arial" w:eastAsia="Arial" w:hAnsi="Arial"/>
          <w:sz w:val="22"/>
          <w:szCs w:val="22"/>
          <w:color w:val="auto"/>
        </w:rPr>
        <w:t>” means the closure on any Exchange Business Day of the Exchange prior to its scheduled closing time for such day unless such earlier closing time is announced by the Exchange at least one hour prior to the actual closing time for the regular trading session on the Exchange on such Exchange Business Day.</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Employee Benefit Plan</w:t>
      </w:r>
      <w:r>
        <w:rPr>
          <w:rFonts w:ascii="Arial" w:cs="Arial" w:eastAsia="Arial" w:hAnsi="Arial"/>
          <w:sz w:val="22"/>
          <w:szCs w:val="22"/>
          <w:color w:val="auto"/>
        </w:rPr>
        <w:t>” means any “employee benefit plan” as defined in Section 3(3)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440" w:right="359" w:bottom="1440" w:gutter="0" w:footer="0" w:header="0"/>
        </w:sectPr>
      </w:pPr>
    </w:p>
    <w:bookmarkStart w:id="71" w:name="page72"/>
    <w:bookmarkEnd w:id="71"/>
    <w:p>
      <w:pPr>
        <w:spacing w:after="0" w:line="200" w:lineRule="exact"/>
        <w:rPr>
          <w:sz w:val="20"/>
          <w:szCs w:val="20"/>
          <w:color w:val="auto"/>
        </w:rPr>
      </w:pPr>
    </w:p>
    <w:p>
      <w:pPr>
        <w:spacing w:after="0" w:line="234" w:lineRule="exact"/>
        <w:rPr>
          <w:sz w:val="20"/>
          <w:szCs w:val="20"/>
          <w:color w:val="auto"/>
        </w:rPr>
      </w:pPr>
    </w:p>
    <w:p>
      <w:pPr>
        <w:ind w:right="20" w:firstLine="216"/>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Equity Interests</w:t>
      </w:r>
      <w:r>
        <w:rPr>
          <w:rFonts w:ascii="Arial" w:cs="Arial" w:eastAsia="Arial" w:hAnsi="Arial"/>
          <w:sz w:val="22"/>
          <w:szCs w:val="22"/>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whether economic or non-economic, and whether or not such shares, warrants, options, rights or other interests are outstanding on any date of determination.</w:t>
      </w:r>
    </w:p>
    <w:p>
      <w:pPr>
        <w:spacing w:after="0" w:line="165" w:lineRule="exact"/>
        <w:rPr>
          <w:sz w:val="20"/>
          <w:szCs w:val="20"/>
          <w:color w:val="auto"/>
        </w:rPr>
      </w:pPr>
    </w:p>
    <w:p>
      <w:pPr>
        <w:ind w:right="8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w:t>
      </w:r>
      <w:r>
        <w:rPr>
          <w:rFonts w:ascii="Arial" w:cs="Arial" w:eastAsia="Arial" w:hAnsi="Arial"/>
          <w:sz w:val="22"/>
          <w:szCs w:val="22"/>
          <w:color w:val="auto"/>
        </w:rPr>
        <w:t>” means the Employee Retirement Income Security Act of 1974, as amended from time to time, and any successor thereto.</w:t>
      </w:r>
    </w:p>
    <w:p>
      <w:pPr>
        <w:spacing w:after="0" w:line="159" w:lineRule="exact"/>
        <w:rPr>
          <w:sz w:val="20"/>
          <w:szCs w:val="20"/>
          <w:color w:val="auto"/>
        </w:rPr>
      </w:pPr>
    </w:p>
    <w:p>
      <w:pPr>
        <w:ind w:firstLine="648"/>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ERISA Affiliate</w:t>
      </w:r>
      <w:r>
        <w:rPr>
          <w:rFonts w:ascii="Arial" w:cs="Arial" w:eastAsia="Arial" w:hAnsi="Arial"/>
          <w:sz w:val="19"/>
          <w:szCs w:val="19"/>
          <w:color w:val="auto"/>
        </w:rPr>
        <w:t>” means any trade or business (whether or not incorporated) that, together with a Borrower, is treated as a single employer under Section 414(b) or (c) of the Code, or solely for purposes of Section 302 of ERISA and Section 412 of the Code, is treated as a single employer under Section 414 of the Code. For the avoidance of doubt, when any provision of this Agreement relates to a past event or period of time, the term “ERISA Affiliate” includes any person who was, as to the time of such past event or period of time, an “ERISA Affiliate” within the meaning of the preceding sentence.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 Plan</w:t>
      </w:r>
      <w:r>
        <w:rPr>
          <w:rFonts w:ascii="Arial" w:cs="Arial" w:eastAsia="Arial" w:hAnsi="Arial"/>
          <w:sz w:val="22"/>
          <w:szCs w:val="22"/>
          <w:color w:val="auto"/>
        </w:rPr>
        <w:t>” has the meaning specified in Section 3.20.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Erroneous Payment</w:t>
      </w:r>
      <w:r>
        <w:rPr>
          <w:rFonts w:ascii="Arial" w:cs="Arial" w:eastAsia="Arial" w:hAnsi="Arial"/>
          <w:sz w:val="22"/>
          <w:szCs w:val="22"/>
          <w:color w:val="auto"/>
        </w:rPr>
        <w:t>” has the meaning assigned to it in Section 2.19(a).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Erroneous Payment Deficiency Assignment</w:t>
      </w:r>
      <w:r>
        <w:rPr>
          <w:rFonts w:ascii="Arial" w:cs="Arial" w:eastAsia="Arial" w:hAnsi="Arial"/>
          <w:sz w:val="22"/>
          <w:szCs w:val="22"/>
          <w:color w:val="auto"/>
        </w:rPr>
        <w:t>” has the meaning assigned to it in Section 2.19(d).</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Erroneous Payment Impacted Class</w:t>
      </w:r>
      <w:r>
        <w:rPr>
          <w:rFonts w:ascii="Arial" w:cs="Arial" w:eastAsia="Arial" w:hAnsi="Arial"/>
          <w:sz w:val="22"/>
          <w:szCs w:val="22"/>
          <w:color w:val="auto"/>
        </w:rPr>
        <w:t>” has the meaning assigned to it in Section 2.19(d).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Erroneous Payment Return Deficiency</w:t>
      </w:r>
      <w:r>
        <w:rPr>
          <w:rFonts w:ascii="Arial" w:cs="Arial" w:eastAsia="Arial" w:hAnsi="Arial"/>
          <w:sz w:val="22"/>
          <w:szCs w:val="22"/>
          <w:color w:val="auto"/>
        </w:rPr>
        <w:t>” has the meaning assigned to it in Section 2.19(d).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Erroneous Payment Subrogation Rights</w:t>
      </w:r>
      <w:r>
        <w:rPr>
          <w:rFonts w:ascii="Arial" w:cs="Arial" w:eastAsia="Arial" w:hAnsi="Arial"/>
          <w:sz w:val="22"/>
          <w:szCs w:val="22"/>
          <w:color w:val="auto"/>
        </w:rPr>
        <w:t>” has the meaning assigned to it in Section 2.19(d).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Event of Default Notice</w:t>
      </w:r>
      <w:r>
        <w:rPr>
          <w:rFonts w:ascii="Arial" w:cs="Arial" w:eastAsia="Arial" w:hAnsi="Arial"/>
          <w:sz w:val="22"/>
          <w:szCs w:val="22"/>
          <w:color w:val="auto"/>
        </w:rPr>
        <w:t>” has the meaning specified in Section 7.01.</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Events of Default</w:t>
      </w:r>
      <w:r>
        <w:rPr>
          <w:rFonts w:ascii="Arial" w:cs="Arial" w:eastAsia="Arial" w:hAnsi="Arial"/>
          <w:sz w:val="22"/>
          <w:szCs w:val="22"/>
          <w:color w:val="auto"/>
        </w:rPr>
        <w:t>” has the meaning specified in Section 7.01.</w:t>
      </w:r>
    </w:p>
    <w:p>
      <w:pPr>
        <w:spacing w:after="0" w:line="179" w:lineRule="exact"/>
        <w:rPr>
          <w:sz w:val="20"/>
          <w:szCs w:val="20"/>
          <w:color w:val="auto"/>
        </w:rPr>
      </w:pPr>
    </w:p>
    <w:p>
      <w:pPr>
        <w:jc w:val="both"/>
        <w:ind w:right="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w:t>
      </w:r>
      <w:r>
        <w:rPr>
          <w:rFonts w:ascii="Arial" w:cs="Arial" w:eastAsia="Arial" w:hAnsi="Arial"/>
          <w:sz w:val="22"/>
          <w:szCs w:val="22"/>
          <w:color w:val="auto"/>
        </w:rPr>
        <w:t>” means, with respect to the Shares of each Share Type, The New York Stock Exchange or its successor, or if the Shares of such Share Type are not listed for trading on such exchange, the Designated Exchange which is the primary trading market for such Shares.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w:t>
      </w:r>
    </w:p>
    <w:p>
      <w:pPr>
        <w:spacing w:after="0" w:line="179" w:lineRule="exact"/>
        <w:rPr>
          <w:sz w:val="20"/>
          <w:szCs w:val="20"/>
          <w:color w:val="auto"/>
        </w:rPr>
      </w:pPr>
    </w:p>
    <w:p>
      <w:pPr>
        <w:ind w:right="2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Business Day</w:t>
      </w:r>
      <w:r>
        <w:rPr>
          <w:rFonts w:ascii="Arial" w:cs="Arial" w:eastAsia="Arial" w:hAnsi="Arial"/>
          <w:sz w:val="22"/>
          <w:szCs w:val="22"/>
          <w:color w:val="auto"/>
        </w:rPr>
        <w:t>” means any day on which the Exchange is open for trading during its regular trading session, notwithstanding the Exchange closing prior to its scheduled closing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40" w:right="359" w:bottom="1440" w:gutter="0" w:footer="0" w:header="0"/>
        </w:sectPr>
      </w:pPr>
    </w:p>
    <w:bookmarkStart w:id="72" w:name="page73"/>
    <w:bookmarkEnd w:id="72"/>
    <w:p>
      <w:pPr>
        <w:spacing w:after="0" w:line="200" w:lineRule="exact"/>
        <w:rPr>
          <w:sz w:val="20"/>
          <w:szCs w:val="20"/>
          <w:color w:val="auto"/>
        </w:rPr>
      </w:pPr>
    </w:p>
    <w:p>
      <w:pPr>
        <w:spacing w:after="0" w:line="234" w:lineRule="exact"/>
        <w:rPr>
          <w:sz w:val="20"/>
          <w:szCs w:val="20"/>
          <w:color w:val="auto"/>
        </w:rPr>
      </w:pPr>
    </w:p>
    <w:p>
      <w:pPr>
        <w:ind w:right="1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Disruption</w:t>
      </w:r>
      <w:r>
        <w:rPr>
          <w:rFonts w:ascii="Arial" w:cs="Arial" w:eastAsia="Arial" w:hAnsi="Arial"/>
          <w:sz w:val="22"/>
          <w:szCs w:val="22"/>
          <w:color w:val="auto"/>
        </w:rPr>
        <w:t>” means any event that disrupts or impairs the ability of market participants in general to effect transactions in, or obtain market values for, the Shares of any Share Type on the applicable Exchange on any Scheduled Trading Day as determined by Calculation Agent.</w:t>
      </w:r>
    </w:p>
    <w:p>
      <w:pPr>
        <w:spacing w:after="0" w:line="159" w:lineRule="exact"/>
        <w:rPr>
          <w:sz w:val="20"/>
          <w:szCs w:val="20"/>
          <w:color w:val="auto"/>
        </w:rPr>
      </w:pPr>
    </w:p>
    <w:p>
      <w:pPr>
        <w:ind w:right="60"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Excluded Taxes</w:t>
      </w:r>
      <w:r>
        <w:rPr>
          <w:rFonts w:ascii="Arial" w:cs="Arial" w:eastAsia="Arial" w:hAnsi="Arial"/>
          <w:sz w:val="19"/>
          <w:szCs w:val="19"/>
          <w:color w:val="auto"/>
        </w:rPr>
        <w:t>” means any of the following Taxes imposed on or with respect to any Lender or required to be withheld or deducted from a payment to any Lender: (a) Taxes imposed on or measured by net income (however denominated), franchise Taxes, and branch profits Taxes, in each case, (i) imposed as a result of such Lender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such Lender with respect to an applicable interest in an Advance or Commitment pursuant to a law in effect on the date on which (i) such Lender acquires such interest in the Advance or Commitment or (ii) such Lender changes its lending office, except in each case to the extent that, pursuant to Section 2.10, amounts with respect to such Taxes were payable either to Lender’s assignor immediately before such Lender acquired the applicable interest in an Advance or Commitment or to Lender immediately before it changed its lending office, (c) Taxes attributable to such Lender’s failure to comply with Section 2.10(e) and (d) any U.S. Federal withholding Taxes imposed under FATCA.</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Extended Cure Sale</w:t>
      </w:r>
      <w:r>
        <w:rPr>
          <w:rFonts w:ascii="Arial" w:cs="Arial" w:eastAsia="Arial" w:hAnsi="Arial"/>
          <w:sz w:val="22"/>
          <w:szCs w:val="22"/>
          <w:color w:val="auto"/>
        </w:rPr>
        <w:t>” has the meaning specified in Section 2.08(c)(ii).</w:t>
      </w:r>
    </w:p>
    <w:p>
      <w:pPr>
        <w:spacing w:after="0" w:line="206"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Extended Cure Time</w:t>
      </w:r>
      <w:r>
        <w:rPr>
          <w:rFonts w:ascii="Arial" w:cs="Arial" w:eastAsia="Arial" w:hAnsi="Arial"/>
          <w:sz w:val="22"/>
          <w:szCs w:val="22"/>
          <w:color w:val="auto"/>
        </w:rPr>
        <w:t>” means, in respect of any Collateral Call Trigger Event in respect of which Administrative Agent or any Lender has delivered a Collateral Call Notice to Borrowers, 5:00 p.m. on the fifth (5th) succeeding Scheduled Trading Day after the date of the Cure Time.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Facility</w:t>
      </w:r>
      <w:r>
        <w:rPr>
          <w:rFonts w:ascii="Arial" w:cs="Arial" w:eastAsia="Arial" w:hAnsi="Arial"/>
          <w:sz w:val="22"/>
          <w:szCs w:val="22"/>
          <w:color w:val="auto"/>
        </w:rPr>
        <w:t>” means the credit facility contemplated by this Agreement.</w:t>
      </w:r>
    </w:p>
    <w:p>
      <w:pPr>
        <w:spacing w:after="0" w:line="179" w:lineRule="exact"/>
        <w:rPr>
          <w:sz w:val="20"/>
          <w:szCs w:val="20"/>
          <w:color w:val="auto"/>
        </w:rPr>
      </w:pPr>
    </w:p>
    <w:p>
      <w:pPr>
        <w:ind w:right="1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Facility LTV</w:t>
      </w:r>
      <w:r>
        <w:rPr>
          <w:rFonts w:ascii="Arial" w:cs="Arial" w:eastAsia="Arial" w:hAnsi="Arial"/>
          <w:sz w:val="22"/>
          <w:szCs w:val="22"/>
          <w:color w:val="auto"/>
        </w:rPr>
        <w:t>” means, at any time, the LTV Level calculated immediately after giving effect to the most recent Advance or prepayment.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Facility Adjustment Event</w:t>
      </w:r>
      <w:r>
        <w:rPr>
          <w:rFonts w:ascii="Arial" w:cs="Arial" w:eastAsia="Arial" w:hAnsi="Arial"/>
          <w:sz w:val="22"/>
          <w:szCs w:val="22"/>
          <w:color w:val="auto"/>
        </w:rPr>
        <w:t>” means any of the following:</w:t>
      </w:r>
    </w:p>
    <w:p>
      <w:pPr>
        <w:spacing w:after="0" w:line="179" w:lineRule="exact"/>
        <w:rPr>
          <w:sz w:val="20"/>
          <w:szCs w:val="20"/>
          <w:color w:val="auto"/>
        </w:rPr>
      </w:pPr>
    </w:p>
    <w:p>
      <w:pPr>
        <w:ind w:left="660" w:right="160" w:firstLine="644"/>
        <w:spacing w:after="0" w:line="242" w:lineRule="auto"/>
        <w:tabs>
          <w:tab w:leader="none" w:pos="1728" w:val="left"/>
        </w:tabs>
        <w:numPr>
          <w:ilvl w:val="1"/>
          <w:numId w:val="32"/>
        </w:numPr>
        <w:rPr>
          <w:rFonts w:ascii="Arial" w:cs="Arial" w:eastAsia="Arial" w:hAnsi="Arial"/>
          <w:sz w:val="19"/>
          <w:szCs w:val="19"/>
          <w:color w:val="auto"/>
        </w:rPr>
      </w:pPr>
      <w:r>
        <w:rPr>
          <w:rFonts w:ascii="Arial" w:cs="Arial" w:eastAsia="Arial" w:hAnsi="Arial"/>
          <w:sz w:val="19"/>
          <w:szCs w:val="19"/>
          <w:color w:val="auto"/>
        </w:rPr>
        <w:t>(a) any subdivision, consolidation or reclassification of Shares of any Share Type or any free distribution or dividend of Shares in respect of Shares, by way of bonus, capitalization or similar issue, (b) any dividend or distribution of cash, securities, rights, warrants, assets or property by an Issuer to all or substantially all holders of Shares of such Issuer (whether as a result of a spin-off or other similar transaction or otherwise), other than an Ordinary Cash Dividend;</w:t>
      </w:r>
    </w:p>
    <w:p>
      <w:pPr>
        <w:ind w:left="660" w:right="180" w:hanging="4"/>
        <w:spacing w:after="0" w:line="243" w:lineRule="auto"/>
        <w:tabs>
          <w:tab w:leader="none" w:pos="954"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repurchase by an Issuer or any Subsidiary thereof of Shares of such Issuer, whether the consideration is cash, securities or otherwise, (d) an event that results in any shareholder rights being distributed in respect of, or becoming separated from, Shares pursuant to a shareholder rights plan or similar transaction or arrangement, (e) a call by an Issuer in respect of Shares of such Issuer that are not fully paid or (f) any other event with a dilutive or concentrative effect on the theoretical value of the Shares as determined by Calculation Agent taking into account as it deems applicable, the particular security, any distributions (or lack of, or change to, any distributions) thereon, the resale market for such security, any Transfer Restrictions relating to such security (whether in the hands of any Borrower or in the hands of any Applicable Lender exercising its rights and remedies under the Margin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00" w:lineRule="exact"/>
        <w:rPr>
          <w:sz w:val="20"/>
          <w:szCs w:val="20"/>
          <w:color w:val="auto"/>
        </w:rPr>
      </w:pPr>
    </w:p>
    <w:p>
      <w:pPr>
        <w:spacing w:after="0" w:line="234" w:lineRule="exact"/>
        <w:rPr>
          <w:sz w:val="20"/>
          <w:szCs w:val="20"/>
          <w:color w:val="auto"/>
        </w:rPr>
      </w:pPr>
    </w:p>
    <w:p>
      <w:pPr>
        <w:ind w:left="660" w:right="60"/>
        <w:spacing w:after="0" w:line="252" w:lineRule="auto"/>
        <w:rPr>
          <w:sz w:val="20"/>
          <w:szCs w:val="20"/>
          <w:color w:val="auto"/>
        </w:rPr>
      </w:pPr>
      <w:r>
        <w:rPr>
          <w:rFonts w:ascii="Arial" w:cs="Arial" w:eastAsia="Arial" w:hAnsi="Arial"/>
          <w:sz w:val="19"/>
          <w:szCs w:val="19"/>
          <w:color w:val="auto"/>
        </w:rPr>
        <w:t xml:space="preserve">Documentation), any limitations on the type or status, financial or otherwise, of any purchaser, pledgee, assignee or transferee of such securities and such other factors as Calculation Agent deems relevant;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any Ordinary Cash Dividend paid by an Issuer entirely in Cash, or (ii) any broadly distributed primary or secondary offering of any Shares for cash so long as the size of such offering does not exceed 20% of the market capitalization of the Issuer of such Shares at the time such offering is priced shall not constitute a Facility Adjustment Event; or</w:t>
      </w:r>
    </w:p>
    <w:p>
      <w:pPr>
        <w:spacing w:after="0" w:line="149" w:lineRule="exact"/>
        <w:rPr>
          <w:sz w:val="20"/>
          <w:szCs w:val="20"/>
          <w:color w:val="auto"/>
        </w:rPr>
      </w:pPr>
    </w:p>
    <w:p>
      <w:pPr>
        <w:ind w:left="660" w:right="40" w:firstLine="644"/>
        <w:spacing w:after="0" w:line="218" w:lineRule="auto"/>
        <w:tabs>
          <w:tab w:leader="none" w:pos="1788" w:val="left"/>
        </w:tabs>
        <w:numPr>
          <w:ilvl w:val="0"/>
          <w:numId w:val="34"/>
        </w:numPr>
        <w:rPr>
          <w:rFonts w:ascii="Arial" w:cs="Arial" w:eastAsia="Arial" w:hAnsi="Arial"/>
          <w:sz w:val="22"/>
          <w:szCs w:val="22"/>
          <w:color w:val="auto"/>
        </w:rPr>
      </w:pPr>
      <w:r>
        <w:rPr>
          <w:rFonts w:ascii="Arial" w:cs="Arial" w:eastAsia="Arial" w:hAnsi="Arial"/>
          <w:sz w:val="22"/>
          <w:szCs w:val="22"/>
          <w:color w:val="auto"/>
        </w:rPr>
        <w:t>any transaction or event, or series of transactions or events (including, without limitation, a Change in Law), or the announcement of any transaction or event, if consummated, completed or effected, that would result, in the reasonable determination of any Lender, in the imposition of any withholding Tax with respect to the Collateral or a prospective sale of Shares upon foreclosure;</w:t>
      </w:r>
    </w:p>
    <w:p>
      <w:pPr>
        <w:spacing w:after="0" w:line="160" w:lineRule="exact"/>
        <w:rPr>
          <w:rFonts w:ascii="Arial" w:cs="Arial" w:eastAsia="Arial" w:hAnsi="Arial"/>
          <w:sz w:val="22"/>
          <w:szCs w:val="22"/>
          <w:color w:val="auto"/>
        </w:rPr>
      </w:pPr>
    </w:p>
    <w:p>
      <w:pPr>
        <w:ind w:left="660" w:right="340" w:firstLine="644"/>
        <w:spacing w:after="0" w:line="213" w:lineRule="auto"/>
        <w:tabs>
          <w:tab w:leader="none" w:pos="1848" w:val="left"/>
        </w:tabs>
        <w:numPr>
          <w:ilvl w:val="0"/>
          <w:numId w:val="34"/>
        </w:numPr>
        <w:rPr>
          <w:rFonts w:ascii="Arial" w:cs="Arial" w:eastAsia="Arial" w:hAnsi="Arial"/>
          <w:sz w:val="22"/>
          <w:szCs w:val="22"/>
          <w:color w:val="auto"/>
        </w:rPr>
      </w:pPr>
      <w:r>
        <w:rPr>
          <w:rFonts w:ascii="Arial" w:cs="Arial" w:eastAsia="Arial" w:hAnsi="Arial"/>
          <w:sz w:val="22"/>
          <w:szCs w:val="22"/>
          <w:color w:val="auto"/>
        </w:rPr>
        <w:t>any event that would impose a Transfer Restriction (other than a DNB Existing Transfer Restriction or a CDAY Existing Transfer Restriction) on any Collateral Shares;</w:t>
      </w:r>
    </w:p>
    <w:p>
      <w:pPr>
        <w:ind w:left="1840" w:hanging="536"/>
        <w:spacing w:after="0"/>
        <w:tabs>
          <w:tab w:leader="none" w:pos="1840" w:val="left"/>
        </w:tabs>
        <w:numPr>
          <w:ilvl w:val="0"/>
          <w:numId w:val="34"/>
        </w:numPr>
        <w:rPr>
          <w:rFonts w:ascii="Arial" w:cs="Arial" w:eastAsia="Arial" w:hAnsi="Arial"/>
          <w:sz w:val="21"/>
          <w:szCs w:val="21"/>
          <w:color w:val="auto"/>
        </w:rPr>
      </w:pPr>
      <w:r>
        <w:rPr>
          <w:rFonts w:ascii="Arial" w:cs="Arial" w:eastAsia="Arial" w:hAnsi="Arial"/>
          <w:sz w:val="21"/>
          <w:szCs w:val="21"/>
          <w:color w:val="auto"/>
        </w:rPr>
        <w:t>Borrowers, Issuers or any of their respective Affiliates enter into any Debt Purchase Transaction; or</w:t>
      </w:r>
    </w:p>
    <w:p>
      <w:pPr>
        <w:spacing w:after="0" w:line="172" w:lineRule="exact"/>
        <w:rPr>
          <w:rFonts w:ascii="Arial" w:cs="Arial" w:eastAsia="Arial" w:hAnsi="Arial"/>
          <w:sz w:val="21"/>
          <w:szCs w:val="21"/>
          <w:color w:val="auto"/>
        </w:rPr>
      </w:pPr>
    </w:p>
    <w:p>
      <w:pPr>
        <w:ind w:left="660" w:right="180" w:firstLine="644"/>
        <w:spacing w:after="0" w:line="252" w:lineRule="auto"/>
        <w:tabs>
          <w:tab w:leader="none" w:pos="1776"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announcement by any Person of any transaction or event, or series of transactions or events, that, if consummated, completed or effected, could reasonably be expected to constitute or result in any Merger Event, Tender Offer, or Change of Control of an Issuer or a Borrower (other than an intercompany reorganization, as determined by Calculation Agent), Nationalization or Delisting or the imposition of any Transfer Restriction (other than DNB Existing Transfer Restrictions and CDAY Existing Transfer Restrictions) on the Collateral.</w:t>
      </w:r>
    </w:p>
    <w:p>
      <w:pPr>
        <w:spacing w:after="0" w:line="149" w:lineRule="exact"/>
        <w:rPr>
          <w:sz w:val="20"/>
          <w:szCs w:val="20"/>
          <w:color w:val="auto"/>
        </w:rPr>
      </w:pPr>
    </w:p>
    <w:p>
      <w:pPr>
        <w:ind w:right="40"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FATCA</w:t>
      </w:r>
      <w:r>
        <w:rPr>
          <w:rFonts w:ascii="Arial" w:cs="Arial" w:eastAsia="Arial" w:hAnsi="Arial"/>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Federal Funds Effective Rate</w:t>
      </w:r>
      <w:r>
        <w:rPr>
          <w:rFonts w:ascii="Arial" w:cs="Arial" w:eastAsia="Arial" w:hAnsi="Arial"/>
          <w:sz w:val="19"/>
          <w:szCs w:val="19"/>
          <w:color w:val="auto"/>
        </w:rPr>
        <w:t>”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171"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Fee and Ratio Letter</w:t>
      </w:r>
      <w:r>
        <w:rPr>
          <w:rFonts w:ascii="Arial" w:cs="Arial" w:eastAsia="Arial" w:hAnsi="Arial"/>
          <w:sz w:val="22"/>
          <w:szCs w:val="22"/>
          <w:color w:val="auto"/>
        </w:rPr>
        <w:t>” means that certain Fee and Ratio Letter, dated as of the Closing Date, and as amended on or about the First Increase Effective Date, as further amended on or about the Second Increase Effective Date, as further amended on or about the Third Amendment Effective Date and as further amended on or about the Fourth Amendment Effective Date, delivered by Administrative Agent, Calculation Agent and each Original Lender to Borrowers, and accepted and agreed to in writing by Borrowers.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First Increase Effective Date</w:t>
      </w:r>
      <w:r>
        <w:rPr>
          <w:rFonts w:ascii="Arial" w:cs="Arial" w:eastAsia="Arial" w:hAnsi="Arial"/>
          <w:sz w:val="22"/>
          <w:szCs w:val="22"/>
          <w:color w:val="auto"/>
        </w:rPr>
        <w:t>” means August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00"/>
          </w:cols>
          <w:pgMar w:left="320" w:top="1440" w:right="379" w:bottom="1440" w:gutter="0" w:footer="0" w:header="0"/>
        </w:sectPr>
      </w:pPr>
    </w:p>
    <w:bookmarkStart w:id="74" w:name="page75"/>
    <w:bookmarkEnd w:id="74"/>
    <w:p>
      <w:pPr>
        <w:spacing w:after="0" w:line="200" w:lineRule="exact"/>
        <w:rPr>
          <w:sz w:val="20"/>
          <w:szCs w:val="20"/>
          <w:color w:val="auto"/>
        </w:rPr>
      </w:pPr>
    </w:p>
    <w:p>
      <w:pPr>
        <w:spacing w:after="0" w:line="234" w:lineRule="exact"/>
        <w:rPr>
          <w:sz w:val="20"/>
          <w:szCs w:val="20"/>
          <w:color w:val="auto"/>
        </w:rPr>
      </w:pPr>
    </w:p>
    <w:p>
      <w:pPr>
        <w:ind w:right="24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First Incremental Facility Amendment</w:t>
      </w:r>
      <w:r>
        <w:rPr>
          <w:rFonts w:ascii="Arial" w:cs="Arial" w:eastAsia="Arial" w:hAnsi="Arial"/>
          <w:sz w:val="21"/>
          <w:szCs w:val="21"/>
          <w:color w:val="auto"/>
        </w:rPr>
        <w:t>” means Amendment Agreement No. 1, dated as of the First Increase Effective Date, among Borrowers, the Lender party thereto, Administrative Agent and Calculation Agent.</w:t>
      </w:r>
    </w:p>
    <w:p>
      <w:pPr>
        <w:spacing w:after="0" w:line="151" w:lineRule="exact"/>
        <w:rPr>
          <w:sz w:val="20"/>
          <w:szCs w:val="20"/>
          <w:color w:val="auto"/>
        </w:rPr>
      </w:pPr>
    </w:p>
    <w:p>
      <w:pPr>
        <w:ind w:right="4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First Incremental Commitment</w:t>
      </w:r>
      <w:r>
        <w:rPr>
          <w:rFonts w:ascii="Arial" w:cs="Arial" w:eastAsia="Arial" w:hAnsi="Arial"/>
          <w:sz w:val="22"/>
          <w:szCs w:val="22"/>
          <w:color w:val="auto"/>
        </w:rPr>
        <w:t>” means the Incremental Commitment of the applicable Lender pursuant to the First Incremental Facility Amendment.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First Incremental Facility Upfront Fee</w:t>
      </w:r>
      <w:r>
        <w:rPr>
          <w:rFonts w:ascii="Arial" w:cs="Arial" w:eastAsia="Arial" w:hAnsi="Arial"/>
          <w:sz w:val="22"/>
          <w:szCs w:val="22"/>
          <w:color w:val="auto"/>
        </w:rPr>
        <w:t>” has the meaning assigned to it in Section 2.06(a).</w:t>
      </w:r>
    </w:p>
    <w:p>
      <w:pPr>
        <w:ind w:right="680"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Floor</w:t>
      </w:r>
      <w:r>
        <w:rPr>
          <w:rFonts w:ascii="Arial" w:cs="Arial" w:eastAsia="Arial" w:hAnsi="Arial"/>
          <w:sz w:val="22"/>
          <w:szCs w:val="22"/>
          <w:color w:val="auto"/>
        </w:rPr>
        <w:t>” means the benchmark rate floor, if any, provided in this Agreement initially (as of the execution of this Agreement, the modification, amendment or renewal of this Agreement or otherwise) with respect to Term SOFR. For the avoidance of doubt, the initial Floor for Term SOFR shall be 0.00%.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Foreign Lender</w:t>
      </w:r>
      <w:r>
        <w:rPr>
          <w:rFonts w:ascii="Arial" w:cs="Arial" w:eastAsia="Arial" w:hAnsi="Arial"/>
          <w:sz w:val="22"/>
          <w:szCs w:val="22"/>
          <w:color w:val="auto"/>
        </w:rPr>
        <w:t>” means a Lender that is not a U.S. Person.</w:t>
      </w:r>
    </w:p>
    <w:p>
      <w:pPr>
        <w:spacing w:after="0" w:line="179" w:lineRule="exact"/>
        <w:rPr>
          <w:sz w:val="20"/>
          <w:szCs w:val="20"/>
          <w:color w:val="auto"/>
        </w:rPr>
      </w:pPr>
    </w:p>
    <w:p>
      <w:pPr>
        <w:ind w:right="2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Fourth Amendment</w:t>
      </w:r>
      <w:r>
        <w:rPr>
          <w:rFonts w:ascii="Arial" w:cs="Arial" w:eastAsia="Arial" w:hAnsi="Arial"/>
          <w:sz w:val="22"/>
          <w:szCs w:val="22"/>
          <w:color w:val="auto"/>
        </w:rPr>
        <w:t>” means Amendment Agreement No. 4, dated as of the Fourth Amendment Effective Date, among Borrowers, the Lenders party thereto, Administrative Agent and Calculation Agent.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Fourth Amendment Effective Date</w:t>
      </w:r>
      <w:r>
        <w:rPr>
          <w:rFonts w:ascii="Arial" w:cs="Arial" w:eastAsia="Arial" w:hAnsi="Arial"/>
          <w:sz w:val="22"/>
          <w:szCs w:val="22"/>
          <w:color w:val="auto"/>
        </w:rPr>
        <w:t>” means May 12, 2022.</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FRB</w:t>
      </w:r>
      <w:r>
        <w:rPr>
          <w:rFonts w:ascii="Arial" w:cs="Arial" w:eastAsia="Arial" w:hAnsi="Arial"/>
          <w:sz w:val="22"/>
          <w:szCs w:val="22"/>
          <w:color w:val="auto"/>
        </w:rPr>
        <w:t>” means the Board of Governors of the Federal Reserve System of the United States.</w:t>
      </w:r>
    </w:p>
    <w:p>
      <w:pPr>
        <w:spacing w:after="0" w:line="179" w:lineRule="exact"/>
        <w:rPr>
          <w:sz w:val="20"/>
          <w:szCs w:val="20"/>
          <w:color w:val="auto"/>
        </w:rPr>
      </w:pPr>
    </w:p>
    <w:p>
      <w:pPr>
        <w:ind w:right="40" w:firstLine="648"/>
        <w:spacing w:after="0" w:line="241" w:lineRule="auto"/>
        <w:rPr>
          <w:sz w:val="20"/>
          <w:szCs w:val="20"/>
          <w:color w:val="auto"/>
        </w:rPr>
      </w:pPr>
      <w:r>
        <w:rPr>
          <w:rFonts w:ascii="Arial" w:cs="Arial" w:eastAsia="Arial" w:hAnsi="Arial"/>
          <w:sz w:val="19"/>
          <w:szCs w:val="19"/>
          <w:b w:val="1"/>
          <w:bCs w:val="1"/>
          <w:i w:val="1"/>
          <w:iCs w:val="1"/>
          <w:color w:val="auto"/>
        </w:rPr>
        <w:t xml:space="preserve">“Free Float” </w:t>
      </w:r>
      <w:r>
        <w:rPr>
          <w:rFonts w:ascii="Arial" w:cs="Arial" w:eastAsia="Arial" w:hAnsi="Arial"/>
          <w:sz w:val="19"/>
          <w:szCs w:val="19"/>
          <w:color w:val="auto"/>
        </w:rPr>
        <w:t>means, with respect to the Shares of any Share Type, the number of Shares equal to (i) the total number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Shares of such Share Type then issued and outstanding (as increased in accordance with the last sentence of Rule 13d-3(d)(1)(i) under the Exchange Act to the extent any “Controlling Shareholder” beneficially owns Shares of such Share Type to which such sentence applies) minus (ii) the total number of Shares of such Share Type “beneficially owned” within the meaning of Section 13(d) under the Exchange Act or otherwise held, without duplication, by (a) any officer or director of the Issuer of such Shares or</w:t>
      </w:r>
    </w:p>
    <w:p>
      <w:pPr>
        <w:spacing w:after="0" w:line="1" w:lineRule="exact"/>
        <w:rPr>
          <w:sz w:val="20"/>
          <w:szCs w:val="20"/>
          <w:color w:val="auto"/>
        </w:rPr>
      </w:pPr>
    </w:p>
    <w:p>
      <w:pPr>
        <w:ind w:right="40" w:firstLine="8"/>
        <w:spacing w:after="0" w:line="242" w:lineRule="auto"/>
        <w:tabs>
          <w:tab w:leader="none" w:pos="306"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any “person” or “group” that “beneficially owns” (in each case, within the meaning of Section 13(d) of the Exchange Act) more than 10% of the total Shares of such Share Type issued and outstanding, as determined by Calculation Agent by reference to any publicly available information issued by the Issuer of such Shares, any publicly available filings with, or order, decree, notice or other release or publication of, any Governmental Authority and/or any other publicly available information Calculation Agent reasonably deems relevant. For purposes of clause (ii) above, any Long Position relating to Shares held by any “person” or “group” (within the meaning of Section 13(d) of the Exchange Act) shall be deemed to be “beneficial ownership” of the full number of Shares underlying such Long Position;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avoidance of doubt, for purposes of clause (ii) above, Shares that are “beneficially owned” by more than one officer, director, “person” or “group” shall be included only once in determining the total number of Shares “beneficially owned” by all officers, directors, “persons” and “groups.”</w:t>
      </w:r>
    </w:p>
    <w:p>
      <w:pPr>
        <w:spacing w:after="0" w:line="159"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Free Float Percentage</w:t>
      </w:r>
      <w:r>
        <w:rPr>
          <w:rFonts w:ascii="Arial" w:cs="Arial" w:eastAsia="Arial" w:hAnsi="Arial"/>
          <w:sz w:val="19"/>
          <w:szCs w:val="19"/>
          <w:color w:val="auto"/>
        </w:rPr>
        <w:t>” means, as of any date of determination, with respect to the Shares of any Share Type, the ratio, expressed as a percentage, the numerator of which is the Free Float of such Shares and the denominator of which is the number of such Shares issued and outstanding as of such date (as increased in accordance with the last sentence of Rule 13d-3(d)(1)(i) under the Exchange Act to the extent any “Controlling Shareholder” beneficially owns Shares to which such sentence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00" w:lineRule="exact"/>
        <w:rPr>
          <w:sz w:val="20"/>
          <w:szCs w:val="20"/>
          <w:color w:val="auto"/>
        </w:rPr>
      </w:pPr>
    </w:p>
    <w:p>
      <w:pPr>
        <w:spacing w:after="0" w:line="234" w:lineRule="exact"/>
        <w:rPr>
          <w:sz w:val="20"/>
          <w:szCs w:val="20"/>
          <w:color w:val="auto"/>
        </w:rPr>
      </w:pPr>
    </w:p>
    <w:p>
      <w:pPr>
        <w:jc w:val="both"/>
        <w:ind w:right="5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Funding Account</w:t>
      </w:r>
      <w:r>
        <w:rPr>
          <w:rFonts w:ascii="Arial" w:cs="Arial" w:eastAsia="Arial" w:hAnsi="Arial"/>
          <w:sz w:val="22"/>
          <w:szCs w:val="22"/>
          <w:color w:val="auto"/>
        </w:rPr>
        <w:t>” means the deposit account of a Borrower to which Administrative Agent is authorized by such Borrower in the relevant Borrowing Notice to transfer the proceeds of any Advance requested or authorized pursuant to this Agreement.</w:t>
      </w:r>
    </w:p>
    <w:p>
      <w:pPr>
        <w:spacing w:after="0" w:line="159" w:lineRule="exact"/>
        <w:rPr>
          <w:sz w:val="20"/>
          <w:szCs w:val="20"/>
          <w:color w:val="auto"/>
        </w:rPr>
      </w:pPr>
    </w:p>
    <w:p>
      <w:pPr>
        <w:ind w:right="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Funding Percentage</w:t>
      </w:r>
      <w:r>
        <w:rPr>
          <w:rFonts w:ascii="Arial" w:cs="Arial" w:eastAsia="Arial" w:hAnsi="Arial"/>
          <w:sz w:val="22"/>
          <w:szCs w:val="22"/>
          <w:color w:val="auto"/>
        </w:rPr>
        <w:t xml:space="preserve">” means, subject to Section 2.14, with respect to any Lender at any time, (a) the aggregate principal amount of such Lender’s unfunded Commitments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(b) the aggregate principal amount of the unfunded Commitments owed to all Lenders.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GAAP</w:t>
      </w:r>
      <w:r>
        <w:rPr>
          <w:rFonts w:ascii="Arial" w:cs="Arial" w:eastAsia="Arial" w:hAnsi="Arial"/>
          <w:sz w:val="22"/>
          <w:szCs w:val="22"/>
          <w:color w:val="auto"/>
        </w:rPr>
        <w:t>” means generally accepted accounting principles in the United States of America.</w:t>
      </w:r>
    </w:p>
    <w:p>
      <w:pPr>
        <w:spacing w:after="0" w:line="1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Governmental Authority</w:t>
      </w:r>
      <w:r>
        <w:rPr>
          <w:rFonts w:ascii="Arial" w:cs="Arial" w:eastAsia="Arial" w:hAnsi="Arial"/>
          <w:sz w:val="19"/>
          <w:szCs w:val="19"/>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Guarantee</w:t>
      </w:r>
      <w:r>
        <w:rPr>
          <w:rFonts w:ascii="Arial" w:cs="Arial" w:eastAsia="Arial" w:hAnsi="Arial"/>
          <w:sz w:val="19"/>
          <w:szCs w:val="19"/>
          <w:color w:val="auto"/>
        </w:rPr>
        <w:t>” means, as to any Person, (a) any obligation, contingent or otherwise, of such Person guaranteeing or having</w:t>
      </w:r>
    </w:p>
    <w:p>
      <w:pPr>
        <w:spacing w:after="0" w:line="230" w:lineRule="auto"/>
        <w:rPr>
          <w:sz w:val="20"/>
          <w:szCs w:val="20"/>
          <w:color w:val="auto"/>
        </w:rPr>
      </w:pPr>
      <w:r>
        <w:rPr>
          <w:rFonts w:ascii="Arial" w:cs="Arial" w:eastAsia="Arial" w:hAnsi="Arial"/>
          <w:sz w:val="21"/>
          <w:szCs w:val="21"/>
          <w:color w:val="auto"/>
        </w:rPr>
        <w:t>the economic effect of guaranteeing any Indebtedness or other obligation payable or performable by another Person (the</w:t>
      </w:r>
    </w:p>
    <w:p>
      <w:pPr>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primary obligor</w:t>
      </w:r>
      <w:r>
        <w:rPr>
          <w:rFonts w:ascii="Arial" w:cs="Arial" w:eastAsia="Arial" w:hAnsi="Arial"/>
          <w:sz w:val="19"/>
          <w:szCs w:val="19"/>
          <w:color w:val="auto"/>
        </w:rPr>
        <w:t>”) in any manner, whether directly or indirectly, and including any obligation of such Person, direct or indirect,</w:t>
      </w:r>
    </w:p>
    <w:p>
      <w:pPr>
        <w:ind w:firstLine="8"/>
        <w:spacing w:after="0"/>
        <w:tabs>
          <w:tab w:leader="none" w:pos="258" w:val="left"/>
        </w:tabs>
        <w:numPr>
          <w:ilvl w:val="0"/>
          <w:numId w:val="36"/>
        </w:numPr>
        <w:rPr>
          <w:rFonts w:ascii="Arial" w:cs="Arial" w:eastAsia="Arial" w:hAnsi="Arial"/>
          <w:sz w:val="19"/>
          <w:szCs w:val="19"/>
          <w:color w:val="auto"/>
        </w:rPr>
      </w:pPr>
      <w:r>
        <w:rPr>
          <w:rFonts w:ascii="Arial" w:cs="Arial" w:eastAsia="Arial" w:hAnsi="Arial"/>
          <w:sz w:val="19"/>
          <w:szCs w:val="19"/>
          <w:color w:val="auto"/>
        </w:rPr>
        <w:t>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(iv) entered into for the purpose of assuring in any other manner the obligee in respect of such Indebtedness or other obligation of the payment or performance thereof or to protect such obligee against loss in respect thereof (in whole or in part) or (v) as an applicant in respect of any letter of credit or letter of credit guaranty issued to support such Indebtedness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9"/>
          <w:szCs w:val="19"/>
          <w:b w:val="1"/>
          <w:bCs w:val="1"/>
          <w:i w:val="1"/>
          <w:iCs w:val="1"/>
          <w:color w:val="auto"/>
        </w:rPr>
        <w:t>Guarantee</w:t>
      </w:r>
      <w:r>
        <w:rPr>
          <w:rFonts w:ascii="Arial" w:cs="Arial" w:eastAsia="Arial" w:hAnsi="Arial"/>
          <w:sz w:val="19"/>
          <w:szCs w:val="19"/>
          <w:color w:val="auto"/>
        </w:rPr>
        <w:t>” as a verb has a corresponding meaning.</w:t>
      </w:r>
    </w:p>
    <w:p>
      <w:pPr>
        <w:spacing w:after="0" w:line="16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Guarantee Agreement</w:t>
      </w:r>
      <w:r>
        <w:rPr>
          <w:rFonts w:ascii="Arial" w:cs="Arial" w:eastAsia="Arial" w:hAnsi="Arial"/>
          <w:sz w:val="19"/>
          <w:szCs w:val="19"/>
          <w:color w:val="auto"/>
        </w:rPr>
        <w:t>” means that certain Guaranty, dated as of the Closing Date, as amended on or about the First Increase Effective Date, as further amended on or about the Second Increase Effective Date, as further amended on or about the Third Amendment Effective Date and as further amended on or about the Fourth Amendment Effective Date, executed by Guarantor in favor of Administrative Agent for the benefit of the Lenders on a Pro Rata Basis, in the form of Exhibit 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“Guarantee Termination Date” </w:t>
      </w:r>
      <w:r>
        <w:rPr>
          <w:rFonts w:ascii="Arial" w:cs="Arial" w:eastAsia="Arial" w:hAnsi="Arial"/>
          <w:sz w:val="22"/>
          <w:szCs w:val="22"/>
          <w:color w:val="auto"/>
        </w:rPr>
        <w:t>has the meaning provided for in the Guarantee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40" w:right="359" w:bottom="1440" w:gutter="0" w:footer="0" w:header="0"/>
        </w:sectPr>
      </w:pPr>
    </w:p>
    <w:bookmarkStart w:id="76" w:name="page77"/>
    <w:bookmarkEnd w:id="76"/>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Guarantor</w:t>
      </w:r>
      <w:r>
        <w:rPr>
          <w:rFonts w:ascii="Arial" w:cs="Arial" w:eastAsia="Arial" w:hAnsi="Arial"/>
          <w:sz w:val="22"/>
          <w:szCs w:val="22"/>
          <w:color w:val="auto"/>
        </w:rPr>
        <w:t>” means CHI.</w:t>
      </w:r>
    </w:p>
    <w:p>
      <w:pPr>
        <w:spacing w:after="0" w:line="179" w:lineRule="exact"/>
        <w:rPr>
          <w:sz w:val="20"/>
          <w:szCs w:val="20"/>
          <w:color w:val="auto"/>
        </w:rPr>
      </w:pPr>
    </w:p>
    <w:p>
      <w:pPr>
        <w:ind w:right="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Incremental Cap</w:t>
      </w:r>
      <w:r>
        <w:rPr>
          <w:rFonts w:ascii="Arial" w:cs="Arial" w:eastAsia="Arial" w:hAnsi="Arial"/>
          <w:sz w:val="22"/>
          <w:szCs w:val="22"/>
          <w:color w:val="auto"/>
        </w:rPr>
        <w:t>” means $500,000,000 less the aggregate principal amount of all outstanding Advances and all existing unfunded Commitments.</w:t>
      </w:r>
    </w:p>
    <w:p>
      <w:pPr>
        <w:spacing w:after="0" w:line="159" w:lineRule="exact"/>
        <w:rPr>
          <w:sz w:val="20"/>
          <w:szCs w:val="20"/>
          <w:color w:val="auto"/>
        </w:rPr>
      </w:pPr>
    </w:p>
    <w:p>
      <w:pPr>
        <w:ind w:right="1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Incremental Commitment</w:t>
      </w:r>
      <w:r>
        <w:rPr>
          <w:rFonts w:ascii="Arial" w:cs="Arial" w:eastAsia="Arial" w:hAnsi="Arial"/>
          <w:sz w:val="22"/>
          <w:szCs w:val="22"/>
          <w:color w:val="auto"/>
        </w:rPr>
        <w:t>” means any Proposed Incremental Commitment which a Lender or Additional Lender elects to provide in accordance with Section 2.17(a).</w:t>
      </w:r>
    </w:p>
    <w:p>
      <w:pPr>
        <w:spacing w:after="0" w:line="159" w:lineRule="exact"/>
        <w:rPr>
          <w:sz w:val="20"/>
          <w:szCs w:val="20"/>
          <w:color w:val="auto"/>
        </w:rPr>
      </w:pPr>
    </w:p>
    <w:p>
      <w:pPr>
        <w:ind w:right="16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Incremental Commitment Percentage</w:t>
      </w:r>
      <w:r>
        <w:rPr>
          <w:rFonts w:ascii="Arial" w:cs="Arial" w:eastAsia="Arial" w:hAnsi="Arial"/>
          <w:sz w:val="19"/>
          <w:szCs w:val="19"/>
          <w:color w:val="auto"/>
        </w:rPr>
        <w:t xml:space="preserve">” means, with respect to any Lender at any time, (a) the sum of (x) the aggregate principal amount of such Lender’s Advances and (y) such Lender’s unfunded Commitments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(b) the sum of (x) the aggregate principal amount of all Advances for all Lenders and (y) the unfunded Commitments of all Lenders.</w:t>
      </w:r>
    </w:p>
    <w:p>
      <w:pPr>
        <w:spacing w:after="0" w:line="132" w:lineRule="exact"/>
        <w:rPr>
          <w:sz w:val="20"/>
          <w:szCs w:val="20"/>
          <w:color w:val="auto"/>
        </w:rPr>
      </w:pPr>
    </w:p>
    <w:p>
      <w:pPr>
        <w:ind w:firstLine="648"/>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Incremental Facility Amendment</w:t>
      </w:r>
      <w:r>
        <w:rPr>
          <w:rFonts w:ascii="Arial" w:cs="Arial" w:eastAsia="Arial" w:hAnsi="Arial"/>
          <w:sz w:val="19"/>
          <w:szCs w:val="19"/>
          <w:color w:val="auto"/>
        </w:rPr>
        <w:t xml:space="preserve">” means an amendment to this Agreement that is reasonably satisfactory to Administrative Agent (solely for purposes of giving effect to Section 2.17) and the Borrowers and is executed by each of (a) the Borrowers, (b) Administrative Agent and (c) each Lender and each Additional Lender that agrees to provide all or any portion of the relevant Incremental Commitment;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Required Lenders deem such amendment to be a Material Amendment in accordance with Section 2.17(b), then such amendment must also be reasonably satisfactory to the Required Lenders. For the avoidance of doubt, if the Required Lenders do not indicate to Borrowers whether they deem such amendment to be a Material Amendment within the time limitations established in Section 2.17(b), then the immediately preceding proviso shall not apply.</w:t>
      </w:r>
    </w:p>
    <w:p>
      <w:pPr>
        <w:spacing w:after="0" w:line="154" w:lineRule="exact"/>
        <w:rPr>
          <w:sz w:val="20"/>
          <w:szCs w:val="20"/>
          <w:color w:val="auto"/>
        </w:rPr>
      </w:pPr>
    </w:p>
    <w:p>
      <w:pPr>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Indebtedness</w:t>
      </w:r>
      <w:r>
        <w:rPr>
          <w:rFonts w:ascii="Arial" w:cs="Arial" w:eastAsia="Arial" w:hAnsi="Arial"/>
          <w:sz w:val="19"/>
          <w:szCs w:val="19"/>
          <w:color w:val="auto"/>
        </w:rPr>
        <w:t>” means, as to any Person at a particular time, without duplication, all of the following, whether or not included as indebtedness or liabilities in accordance with GAAP: (a) all obligations of such Person for borrowed money and all obligations of such Person evidenced by bonds, debentures, notes, loan agreements or other similar instruments; (b) all direct or contingent payment obligations of such Person arising under letters of credit (including standby and commercial), bankers’ acceptances, bank guaranties, surety bonds and similar instruments; (c) net payment or delivery obligations of such Person under any Swap Contract; (d) all payment obligations of such Person to pay the deferred purchase price of property or services (other than trade accounts payable in the ordinary course of business and, in each case, not past due for more than sixty (60) days after the date on which such trade account payable was created); (e)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(f) capital leases and Synthetic Lease Obligations; (g) 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plus accrued and unpaid dividends; and (h) all Guarantees of such Person in respect of any of the foregoing. 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Debt in respect thereof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20" w:top="1440" w:right="359" w:bottom="1440" w:gutter="0" w:footer="0" w:header="0"/>
        </w:sectPr>
      </w:pPr>
    </w:p>
    <w:bookmarkStart w:id="77" w:name="page78"/>
    <w:bookmarkEnd w:id="77"/>
    <w:p>
      <w:pPr>
        <w:spacing w:after="0" w:line="200" w:lineRule="exact"/>
        <w:rPr>
          <w:sz w:val="20"/>
          <w:szCs w:val="20"/>
          <w:color w:val="auto"/>
        </w:rPr>
      </w:pPr>
    </w:p>
    <w:p>
      <w:pPr>
        <w:spacing w:after="0" w:line="234"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Borrowers under any Margin Loan Documentation and (b) to the extent not otherwise described in immediately preceding clause (a), Other Taxes.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Indemnitee</w:t>
      </w:r>
      <w:r>
        <w:rPr>
          <w:rFonts w:ascii="Arial" w:cs="Arial" w:eastAsia="Arial" w:hAnsi="Arial"/>
          <w:sz w:val="22"/>
          <w:szCs w:val="22"/>
          <w:color w:val="auto"/>
        </w:rPr>
        <w:t>” has the meaning specified in Section 9.04(b).</w:t>
      </w:r>
    </w:p>
    <w:p>
      <w:pPr>
        <w:spacing w:after="0" w:line="179" w:lineRule="exact"/>
        <w:rPr>
          <w:sz w:val="20"/>
          <w:szCs w:val="20"/>
          <w:color w:val="auto"/>
        </w:rPr>
      </w:pPr>
    </w:p>
    <w:p>
      <w:pPr>
        <w:ind w:right="180" w:firstLine="648"/>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Independent Director</w:t>
      </w:r>
      <w:r>
        <w:rPr>
          <w:rFonts w:ascii="Arial" w:cs="Arial" w:eastAsia="Arial" w:hAnsi="Arial"/>
          <w:sz w:val="19"/>
          <w:szCs w:val="19"/>
          <w:color w:val="auto"/>
        </w:rPr>
        <w:t>” means an individual who has prior experience as an independent director, independent manager or independent member, who is provided by Puglisi &amp; Associates, CT Corporation System, Corporation Service Company, National Registered Agents, Inc., Wilmington Trust Company, Lord Securities Corporation (or another nationally-recognized company that is not an Affiliate of Borrowers, CHI or Issuers and that provides independent managers and other corporate services in the ordinary course of its business), and, with respect to a Borrower, which individual:</w:t>
      </w:r>
    </w:p>
    <w:p>
      <w:pPr>
        <w:spacing w:after="0" w:line="149" w:lineRule="exact"/>
        <w:rPr>
          <w:sz w:val="20"/>
          <w:szCs w:val="20"/>
          <w:color w:val="auto"/>
        </w:rPr>
      </w:pPr>
    </w:p>
    <w:p>
      <w:pPr>
        <w:ind w:right="200" w:firstLine="656"/>
        <w:spacing w:after="0" w:line="232" w:lineRule="auto"/>
        <w:tabs>
          <w:tab w:leader="none" w:pos="1284" w:val="left"/>
        </w:tabs>
        <w:numPr>
          <w:ilvl w:val="0"/>
          <w:numId w:val="37"/>
        </w:numPr>
        <w:rPr>
          <w:rFonts w:ascii="Arial" w:cs="Arial" w:eastAsia="Arial" w:hAnsi="Arial"/>
          <w:sz w:val="22"/>
          <w:szCs w:val="22"/>
          <w:color w:val="auto"/>
        </w:rPr>
      </w:pPr>
      <w:r>
        <w:rPr>
          <w:rFonts w:ascii="Arial" w:cs="Arial" w:eastAsia="Arial" w:hAnsi="Arial"/>
          <w:sz w:val="22"/>
          <w:szCs w:val="22"/>
          <w:color w:val="auto"/>
        </w:rPr>
        <w:t>is not, has never been, and will not while serving as Independent Director be, a Related Party of Borrowers, CHI or Issuers (a “</w:t>
      </w:r>
      <w:r>
        <w:rPr>
          <w:rFonts w:ascii="Arial" w:cs="Arial" w:eastAsia="Arial" w:hAnsi="Arial"/>
          <w:sz w:val="22"/>
          <w:szCs w:val="22"/>
          <w:b w:val="1"/>
          <w:bCs w:val="1"/>
          <w:i w:val="1"/>
          <w:iCs w:val="1"/>
          <w:color w:val="auto"/>
        </w:rPr>
        <w:t>Disqualified Person</w:t>
      </w:r>
      <w:r>
        <w:rPr>
          <w:rFonts w:ascii="Arial" w:cs="Arial" w:eastAsia="Arial" w:hAnsi="Arial"/>
          <w:sz w:val="22"/>
          <w:szCs w:val="22"/>
          <w:color w:val="auto"/>
        </w:rPr>
        <w:t>”) other than as an Independent Director;</w:t>
      </w:r>
    </w:p>
    <w:p>
      <w:pPr>
        <w:spacing w:after="0" w:line="158" w:lineRule="exact"/>
        <w:rPr>
          <w:rFonts w:ascii="Arial" w:cs="Arial" w:eastAsia="Arial" w:hAnsi="Arial"/>
          <w:sz w:val="22"/>
          <w:szCs w:val="22"/>
          <w:color w:val="auto"/>
        </w:rPr>
      </w:pPr>
    </w:p>
    <w:p>
      <w:pPr>
        <w:ind w:right="300" w:firstLine="656"/>
        <w:spacing w:after="0" w:line="232" w:lineRule="auto"/>
        <w:tabs>
          <w:tab w:leader="none" w:pos="129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to the fullest extent permitted by law shall consider only the interests of such Borrower, including its respective creditors, in acting or otherwise voting on Independent Director Matters; and</w:t>
      </w:r>
    </w:p>
    <w:p>
      <w:pPr>
        <w:spacing w:after="0" w:line="158" w:lineRule="exact"/>
        <w:rPr>
          <w:rFonts w:ascii="Arial" w:cs="Arial" w:eastAsia="Arial" w:hAnsi="Arial"/>
          <w:sz w:val="22"/>
          <w:szCs w:val="22"/>
          <w:color w:val="auto"/>
        </w:rPr>
      </w:pPr>
    </w:p>
    <w:p>
      <w:pPr>
        <w:ind w:right="660" w:firstLine="656"/>
        <w:spacing w:after="0" w:line="223"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is under no fiduciary duty to any Disqualified Person other than in its capacities as an independent director, independent manager, independent member, “springing member” or “special member” for such Disqualified Person, if applicable.</w:t>
      </w:r>
    </w:p>
    <w:p>
      <w:pPr>
        <w:spacing w:after="0" w:line="159" w:lineRule="exact"/>
        <w:rPr>
          <w:sz w:val="20"/>
          <w:szCs w:val="20"/>
          <w:color w:val="auto"/>
        </w:rPr>
      </w:pPr>
    </w:p>
    <w:p>
      <w:pPr>
        <w:ind w:right="30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Independent Director Matters</w:t>
      </w:r>
      <w:r>
        <w:rPr>
          <w:rFonts w:ascii="Arial" w:cs="Arial" w:eastAsia="Arial" w:hAnsi="Arial"/>
          <w:sz w:val="22"/>
          <w:szCs w:val="22"/>
          <w:color w:val="auto"/>
        </w:rPr>
        <w:t>” means, with respect to a Borrower, those matters on which the relevant Independent Director must act, vote or otherwise participate in, as set forth in such Borrower’s Organization Documents, as in effect on the date hereof.</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Information</w:t>
      </w:r>
      <w:r>
        <w:rPr>
          <w:rFonts w:ascii="Arial" w:cs="Arial" w:eastAsia="Arial" w:hAnsi="Arial"/>
          <w:sz w:val="22"/>
          <w:szCs w:val="22"/>
          <w:color w:val="auto"/>
        </w:rPr>
        <w:t>” has the meaning specified in Section 9.11.</w:t>
      </w:r>
    </w:p>
    <w:p>
      <w:pPr>
        <w:spacing w:after="0" w:line="179" w:lineRule="exact"/>
        <w:rPr>
          <w:sz w:val="20"/>
          <w:szCs w:val="20"/>
          <w:color w:val="auto"/>
        </w:rPr>
      </w:pPr>
    </w:p>
    <w:p>
      <w:pPr>
        <w:ind w:right="8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Collateral Shares</w:t>
      </w:r>
      <w:r>
        <w:rPr>
          <w:rFonts w:ascii="Arial" w:cs="Arial" w:eastAsia="Arial" w:hAnsi="Arial"/>
          <w:sz w:val="22"/>
          <w:szCs w:val="22"/>
          <w:color w:val="auto"/>
        </w:rPr>
        <w:t>” means 6,000,000 CDAY Shares and 19,000,000 DNB Shares to be deposited in the Collateral Accounts on or prior to the Closing Date.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LTV Level</w:t>
      </w:r>
      <w:r>
        <w:rPr>
          <w:rFonts w:ascii="Arial" w:cs="Arial" w:eastAsia="Arial" w:hAnsi="Arial"/>
          <w:sz w:val="22"/>
          <w:szCs w:val="22"/>
          <w:color w:val="auto"/>
        </w:rPr>
        <w:t>” has the meaning specified in the Fee and Ratio Letter.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Interest Payment Date</w:t>
      </w:r>
      <w:r>
        <w:rPr>
          <w:rFonts w:ascii="Arial" w:cs="Arial" w:eastAsia="Arial" w:hAnsi="Arial"/>
          <w:sz w:val="22"/>
          <w:szCs w:val="22"/>
          <w:color w:val="auto"/>
        </w:rPr>
        <w:t>” means the last Business Day of each calendar quarter and the Maturity Date.</w:t>
      </w:r>
    </w:p>
    <w:p>
      <w:pPr>
        <w:spacing w:after="0" w:line="179" w:lineRule="exact"/>
        <w:rPr>
          <w:sz w:val="20"/>
          <w:szCs w:val="20"/>
          <w:color w:val="auto"/>
        </w:rPr>
      </w:pPr>
    </w:p>
    <w:p>
      <w:pPr>
        <w:ind w:right="2800"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Interest Period</w:t>
      </w:r>
      <w:r>
        <w:rPr>
          <w:rFonts w:ascii="Arial" w:cs="Arial" w:eastAsia="Arial" w:hAnsi="Arial"/>
          <w:sz w:val="19"/>
          <w:szCs w:val="19"/>
          <w:color w:val="auto"/>
        </w:rPr>
        <w:t>” means, in respect of each SOFR Advance, a period of three months with respect to such SOFR Advance; provided that (i) the Interest Period shall commence on the date of an advance of or a conversion to a SOFR Advance and, in the case of immediately successive Interest Periods, each successive Interest Period shall commence on the date on which the next preceding Interest Period expires; (ii) if any Interest Period would otherwise expire on a day that is not a Business Day, such Interest Period shall expire on the next succeeding Business Day; provided, that if any Interest Period with respect to a SOFR Advance would otherwise expire on a day that is not a Business Day but is a day of the month after which no further Business Day occurs in such month, such Interest Period shall expire on the preceding Business Day; (iii) any Interest Period with respect to a SOFR Advance that begins on the last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20"/>
          </w:cols>
          <w:pgMar w:left="320" w:top="1440" w:right="359" w:bottom="1440" w:gutter="0" w:footer="0" w:header="0"/>
        </w:sectPr>
      </w:pPr>
    </w:p>
    <w:bookmarkStart w:id="78" w:name="page79"/>
    <w:bookmarkEnd w:id="78"/>
    <w:p>
      <w:pPr>
        <w:spacing w:after="0" w:line="200" w:lineRule="exact"/>
        <w:rPr>
          <w:sz w:val="20"/>
          <w:szCs w:val="20"/>
          <w:color w:val="auto"/>
        </w:rPr>
      </w:pPr>
    </w:p>
    <w:p>
      <w:pPr>
        <w:spacing w:after="0" w:line="234" w:lineRule="exact"/>
        <w:rPr>
          <w:sz w:val="20"/>
          <w:szCs w:val="20"/>
          <w:color w:val="auto"/>
        </w:rPr>
      </w:pPr>
    </w:p>
    <w:p>
      <w:pPr>
        <w:ind w:right="2780"/>
        <w:spacing w:after="0" w:line="252" w:lineRule="auto"/>
        <w:rPr>
          <w:sz w:val="20"/>
          <w:szCs w:val="20"/>
          <w:color w:val="auto"/>
        </w:rPr>
      </w:pPr>
      <w:r>
        <w:rPr>
          <w:rFonts w:ascii="Arial" w:cs="Arial" w:eastAsia="Arial" w:hAnsi="Arial"/>
          <w:sz w:val="19"/>
          <w:szCs w:val="19"/>
          <w:color w:val="auto"/>
        </w:rPr>
        <w:t>Day of a calendar month (or on a day for which there is not numerically corresponding day in the calendar month at the end of such Interest Period) shall end on the last Business Day of the relevant calendar month at the end of such Interest Period; (iv) no Interest Period shall extend beyond the Maturity Date; and (v) no tenor that has been removed from this definition pursuant to Section 2.18 shall be available for specification in any Borrowing Notice or interest election.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Interest Rate</w:t>
      </w:r>
      <w:r>
        <w:rPr>
          <w:rFonts w:ascii="Arial" w:cs="Arial" w:eastAsia="Arial" w:hAnsi="Arial"/>
          <w:sz w:val="22"/>
          <w:szCs w:val="22"/>
          <w:color w:val="auto"/>
        </w:rPr>
        <w:t xml:space="preserve">” means, with respect to any Interest Period, the Applicable Rate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Spread.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Investment Company Act</w:t>
      </w:r>
      <w:r>
        <w:rPr>
          <w:rFonts w:ascii="Arial" w:cs="Arial" w:eastAsia="Arial" w:hAnsi="Arial"/>
          <w:sz w:val="22"/>
          <w:szCs w:val="22"/>
          <w:color w:val="auto"/>
        </w:rPr>
        <w:t>” means the United States Investment Company Act of 1940.</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IRS</w:t>
      </w:r>
      <w:r>
        <w:rPr>
          <w:rFonts w:ascii="Arial" w:cs="Arial" w:eastAsia="Arial" w:hAnsi="Arial"/>
          <w:sz w:val="22"/>
          <w:szCs w:val="22"/>
          <w:color w:val="auto"/>
        </w:rPr>
        <w:t>” means the United States Internal Revenue Service.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Issuers</w:t>
      </w:r>
      <w:r>
        <w:rPr>
          <w:rFonts w:ascii="Arial" w:cs="Arial" w:eastAsia="Arial" w:hAnsi="Arial"/>
          <w:sz w:val="22"/>
          <w:szCs w:val="22"/>
          <w:color w:val="auto"/>
        </w:rPr>
        <w:t>” means, collectively, CDAY Issuer and DNB Issuer.</w:t>
      </w:r>
    </w:p>
    <w:p>
      <w:pPr>
        <w:spacing w:after="0" w:line="179" w:lineRule="exact"/>
        <w:rPr>
          <w:sz w:val="20"/>
          <w:szCs w:val="20"/>
          <w:color w:val="auto"/>
        </w:rPr>
      </w:pPr>
    </w:p>
    <w:p>
      <w:pPr>
        <w:ind w:right="4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Issuer Agreement</w:t>
      </w:r>
      <w:r>
        <w:rPr>
          <w:rFonts w:ascii="Arial" w:cs="Arial" w:eastAsia="Arial" w:hAnsi="Arial"/>
          <w:sz w:val="21"/>
          <w:szCs w:val="21"/>
          <w:color w:val="auto"/>
        </w:rPr>
        <w:t>” means, collectively, each Issuer Agreement, dated as of the Closing Date and as amended on or about the Second Increase Effective Date (or any later date on which any Person becomes an Applicable Lender), executed by an Issuer and a Lender, substantially in the form to be agreed to between the Lenders and such Issuer.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Judgment Currency</w:t>
      </w:r>
      <w:r>
        <w:rPr>
          <w:rFonts w:ascii="Arial" w:cs="Arial" w:eastAsia="Arial" w:hAnsi="Arial"/>
          <w:sz w:val="22"/>
          <w:szCs w:val="22"/>
          <w:color w:val="auto"/>
        </w:rPr>
        <w:t>” has the meaning specified in Section 9.14.</w:t>
      </w:r>
    </w:p>
    <w:p>
      <w:pPr>
        <w:spacing w:after="0" w:line="179" w:lineRule="exact"/>
        <w:rPr>
          <w:sz w:val="20"/>
          <w:szCs w:val="20"/>
          <w:color w:val="auto"/>
        </w:rPr>
      </w:pPr>
    </w:p>
    <w:p>
      <w:pPr>
        <w:ind w:right="320" w:firstLine="648"/>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Law</w:t>
      </w:r>
      <w:r>
        <w:rPr>
          <w:rFonts w:ascii="Arial" w:cs="Arial" w:eastAsia="Arial" w:hAnsi="Arial"/>
          <w:sz w:val="21"/>
          <w:szCs w:val="21"/>
          <w:color w:val="auto"/>
        </w:rPr>
        <w:t>” means, with respect to any Person, collectively, all international, foreign, U.S.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and agreements with, any Governmental Authority, in each case that is applicable to such Person or such Person’s business or operation and whether or not having the force of law.</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Lender</w:t>
      </w:r>
      <w:r>
        <w:rPr>
          <w:rFonts w:ascii="Arial" w:cs="Arial" w:eastAsia="Arial" w:hAnsi="Arial"/>
          <w:sz w:val="22"/>
          <w:szCs w:val="22"/>
          <w:color w:val="auto"/>
        </w:rPr>
        <w:t>” has the meaning specified in the preamble hereto.</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Lender of Record</w:t>
      </w:r>
      <w:r>
        <w:rPr>
          <w:rFonts w:ascii="Arial" w:cs="Arial" w:eastAsia="Arial" w:hAnsi="Arial"/>
          <w:sz w:val="22"/>
          <w:szCs w:val="22"/>
          <w:color w:val="auto"/>
        </w:rPr>
        <w:t>” has the meaning set forth in the definition of “Required Lenders”.</w:t>
      </w:r>
    </w:p>
    <w:p>
      <w:pPr>
        <w:spacing w:after="0" w:line="179"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Lien</w:t>
      </w:r>
      <w:r>
        <w:rPr>
          <w:rFonts w:ascii="Arial" w:cs="Arial" w:eastAsia="Arial" w:hAnsi="Arial"/>
          <w:sz w:val="22"/>
          <w:szCs w:val="22"/>
          <w:color w:val="auto"/>
        </w:rPr>
        <w:t>” means any mortgage, pledge, hypothecation, collateral assignment,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instrument or arrangement having substantially the same economic effect as any of the foregoing).</w:t>
      </w:r>
    </w:p>
    <w:p>
      <w:pPr>
        <w:spacing w:after="0" w:line="158" w:lineRule="exact"/>
        <w:rPr>
          <w:sz w:val="20"/>
          <w:szCs w:val="20"/>
          <w:color w:val="auto"/>
        </w:rPr>
      </w:pPr>
    </w:p>
    <w:p>
      <w:pPr>
        <w:ind w:right="80"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Long Position</w:t>
      </w:r>
      <w:r>
        <w:rPr>
          <w:rFonts w:ascii="Arial" w:cs="Arial" w:eastAsia="Arial" w:hAnsi="Arial"/>
          <w:sz w:val="19"/>
          <w:szCs w:val="19"/>
          <w:color w:val="auto"/>
        </w:rPr>
        <w:t>” means, with respect to shares of any type, any option, warrant, convertible security, stock appreciation right, swap agreement or other security, contract right or derivative position, whether or not presently exercisable, in respect of such shares that is (i) a “call equivalent position” within the meaning of Rule 16a-1(b) of the Exchange Act, including any of the foregoing that would have been a “call equivalent position” but for the exclusion in Rule 16a-1(c)(6) of the Exchange Act, or</w:t>
      </w:r>
    </w:p>
    <w:p>
      <w:pPr>
        <w:spacing w:after="0" w:line="1" w:lineRule="exact"/>
        <w:rPr>
          <w:sz w:val="20"/>
          <w:szCs w:val="20"/>
          <w:color w:val="auto"/>
        </w:rPr>
      </w:pPr>
    </w:p>
    <w:p>
      <w:pPr>
        <w:ind w:right="20" w:firstLine="8"/>
        <w:spacing w:after="0" w:line="217" w:lineRule="auto"/>
        <w:tabs>
          <w:tab w:leader="none" w:pos="318" w:val="left"/>
        </w:tabs>
        <w:numPr>
          <w:ilvl w:val="0"/>
          <w:numId w:val="38"/>
        </w:numPr>
        <w:rPr>
          <w:rFonts w:ascii="Arial" w:cs="Arial" w:eastAsia="Arial" w:hAnsi="Arial"/>
          <w:sz w:val="22"/>
          <w:szCs w:val="22"/>
          <w:color w:val="auto"/>
        </w:rPr>
      </w:pPr>
      <w:r>
        <w:rPr>
          <w:rFonts w:ascii="Arial" w:cs="Arial" w:eastAsia="Arial" w:hAnsi="Arial"/>
          <w:sz w:val="22"/>
          <w:szCs w:val="22"/>
          <w:color w:val="auto"/>
        </w:rPr>
        <w:t>otherwise constitutes an economic long position in respect of such shares in each case as determined by Calculation Agent by reference to any publicly available information issued by the relevant Issuer or the relevant holder of such position (or an Affiliate thereof or a member of a group therewith), any publicly available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00"/>
          </w:cols>
          <w:pgMar w:left="320" w:top="1440" w:right="379" w:bottom="1440" w:gutter="0" w:footer="0" w:header="0"/>
        </w:sectPr>
      </w:pPr>
    </w:p>
    <w:bookmarkStart w:id="79" w:name="page80"/>
    <w:bookmarkEnd w:id="79"/>
    <w:p>
      <w:pPr>
        <w:spacing w:after="0" w:line="200" w:lineRule="exact"/>
        <w:rPr>
          <w:sz w:val="20"/>
          <w:szCs w:val="20"/>
          <w:color w:val="auto"/>
        </w:rPr>
      </w:pPr>
    </w:p>
    <w:p>
      <w:pPr>
        <w:spacing w:after="0" w:line="234" w:lineRule="exact"/>
        <w:rPr>
          <w:sz w:val="20"/>
          <w:szCs w:val="20"/>
          <w:color w:val="auto"/>
        </w:rPr>
      </w:pPr>
    </w:p>
    <w:p>
      <w:pPr>
        <w:ind w:right="140"/>
        <w:spacing w:after="0" w:line="232" w:lineRule="auto"/>
        <w:rPr>
          <w:sz w:val="20"/>
          <w:szCs w:val="20"/>
          <w:color w:val="auto"/>
        </w:rPr>
      </w:pPr>
      <w:r>
        <w:rPr>
          <w:rFonts w:ascii="Arial" w:cs="Arial" w:eastAsia="Arial" w:hAnsi="Arial"/>
          <w:sz w:val="22"/>
          <w:szCs w:val="22"/>
          <w:color w:val="auto"/>
        </w:rPr>
        <w:t>with, or order, decree, notice or other release or publication of, any Governmental Authority and/or any other publicly available information Calculation Agent reasonably deems relevant.</w:t>
      </w:r>
    </w:p>
    <w:p>
      <w:pPr>
        <w:spacing w:after="0" w:line="159" w:lineRule="exact"/>
        <w:rPr>
          <w:sz w:val="20"/>
          <w:szCs w:val="20"/>
          <w:color w:val="auto"/>
        </w:rPr>
      </w:pPr>
    </w:p>
    <w:p>
      <w:pPr>
        <w:ind w:right="3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LTV Level</w:t>
      </w:r>
      <w:r>
        <w:rPr>
          <w:rFonts w:ascii="Arial" w:cs="Arial" w:eastAsia="Arial" w:hAnsi="Arial"/>
          <w:sz w:val="22"/>
          <w:szCs w:val="22"/>
          <w:color w:val="auto"/>
        </w:rPr>
        <w:t xml:space="preserve">” means, at any time, the quotient (expressed as a percentage) of (i) the Net Obligations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(ii) the Aggregate Collateral Share Value, in each case, at such time.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Maintenance LTV Level</w:t>
      </w:r>
      <w:r>
        <w:rPr>
          <w:rFonts w:ascii="Arial" w:cs="Arial" w:eastAsia="Arial" w:hAnsi="Arial"/>
          <w:sz w:val="22"/>
          <w:szCs w:val="22"/>
          <w:color w:val="auto"/>
        </w:rPr>
        <w:t>” has the meaning specified in the Fee and Ratio Letter.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Mandatory Prepayment Event</w:t>
      </w:r>
      <w:r>
        <w:rPr>
          <w:rFonts w:ascii="Arial" w:cs="Arial" w:eastAsia="Arial" w:hAnsi="Arial"/>
          <w:sz w:val="22"/>
          <w:szCs w:val="22"/>
          <w:color w:val="auto"/>
        </w:rPr>
        <w:t>” means any of the following:</w:t>
      </w:r>
    </w:p>
    <w:p>
      <w:pPr>
        <w:spacing w:after="0" w:line="179" w:lineRule="exact"/>
        <w:rPr>
          <w:sz w:val="20"/>
          <w:szCs w:val="20"/>
          <w:color w:val="auto"/>
        </w:rPr>
      </w:pPr>
    </w:p>
    <w:p>
      <w:pPr>
        <w:ind w:left="1720" w:hanging="416"/>
        <w:spacing w:after="0"/>
        <w:tabs>
          <w:tab w:leader="none" w:pos="172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 Trading Suspension;</w:t>
      </w:r>
    </w:p>
    <w:p>
      <w:pPr>
        <w:spacing w:after="0" w:line="179" w:lineRule="exact"/>
        <w:rPr>
          <w:rFonts w:ascii="Arial" w:cs="Arial" w:eastAsia="Arial" w:hAnsi="Arial"/>
          <w:sz w:val="22"/>
          <w:szCs w:val="22"/>
          <w:color w:val="auto"/>
        </w:rPr>
      </w:pPr>
    </w:p>
    <w:p>
      <w:pPr>
        <w:ind w:left="660" w:firstLine="644"/>
        <w:spacing w:after="0" w:line="252" w:lineRule="auto"/>
        <w:tabs>
          <w:tab w:leader="none" w:pos="1788"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at any time, the price per Share of any Share Type on the applicable Exchange, </w:t>
      </w:r>
      <w:r>
        <w:rPr>
          <w:rFonts w:ascii="Arial" w:cs="Arial" w:eastAsia="Arial" w:hAnsi="Arial"/>
          <w:sz w:val="19"/>
          <w:szCs w:val="19"/>
          <w:i w:val="1"/>
          <w:iCs w:val="1"/>
          <w:color w:val="auto"/>
        </w:rPr>
        <w:t>plus</w:t>
      </w:r>
      <w:r>
        <w:rPr>
          <w:rFonts w:ascii="Arial" w:cs="Arial" w:eastAsia="Arial" w:hAnsi="Arial"/>
          <w:sz w:val="19"/>
          <w:szCs w:val="19"/>
          <w:color w:val="auto"/>
        </w:rPr>
        <w:t>, solely during the period beginning on the ex-dividend date for any Ordinary Cash Dividend thereon and ending on the date such Ordinary Cash Dividend is paid or when Calculation Agent determines in good faith that such Ordinary Cash Dividend will not be paid, the net Dollar value of such Ordinary Cash Dividend (after giving effect to any withholding, deduction or other reduction in the amount thereof, as applicable), is less than the applicable Threshold Price;</w:t>
      </w:r>
    </w:p>
    <w:p>
      <w:pPr>
        <w:spacing w:after="0" w:line="148" w:lineRule="exact"/>
        <w:rPr>
          <w:rFonts w:ascii="Arial" w:cs="Arial" w:eastAsia="Arial" w:hAnsi="Arial"/>
          <w:sz w:val="19"/>
          <w:szCs w:val="19"/>
          <w:color w:val="auto"/>
        </w:rPr>
      </w:pPr>
    </w:p>
    <w:p>
      <w:pPr>
        <w:ind w:left="660" w:right="80" w:firstLine="644"/>
        <w:spacing w:after="0" w:line="252" w:lineRule="auto"/>
        <w:tabs>
          <w:tab w:leader="none" w:pos="1848"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occurrence of the consummation or completion of any Merger Event, or Change of Control of an Issuer or a Borrower, including any Merger Event or Change of Control following a Tender Offer (other than an intercompany reorganization, as determined by Calculation Agent), Nationalization or Delisting, or delivery of notice by a Borrower to Administrative Agent of any transaction or event, or series of transactions or events, that, if consummated, completed or effected, could reasonably be expected to constitute or result in any of the foregoing;</w:t>
      </w:r>
    </w:p>
    <w:p>
      <w:pPr>
        <w:spacing w:after="0" w:line="148" w:lineRule="exact"/>
        <w:rPr>
          <w:rFonts w:ascii="Arial" w:cs="Arial" w:eastAsia="Arial" w:hAnsi="Arial"/>
          <w:sz w:val="19"/>
          <w:szCs w:val="19"/>
          <w:color w:val="auto"/>
        </w:rPr>
      </w:pPr>
    </w:p>
    <w:p>
      <w:pPr>
        <w:ind w:left="660" w:right="160" w:firstLine="644"/>
        <w:spacing w:after="0" w:line="223" w:lineRule="auto"/>
        <w:tabs>
          <w:tab w:leader="none" w:pos="1836" w:val="left"/>
        </w:tabs>
        <w:numPr>
          <w:ilvl w:val="0"/>
          <w:numId w:val="39"/>
        </w:numPr>
        <w:rPr>
          <w:rFonts w:ascii="Arial" w:cs="Arial" w:eastAsia="Arial" w:hAnsi="Arial"/>
          <w:sz w:val="22"/>
          <w:szCs w:val="22"/>
          <w:color w:val="auto"/>
        </w:rPr>
      </w:pPr>
      <w:r>
        <w:rPr>
          <w:rFonts w:ascii="Arial" w:cs="Arial" w:eastAsia="Arial" w:hAnsi="Arial"/>
          <w:sz w:val="22"/>
          <w:szCs w:val="22"/>
          <w:color w:val="auto"/>
        </w:rPr>
        <w:t>any Facility Adjustment Event or Potential Facility Adjustment Event occurs and Calculation Agent reasonably determines that no adjustment could be made to the terms of the Facility pursuant to Section 9.01 that would produce a commercially reasonable result;</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at any time, the Free Float Percentage of the Shares of any Share Type is less than the Threshold Percentage;</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161" w:lineRule="exact"/>
        <w:rPr>
          <w:rFonts w:ascii="Arial" w:cs="Arial" w:eastAsia="Arial" w:hAnsi="Arial"/>
          <w:sz w:val="19"/>
          <w:szCs w:val="19"/>
          <w:color w:val="auto"/>
        </w:rPr>
      </w:pPr>
    </w:p>
    <w:p>
      <w:pPr>
        <w:ind w:left="1880" w:hanging="576"/>
        <w:spacing w:after="0"/>
        <w:tabs>
          <w:tab w:leader="none" w:pos="18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 Regulatory Event occurs.</w:t>
      </w:r>
    </w:p>
    <w:p>
      <w:pPr>
        <w:spacing w:after="0" w:line="17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Margin Loan Documentation</w:t>
      </w:r>
      <w:r>
        <w:rPr>
          <w:rFonts w:ascii="Arial" w:cs="Arial" w:eastAsia="Arial" w:hAnsi="Arial"/>
          <w:sz w:val="19"/>
          <w:szCs w:val="19"/>
          <w:color w:val="auto"/>
        </w:rPr>
        <w:t>” means, collectively, this Agreement, the First Incremental Facility Amendment, the Second Incremental Facility Amendment, the Third Amendment, the Fourth Amendment, the Fee and Ratio Letter, the Security Agreement, each Control Agreement, each Issuer Agreement, any Borrowing Notice, the Guarantee Agreement and each agreement or instrument delivered pursuant to the foregoing (including, without limitation, Section 2.17 and Section 5.09).</w:t>
      </w:r>
    </w:p>
    <w:p>
      <w:pPr>
        <w:spacing w:after="0" w:line="144" w:lineRule="exact"/>
        <w:rPr>
          <w:sz w:val="20"/>
          <w:szCs w:val="20"/>
          <w:color w:val="auto"/>
        </w:rPr>
      </w:pPr>
    </w:p>
    <w:p>
      <w:pPr>
        <w:ind w:right="1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Market Disruption Event</w:t>
      </w:r>
      <w:r>
        <w:rPr>
          <w:rFonts w:ascii="Arial" w:cs="Arial" w:eastAsia="Arial" w:hAnsi="Arial"/>
          <w:sz w:val="22"/>
          <w:szCs w:val="22"/>
          <w:color w:val="auto"/>
        </w:rPr>
        <w:t>” means an Early Closure, an Exchange Disruption, or a Trading Disruption, or any failure of the Exchange to open on any Scheduled Trading Day.</w:t>
      </w:r>
    </w:p>
    <w:p>
      <w:pPr>
        <w:spacing w:after="0" w:line="159" w:lineRule="exact"/>
        <w:rPr>
          <w:sz w:val="20"/>
          <w:szCs w:val="20"/>
          <w:color w:val="auto"/>
        </w:rPr>
      </w:pPr>
    </w:p>
    <w:p>
      <w:pPr>
        <w:ind w:right="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Market Price</w:t>
      </w:r>
      <w:r>
        <w:rPr>
          <w:rFonts w:ascii="Arial" w:cs="Arial" w:eastAsia="Arial" w:hAnsi="Arial"/>
          <w:sz w:val="22"/>
          <w:szCs w:val="22"/>
          <w:color w:val="auto"/>
        </w:rPr>
        <w:t>” means, at any time, (i) if the relevant determination is being made after the scheduled close of trading on the Exchange on any Scheduled Trading Day, with respect to the Shares of any Share Type, the closing price per Share of such Share Type on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180"/>
          </w:cols>
          <w:pgMar w:left="320" w:top="1440" w:right="399" w:bottom="1440" w:gutter="0" w:footer="0" w:header="0"/>
        </w:sectPr>
      </w:pPr>
    </w:p>
    <w:bookmarkStart w:id="80" w:name="page81"/>
    <w:bookmarkEnd w:id="80"/>
    <w:p>
      <w:pPr>
        <w:spacing w:after="0" w:line="200" w:lineRule="exact"/>
        <w:rPr>
          <w:sz w:val="20"/>
          <w:szCs w:val="20"/>
          <w:color w:val="auto"/>
        </w:rPr>
      </w:pPr>
    </w:p>
    <w:p>
      <w:pPr>
        <w:spacing w:after="0" w:line="234" w:lineRule="exact"/>
        <w:rPr>
          <w:sz w:val="20"/>
          <w:szCs w:val="20"/>
          <w:color w:val="auto"/>
        </w:rPr>
      </w:pPr>
    </w:p>
    <w:p>
      <w:pPr>
        <w:ind w:right="60"/>
        <w:spacing w:after="0" w:line="221" w:lineRule="auto"/>
        <w:rPr>
          <w:sz w:val="20"/>
          <w:szCs w:val="20"/>
          <w:color w:val="auto"/>
        </w:rPr>
      </w:pPr>
      <w:r>
        <w:rPr>
          <w:rFonts w:ascii="Arial" w:cs="Arial" w:eastAsia="Arial" w:hAnsi="Arial"/>
          <w:sz w:val="21"/>
          <w:szCs w:val="21"/>
          <w:color w:val="auto"/>
        </w:rPr>
        <w:t xml:space="preserve">on such Scheduled Trading Day, and (ii) otherwise, (x) with respect to the CDAY Shares, the closing price per CDAY Share on the Exchange on the immediately preceding Scheduled Trading Day, as reported on Bloomberg Page “CDAY” (or, any successor or replacement reporting entity or page selected by Calculation Agent) and (y) with respect to the DNB Shares, the closing price per DNB Share on the Exchange on the immediately preceding Scheduled Trading Day, as reported on Bloomberg Page “DNB” (or, any successor or replacement reporting entity or page selected by Calculation Agent);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with respect to any Scheduled Trading Day that is a partial Disrupted Day due to an intra-day Trading Disruption or Exchange Disruption relating to the Shares of any Share Type, the “Market Price” shall be the last price at which transactions in the Shares of such Share Type were effected on the Exchange.</w:t>
      </w:r>
    </w:p>
    <w:p>
      <w:pPr>
        <w:spacing w:after="0" w:line="165" w:lineRule="exact"/>
        <w:rPr>
          <w:sz w:val="20"/>
          <w:szCs w:val="20"/>
          <w:color w:val="auto"/>
        </w:rPr>
      </w:pPr>
    </w:p>
    <w:p>
      <w:pPr>
        <w:ind w:right="440"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Material Adverse Effect</w:t>
      </w:r>
      <w:r>
        <w:rPr>
          <w:rFonts w:ascii="Arial" w:cs="Arial" w:eastAsia="Arial" w:hAnsi="Arial"/>
          <w:sz w:val="21"/>
          <w:szCs w:val="21"/>
          <w:color w:val="auto"/>
        </w:rPr>
        <w:t>” means a material adverse effect on (a) with respect to a Borrower, the business, assets, liabilities and financial operations, or condition, financial or otherwise, of such Borrower, (b) the ability of such Borrower or Guarantor to perform any of its obligations under the Margin Loan Documentation, or (c) the Collateral, or an Applicable Lender’s Liens on the Collateral or the priority of such Liens.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Indebtedness</w:t>
      </w:r>
      <w:r>
        <w:rPr>
          <w:rFonts w:ascii="Arial" w:cs="Arial" w:eastAsia="Arial" w:hAnsi="Arial"/>
          <w:sz w:val="22"/>
          <w:szCs w:val="22"/>
          <w:color w:val="auto"/>
        </w:rPr>
        <w:t>” means all Indebtedness in excess of the Threshold Amount.</w:t>
      </w:r>
    </w:p>
    <w:p>
      <w:pPr>
        <w:spacing w:after="0" w:line="179" w:lineRule="exact"/>
        <w:rPr>
          <w:sz w:val="20"/>
          <w:szCs w:val="20"/>
          <w:color w:val="auto"/>
        </w:rPr>
      </w:pPr>
    </w:p>
    <w:p>
      <w:pPr>
        <w:jc w:val="both"/>
        <w:ind w:right="60" w:firstLine="648"/>
        <w:spacing w:after="0" w:line="21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Nonpublic Information</w:t>
      </w:r>
      <w:r>
        <w:rPr>
          <w:rFonts w:ascii="Arial" w:cs="Arial" w:eastAsia="Arial" w:hAnsi="Arial"/>
          <w:sz w:val="22"/>
          <w:szCs w:val="22"/>
          <w:color w:val="auto"/>
        </w:rPr>
        <w:t>” means information (i) that has not been disseminated in a manner making it available to investors generally, within the meaning of Regulation FD and (ii) to which an investor would reasonably attach importance in reaching a decision to buy, sell or hold any Shares.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Maturity Date</w:t>
      </w:r>
      <w:r>
        <w:rPr>
          <w:rFonts w:ascii="Arial" w:cs="Arial" w:eastAsia="Arial" w:hAnsi="Arial"/>
          <w:sz w:val="19"/>
          <w:szCs w:val="19"/>
          <w:color w:val="auto"/>
        </w:rPr>
        <w:t>” means the Scheduled Maturity Date or any earlier date on which the Advances become due and payable.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Maximum Rate</w:t>
      </w:r>
      <w:r>
        <w:rPr>
          <w:rFonts w:ascii="Arial" w:cs="Arial" w:eastAsia="Arial" w:hAnsi="Arial"/>
          <w:sz w:val="22"/>
          <w:szCs w:val="22"/>
          <w:color w:val="auto"/>
        </w:rPr>
        <w:t>” has the meaning specified in Section 9.16.</w:t>
      </w:r>
    </w:p>
    <w:p>
      <w:pPr>
        <w:spacing w:after="0" w:line="179" w:lineRule="exact"/>
        <w:rPr>
          <w:sz w:val="20"/>
          <w:szCs w:val="20"/>
          <w:color w:val="auto"/>
        </w:rPr>
      </w:pPr>
    </w:p>
    <w:p>
      <w:pPr>
        <w:ind w:right="1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Maximum Share Number</w:t>
      </w:r>
      <w:r>
        <w:rPr>
          <w:rFonts w:ascii="Arial" w:cs="Arial" w:eastAsia="Arial" w:hAnsi="Arial"/>
          <w:sz w:val="22"/>
          <w:szCs w:val="22"/>
          <w:color w:val="auto"/>
        </w:rPr>
        <w:t>” means (x) in respect of CDAY Shares, 10,000,000 CDAY Shares and (y) in respect of DNB Shares, 35,000,000 DNB Shares.</w:t>
      </w:r>
    </w:p>
    <w:p>
      <w:pPr>
        <w:spacing w:after="0" w:line="159"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Merger Event</w:t>
      </w:r>
      <w:r>
        <w:rPr>
          <w:rFonts w:ascii="Arial" w:cs="Arial" w:eastAsia="Arial" w:hAnsi="Arial"/>
          <w:sz w:val="19"/>
          <w:szCs w:val="19"/>
          <w:color w:val="auto"/>
        </w:rPr>
        <w:t>” means any transaction or event, or series of related transaction(s) and/or event(s), that is, or results in, or would, if consummated, result in, (i) a reclassification or change of the Shares of any Share Type that results in a transfer of or an irrevocable commitment to transfer all of the outstanding Shares of such Share Type to another Person or (ii) (A) a consolidation, amalgamation, merger or binding share exchange of an Issuer with or into, or a sale or other disposition of all or substantially all of an Issuer’s consolidated assets to, another Person (other than a consolidation, amalgamation, merger or binding share exchange in which an Issuer is the continuing Person and the Shares of such Issuer are not exchanged for, or converted into, any other securities or property), or (B) any acquisition or similar transaction (including pursuant to a consolidation, amalgamation, merger or binding share exchange) by an Issuer or any Subsidiary thereof, excluding (a) any transaction between such Issuer and any of its wholly-owned Subsidiaries or among any such wholly-owned Subsidiaries and (b) any transaction for which (x) such Issuer or the relevant Subsidiary is the continuing Person and the Shares of such Issuer are not exchanged for, or converted into, any other securities or property, and (y) the enterprise value of the Person or Persons being acquired (or, in the case of an acquisition of assets, the fair market value thereof) is less than 50% of the enterprise value of such Issuer, in each case, as of the date on which the transaction is announced and as reasonably determined by Calculation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20"/>
          </w:cols>
          <w:pgMar w:left="320" w:top="1440" w:right="359" w:bottom="1440" w:gutter="0" w:footer="0" w:header="0"/>
        </w:sectPr>
      </w:pPr>
    </w:p>
    <w:bookmarkStart w:id="81" w:name="page82"/>
    <w:bookmarkEnd w:id="81"/>
    <w:p>
      <w:pPr>
        <w:spacing w:after="0" w:line="200" w:lineRule="exact"/>
        <w:rPr>
          <w:sz w:val="20"/>
          <w:szCs w:val="20"/>
          <w:color w:val="auto"/>
        </w:rPr>
      </w:pPr>
    </w:p>
    <w:p>
      <w:pPr>
        <w:spacing w:after="0" w:line="234" w:lineRule="exact"/>
        <w:rPr>
          <w:sz w:val="20"/>
          <w:szCs w:val="20"/>
          <w:color w:val="auto"/>
        </w:rPr>
      </w:pPr>
    </w:p>
    <w:p>
      <w:pPr>
        <w:ind w:right="86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Nationalization</w:t>
      </w:r>
      <w:r>
        <w:rPr>
          <w:rFonts w:ascii="Arial" w:cs="Arial" w:eastAsia="Arial" w:hAnsi="Arial"/>
          <w:sz w:val="19"/>
          <w:szCs w:val="19"/>
          <w:color w:val="auto"/>
        </w:rPr>
        <w:t>” means any Governmental Authority shall have condemned, nationalized, seized, or otherwise expropriated all or any substantial part of the property, shares of capital stock or equity or other assets of an Issuer.</w:t>
      </w:r>
    </w:p>
    <w:p>
      <w:pPr>
        <w:spacing w:after="0" w:line="105"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 Obligations</w:t>
      </w:r>
      <w:r>
        <w:rPr>
          <w:rFonts w:ascii="Arial" w:cs="Arial" w:eastAsia="Arial" w:hAnsi="Arial"/>
          <w:sz w:val="22"/>
          <w:szCs w:val="22"/>
          <w:color w:val="auto"/>
        </w:rPr>
        <w:t xml:space="preserve">” means, at any time, (i) the Total Accrued Loan Amount </w:t>
      </w:r>
      <w:r>
        <w:rPr>
          <w:rFonts w:ascii="Arial" w:cs="Arial" w:eastAsia="Arial" w:hAnsi="Arial"/>
          <w:sz w:val="22"/>
          <w:szCs w:val="22"/>
          <w:i w:val="1"/>
          <w:iCs w:val="1"/>
          <w:color w:val="auto"/>
        </w:rPr>
        <w:t>less</w:t>
      </w:r>
      <w:r>
        <w:rPr>
          <w:rFonts w:ascii="Arial" w:cs="Arial" w:eastAsia="Arial" w:hAnsi="Arial"/>
          <w:sz w:val="22"/>
          <w:szCs w:val="22"/>
          <w:color w:val="auto"/>
        </w:rPr>
        <w:t xml:space="preserve"> (ii) the sum of (a) the face amount of Cash constituting Acceptable Collateral and (b) 99% of the aggregate Value of Cash Equivalents constituting Acceptable Collateral, in each case, at such time.</w:t>
      </w:r>
    </w:p>
    <w:p>
      <w:pPr>
        <w:spacing w:after="0" w:line="159" w:lineRule="exact"/>
        <w:rPr>
          <w:sz w:val="20"/>
          <w:szCs w:val="20"/>
          <w:color w:val="auto"/>
        </w:rPr>
      </w:pPr>
    </w:p>
    <w:p>
      <w:pPr>
        <w:ind w:right="4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Net PIK Amount</w:t>
      </w:r>
      <w:r>
        <w:rPr>
          <w:rFonts w:ascii="Arial" w:cs="Arial" w:eastAsia="Arial" w:hAnsi="Arial"/>
          <w:sz w:val="21"/>
          <w:szCs w:val="21"/>
          <w:color w:val="auto"/>
        </w:rPr>
        <w:t>” means, initially zero (0) Dollars, (i) as increased, from time to time, by the aggregate amount of any interest paid in kind pursuant to the first sentence of Section 2.05(a), and (ii) as reduced from time to time, but not below zero (0) Dollars, by the aggregate amount of any prepayment of principal pursuant to Section 2.08(a).</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Notice Deadline</w:t>
      </w:r>
      <w:r>
        <w:rPr>
          <w:rFonts w:ascii="Arial" w:cs="Arial" w:eastAsia="Arial" w:hAnsi="Arial"/>
          <w:sz w:val="22"/>
          <w:szCs w:val="22"/>
          <w:color w:val="auto"/>
        </w:rPr>
        <w:t>” has the meaning specified in Section 2.08(c).</w:t>
      </w:r>
    </w:p>
    <w:p>
      <w:pPr>
        <w:spacing w:after="0" w:line="206" w:lineRule="exact"/>
        <w:rPr>
          <w:sz w:val="20"/>
          <w:szCs w:val="20"/>
          <w:color w:val="auto"/>
        </w:rPr>
      </w:pPr>
    </w:p>
    <w:p>
      <w:pPr>
        <w:ind w:right="60"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Obligations</w:t>
      </w:r>
      <w:r>
        <w:rPr>
          <w:rFonts w:ascii="Arial" w:cs="Arial" w:eastAsia="Arial" w:hAnsi="Arial"/>
          <w:sz w:val="19"/>
          <w:szCs w:val="19"/>
          <w:color w:val="auto"/>
        </w:rPr>
        <w:t>” means (a) all Advances to, and all debts, liabilities, obligations, covenants, indemnifications, and duties of, any Borrower arising under any Margin Loan Documentation or otherwise with respect to the Advances, in each case, whether direct or indirect (including those acquired by assumption), absolute or contingent, due or to become due, now existing or hereafter arising and including interest and fees that accrue after the commencement by or against any Borrower of any proceeding under any Debtor Relief Laws naming such Borrower as the debtor in such proceeding, regardless of whether such interest and fees are allowed claims in such proceeding and (b) all Erroneous Payment Subrogation Rights.</w:t>
      </w:r>
    </w:p>
    <w:p>
      <w:pPr>
        <w:spacing w:after="0" w:line="152" w:lineRule="exact"/>
        <w:rPr>
          <w:sz w:val="20"/>
          <w:szCs w:val="20"/>
          <w:color w:val="auto"/>
        </w:rPr>
      </w:pPr>
    </w:p>
    <w:p>
      <w:pPr>
        <w:ind w:right="48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Ordinary Cash Dividends</w:t>
      </w:r>
      <w:r>
        <w:rPr>
          <w:rFonts w:ascii="Arial" w:cs="Arial" w:eastAsia="Arial" w:hAnsi="Arial"/>
          <w:sz w:val="22"/>
          <w:szCs w:val="22"/>
          <w:color w:val="auto"/>
        </w:rPr>
        <w:t>” means, with respect to any calendar period, quarterly, annual or periodic cash dividends announced by an Issuer as the regular periodic cash dividend for such period.</w:t>
      </w:r>
    </w:p>
    <w:p>
      <w:pPr>
        <w:spacing w:after="0" w:line="159" w:lineRule="exact"/>
        <w:rPr>
          <w:sz w:val="20"/>
          <w:szCs w:val="20"/>
          <w:color w:val="auto"/>
        </w:rPr>
      </w:pPr>
    </w:p>
    <w:p>
      <w:pPr>
        <w:ind w:right="100" w:firstLine="648"/>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Organization Documents</w:t>
      </w:r>
      <w:r>
        <w:rPr>
          <w:rFonts w:ascii="Arial" w:cs="Arial" w:eastAsia="Arial" w:hAnsi="Arial"/>
          <w:sz w:val="22"/>
          <w:szCs w:val="22"/>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the limited liability company agreement or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Original Lender</w:t>
      </w:r>
      <w:r>
        <w:rPr>
          <w:rFonts w:ascii="Arial" w:cs="Arial" w:eastAsia="Arial" w:hAnsi="Arial"/>
          <w:sz w:val="22"/>
          <w:szCs w:val="22"/>
          <w:color w:val="auto"/>
        </w:rPr>
        <w:t>” means any Lender who was a party to this Agreement as of the Closing Date.</w:t>
      </w:r>
    </w:p>
    <w:p>
      <w:pPr>
        <w:spacing w:after="0" w:line="179"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Connection Taxes</w:t>
      </w:r>
      <w:r>
        <w:rPr>
          <w:rFonts w:ascii="Arial" w:cs="Arial" w:eastAsia="Arial" w:hAnsi="Arial"/>
          <w:sz w:val="22"/>
          <w:szCs w:val="22"/>
          <w:color w:val="auto"/>
        </w:rPr>
        <w:t>” means Taxes imposed as a result of a present or former connection between any Lender and the jurisdiction imposing such Tax (other than connections arising from such Lender having executed, delivered, become a party to, performed its obligations under, received payments under, received or perfected a security interest under, engaged in any other transaction pursuant to or enforced any Margin Loan Documentation, or sold or assigned an interest in any Advance or Margin Loan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20"/>
          </w:cols>
          <w:pgMar w:left="320" w:top="1440" w:right="359" w:bottom="1440" w:gutter="0" w:footer="0" w:header="0"/>
        </w:sectPr>
      </w:pPr>
    </w:p>
    <w:bookmarkStart w:id="82" w:name="page83"/>
    <w:bookmarkEnd w:id="82"/>
    <w:p>
      <w:pPr>
        <w:spacing w:after="0" w:line="200" w:lineRule="exact"/>
        <w:rPr>
          <w:sz w:val="20"/>
          <w:szCs w:val="20"/>
          <w:color w:val="auto"/>
        </w:rPr>
      </w:pPr>
    </w:p>
    <w:p>
      <w:pPr>
        <w:spacing w:after="0" w:line="234" w:lineRule="exact"/>
        <w:rPr>
          <w:sz w:val="20"/>
          <w:szCs w:val="20"/>
          <w:color w:val="auto"/>
        </w:rPr>
      </w:pPr>
    </w:p>
    <w:p>
      <w:pPr>
        <w:jc w:val="both"/>
        <w:ind w:right="120"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Other Taxes</w:t>
      </w:r>
      <w:r>
        <w:rPr>
          <w:rFonts w:ascii="Arial" w:cs="Arial" w:eastAsia="Arial" w:hAnsi="Arial"/>
          <w:sz w:val="21"/>
          <w:szCs w:val="21"/>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Margin Loan Documentation, except any such Taxes that are Other Connection Taxes imposed with respect to an assignment.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Patriot Act</w:t>
      </w:r>
      <w:r>
        <w:rPr>
          <w:rFonts w:ascii="Arial" w:cs="Arial" w:eastAsia="Arial" w:hAnsi="Arial"/>
          <w:sz w:val="22"/>
          <w:szCs w:val="22"/>
          <w:color w:val="auto"/>
        </w:rPr>
        <w:t>” has the meaning specified in Section 9.15.</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has the meaning specified in Section 9.07(b).</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 Register</w:t>
      </w:r>
      <w:r>
        <w:rPr>
          <w:rFonts w:ascii="Arial" w:cs="Arial" w:eastAsia="Arial" w:hAnsi="Arial"/>
          <w:sz w:val="22"/>
          <w:szCs w:val="22"/>
          <w:i w:val="1"/>
          <w:iCs w:val="1"/>
          <w:color w:val="auto"/>
        </w:rPr>
        <w:t>”</w:t>
      </w:r>
      <w:r>
        <w:rPr>
          <w:rFonts w:ascii="Arial" w:cs="Arial" w:eastAsia="Arial" w:hAnsi="Arial"/>
          <w:sz w:val="22"/>
          <w:szCs w:val="22"/>
          <w:color w:val="auto"/>
        </w:rPr>
        <w:t xml:space="preserve"> has the meaning specified in Section 9.07(c).</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Payment Recipient</w:t>
      </w:r>
      <w:r>
        <w:rPr>
          <w:rFonts w:ascii="Arial" w:cs="Arial" w:eastAsia="Arial" w:hAnsi="Arial"/>
          <w:sz w:val="22"/>
          <w:szCs w:val="22"/>
          <w:color w:val="auto"/>
        </w:rPr>
        <w:t>” has the meaning assigned to it in Section 2.19(a).</w:t>
      </w:r>
    </w:p>
    <w:p>
      <w:pPr>
        <w:spacing w:after="0" w:line="193" w:lineRule="exact"/>
        <w:rPr>
          <w:sz w:val="20"/>
          <w:szCs w:val="20"/>
          <w:color w:val="auto"/>
        </w:rPr>
      </w:pPr>
    </w:p>
    <w:p>
      <w:pPr>
        <w:ind w:right="2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Pension Plan</w:t>
      </w:r>
      <w:r>
        <w:rPr>
          <w:rFonts w:ascii="Arial" w:cs="Arial" w:eastAsia="Arial" w:hAnsi="Arial"/>
          <w:sz w:val="22"/>
          <w:szCs w:val="22"/>
          <w:color w:val="auto"/>
        </w:rPr>
        <w:t>” means, with respect to a Borrower, any Employee Benefit Plan that is subject to Title IV of ERISA, Section 412 of the Code or Section 302 of ERISA which is or was sponsored, maintained or contributed to by, or required to be contributed to by, such Borrower or any of its ERISA Affiliates.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Collateral Share Sale</w:t>
      </w:r>
      <w:r>
        <w:rPr>
          <w:rFonts w:ascii="Arial" w:cs="Arial" w:eastAsia="Arial" w:hAnsi="Arial"/>
          <w:sz w:val="22"/>
          <w:szCs w:val="22"/>
          <w:color w:val="auto"/>
        </w:rPr>
        <w:t>” has the meaning specified in Section 2.08(d)(ii).</w:t>
      </w:r>
    </w:p>
    <w:p>
      <w:pPr>
        <w:spacing w:after="0" w:line="179"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Liens</w:t>
      </w:r>
      <w:r>
        <w:rPr>
          <w:rFonts w:ascii="Arial" w:cs="Arial" w:eastAsia="Arial" w:hAnsi="Arial"/>
          <w:sz w:val="22"/>
          <w:szCs w:val="22"/>
          <w:color w:val="auto"/>
        </w:rPr>
        <w:t xml:space="preserve">” means (a) Liens imposed by Law for Taxes that are not yet due;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Collateral would be reasonably expected to become subject to forfeiture or loss as a result of such Lien, (b) Liens granted to any Applicable Lender or Custodian pursuant to the Margin Loan Documentation, (c) Liens permitted under the applicable Control Agreement arising under the Custodian’s standard terms and conditions in connection with the account opening process solely with respect to the Collateral Accounts, (d) Liens routinely imposed on all securities by the facilities of DTC or the Exchange and (e) any Lien deemed to result solely from the imposition of a Permitted Transfer Restriction of the type described in clause (c) of the definition thereof.</w:t>
      </w:r>
    </w:p>
    <w:p>
      <w:pPr>
        <w:spacing w:after="0" w:line="164" w:lineRule="exact"/>
        <w:rPr>
          <w:sz w:val="20"/>
          <w:szCs w:val="20"/>
          <w:color w:val="auto"/>
        </w:rPr>
      </w:pPr>
    </w:p>
    <w:p>
      <w:pPr>
        <w:ind w:right="1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Transactions</w:t>
      </w:r>
      <w:r>
        <w:rPr>
          <w:rFonts w:ascii="Arial" w:cs="Arial" w:eastAsia="Arial" w:hAnsi="Arial"/>
          <w:sz w:val="22"/>
          <w:szCs w:val="22"/>
          <w:color w:val="auto"/>
        </w:rPr>
        <w:t>” means, so long as no Default, Event of Default, or Mandatory Prepayment Event has occurred and is continuing:</w:t>
      </w:r>
    </w:p>
    <w:p>
      <w:pPr>
        <w:spacing w:after="0" w:line="159" w:lineRule="exact"/>
        <w:rPr>
          <w:sz w:val="20"/>
          <w:szCs w:val="20"/>
          <w:color w:val="auto"/>
        </w:rPr>
      </w:pPr>
    </w:p>
    <w:p>
      <w:pPr>
        <w:ind w:left="1940" w:hanging="636"/>
        <w:spacing w:after="0"/>
        <w:tabs>
          <w:tab w:leader="none" w:pos="19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Permitted Collateral Share Sale;</w:t>
      </w:r>
    </w:p>
    <w:p>
      <w:pPr>
        <w:spacing w:after="0" w:line="179" w:lineRule="exact"/>
        <w:rPr>
          <w:rFonts w:ascii="Arial" w:cs="Arial" w:eastAsia="Arial" w:hAnsi="Arial"/>
          <w:sz w:val="22"/>
          <w:szCs w:val="22"/>
          <w:color w:val="auto"/>
        </w:rPr>
      </w:pPr>
    </w:p>
    <w:p>
      <w:pPr>
        <w:ind w:left="660" w:right="80" w:firstLine="644"/>
        <w:spacing w:after="0" w:line="244" w:lineRule="auto"/>
        <w:tabs>
          <w:tab w:leader="none" w:pos="1951"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the issuance, by an Affiliate of Borrower, of Indebtedness exchangeable into or with a payout referencing any Shares;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the aggregate number of Shares of any Share Type issuable upon any exchange of and/or otherwise underlying any such Indebtedness shall at all times be less than or equal to the number of Shares of such Share Type owned by the Borrowers and Affiliates of the Borrowers that do not constitute Collateral Shares and any related capped call option (or substantively equivalent derivative transaction) relating to the Shares purchased in connection with the issuance of such Indebtedness and (y) the LTV Level immediately prior to and immediately following such issuance of Indebtedness is less than, or equal to, the Maintenance LTV Level;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purchase price for such capped call transaction does not exceed the net proceeds received by the issuer of such Indebtedness from the issuance of such Indebtedness;</w:t>
      </w:r>
    </w:p>
    <w:p>
      <w:pPr>
        <w:spacing w:after="0" w:line="160" w:lineRule="exact"/>
        <w:rPr>
          <w:rFonts w:ascii="Arial" w:cs="Arial" w:eastAsia="Arial" w:hAnsi="Arial"/>
          <w:sz w:val="19"/>
          <w:szCs w:val="19"/>
          <w:color w:val="auto"/>
        </w:rPr>
      </w:pPr>
    </w:p>
    <w:p>
      <w:pPr>
        <w:ind w:left="660" w:right="80" w:firstLine="644"/>
        <w:spacing w:after="0" w:line="232" w:lineRule="auto"/>
        <w:tabs>
          <w:tab w:leader="none" w:pos="1953"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any “collar”, “funded collar”, “variable prepaid forward” or similar transaction;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(x) any sales of Shares to establish any “hedge position”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83" w:name="page84"/>
    <w:bookmarkEnd w:id="83"/>
    <w:p>
      <w:pPr>
        <w:spacing w:after="0" w:line="200" w:lineRule="exact"/>
        <w:rPr>
          <w:sz w:val="20"/>
          <w:szCs w:val="20"/>
          <w:color w:val="auto"/>
        </w:rPr>
      </w:pPr>
    </w:p>
    <w:p>
      <w:pPr>
        <w:spacing w:after="0" w:line="234" w:lineRule="exact"/>
        <w:rPr>
          <w:sz w:val="20"/>
          <w:szCs w:val="20"/>
          <w:color w:val="auto"/>
        </w:rPr>
      </w:pPr>
    </w:p>
    <w:p>
      <w:pPr>
        <w:jc w:val="both"/>
        <w:ind w:left="660" w:right="540"/>
        <w:spacing w:after="0" w:line="223" w:lineRule="auto"/>
        <w:rPr>
          <w:sz w:val="20"/>
          <w:szCs w:val="20"/>
          <w:color w:val="auto"/>
        </w:rPr>
      </w:pPr>
      <w:r>
        <w:rPr>
          <w:rFonts w:ascii="Arial" w:cs="Arial" w:eastAsia="Arial" w:hAnsi="Arial"/>
          <w:sz w:val="22"/>
          <w:szCs w:val="22"/>
          <w:color w:val="auto"/>
        </w:rPr>
        <w:t>respect to such transaction complies with the requirements of clause (d) below and (y) to the extent such transaction relates to Collateral Shares, such Collateral Shares are released from the Collateral Accounts in compliance with the requirements of Section 2.08(d)(ii);</w:t>
      </w:r>
    </w:p>
    <w:p>
      <w:pPr>
        <w:spacing w:after="0" w:line="159" w:lineRule="exact"/>
        <w:rPr>
          <w:sz w:val="20"/>
          <w:szCs w:val="20"/>
          <w:color w:val="auto"/>
        </w:rPr>
      </w:pPr>
    </w:p>
    <w:p>
      <w:pPr>
        <w:ind w:left="660" w:right="40" w:firstLine="644"/>
        <w:spacing w:after="0" w:line="241" w:lineRule="auto"/>
        <w:tabs>
          <w:tab w:leader="none" w:pos="1951" w:val="left"/>
        </w:tabs>
        <w:numPr>
          <w:ilvl w:val="0"/>
          <w:numId w:val="41"/>
        </w:numPr>
        <w:rPr>
          <w:rFonts w:ascii="Arial" w:cs="Arial" w:eastAsia="Arial" w:hAnsi="Arial"/>
          <w:sz w:val="19"/>
          <w:szCs w:val="19"/>
          <w:color w:val="auto"/>
        </w:rPr>
      </w:pPr>
      <w:r>
        <w:rPr>
          <w:rFonts w:ascii="Arial" w:cs="Arial" w:eastAsia="Arial" w:hAnsi="Arial"/>
          <w:sz w:val="19"/>
          <w:szCs w:val="19"/>
          <w:color w:val="auto"/>
        </w:rPr>
        <w:t>a sale of Shares that do not constitute Collateral Shares for Cash by an Affiliate of a Borrower at fair market value and on an arm’s length basis, as long as (x) the LTV Level immediately prior to such sale is less than, or equal to, the Maintenance LTV Level or (y) a sufficient number of Collateral Shares are sold concurrently, consistent with the requirements for a Permitted Collateral Share Sale, such that the LTV Level immediately following such sale and the receipt of the proceeds into the Collateral Accounts is less than or equal to the Maintenance LTV Level; and</w:t>
      </w:r>
    </w:p>
    <w:p>
      <w:pPr>
        <w:spacing w:after="0" w:line="1" w:lineRule="exact"/>
        <w:rPr>
          <w:rFonts w:ascii="Arial" w:cs="Arial" w:eastAsia="Arial" w:hAnsi="Arial"/>
          <w:sz w:val="19"/>
          <w:szCs w:val="19"/>
          <w:color w:val="auto"/>
        </w:rPr>
      </w:pPr>
    </w:p>
    <w:p>
      <w:pPr>
        <w:ind w:left="660" w:right="100" w:firstLine="644"/>
        <w:spacing w:after="0" w:line="242" w:lineRule="auto"/>
        <w:tabs>
          <w:tab w:leader="none" w:pos="1953"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agreements to (x) “lock-up” Shares that do not constitute Collateral Shares or (y) vote, tender or otherwise deliver Shares (including, for the avoidance of doubt, in connection with an agreement entered into by a Borrower or any Affiliate of a Borrower in it capacity as a shareholder of the relevant Issuer in connection with a Tender Offer, a transaction which, when consummated, will constitute a Merger Event, Change of Control or a sale permitted by immediately preceding clause (d), in connection with which a Mandatory Prepayment Event will occur upon consummation of the sale or transfer contemplated by such agreement), to the extent such agreement does not (1) breach Sections 6.02 or 6.12 or (2) impose Transfer Restrictions on any Collateral Shares other than Permitted Transfer Restrictions;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such agreement relates to a transaction involving the release of any Collateral Shares from the Collateral Accounts, the requirements of Section 2.08(d)(ii) are complied with.</w:t>
      </w:r>
    </w:p>
    <w:p>
      <w:pPr>
        <w:spacing w:after="0" w:line="159" w:lineRule="exact"/>
        <w:rPr>
          <w:sz w:val="20"/>
          <w:szCs w:val="20"/>
          <w:color w:val="auto"/>
        </w:rPr>
      </w:pPr>
    </w:p>
    <w:p>
      <w:pPr>
        <w:ind w:right="280" w:firstLine="648"/>
        <w:spacing w:after="0" w:line="247" w:lineRule="auto"/>
        <w:rPr>
          <w:sz w:val="20"/>
          <w:szCs w:val="20"/>
          <w:color w:val="auto"/>
        </w:rPr>
      </w:pPr>
      <w:r>
        <w:rPr>
          <w:rFonts w:ascii="Arial" w:cs="Arial" w:eastAsia="Arial" w:hAnsi="Arial"/>
          <w:sz w:val="19"/>
          <w:szCs w:val="19"/>
          <w:color w:val="auto"/>
        </w:rPr>
        <w:t>Notwithstanding anything to the contrary herein, the Lenders shall have been provided (i) commercially reasonable advance notice of the intent of a Borrower to enter into any transaction described in immediately preceding clauses (a) through</w:t>
      </w:r>
    </w:p>
    <w:p>
      <w:pPr>
        <w:ind w:right="120" w:firstLine="8"/>
        <w:spacing w:after="0" w:line="224" w:lineRule="auto"/>
        <w:tabs>
          <w:tab w:leader="none" w:pos="306" w:val="left"/>
        </w:tabs>
        <w:numPr>
          <w:ilvl w:val="0"/>
          <w:numId w:val="42"/>
        </w:numPr>
        <w:rPr>
          <w:rFonts w:ascii="Arial" w:cs="Arial" w:eastAsia="Arial" w:hAnsi="Arial"/>
          <w:sz w:val="22"/>
          <w:szCs w:val="22"/>
          <w:color w:val="auto"/>
        </w:rPr>
      </w:pPr>
      <w:r>
        <w:rPr>
          <w:rFonts w:ascii="Arial" w:cs="Arial" w:eastAsia="Arial" w:hAnsi="Arial"/>
          <w:sz w:val="22"/>
          <w:szCs w:val="22"/>
          <w:color w:val="auto"/>
        </w:rPr>
        <w:t>above and (ii) a commercially reasonable opportunity to propose terms on which the Lenders would be willing to enter into a similar transaction with such Borrower.</w:t>
      </w:r>
    </w:p>
    <w:p>
      <w:pPr>
        <w:spacing w:after="0" w:line="158" w:lineRule="exact"/>
        <w:rPr>
          <w:sz w:val="20"/>
          <w:szCs w:val="20"/>
          <w:color w:val="auto"/>
        </w:rPr>
      </w:pPr>
    </w:p>
    <w:p>
      <w:pPr>
        <w:ind w:firstLine="648"/>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Transfer Restrictions</w:t>
      </w:r>
      <w:r>
        <w:rPr>
          <w:rFonts w:ascii="Arial" w:cs="Arial" w:eastAsia="Arial" w:hAnsi="Arial"/>
          <w:sz w:val="19"/>
          <w:szCs w:val="19"/>
          <w:color w:val="auto"/>
        </w:rPr>
        <w:t>” means (a) the DNB Existing Transfer Restrictions, (b) the CDAY Existing Transfer Restrictions, (c) any Transfer Restrictions expressly set forth in Section 2 of the Issuer Agreements or (d) any other Transfer Restriction on the Collateral Shares that expressly acknowledges and permits the pledge of the Collateral Shares and the Lender’s rights and remedies under the Margin Loan Documentation, including the foreclosure over any Collateral Shares, a copy of which (or the relevant portion thereof) has been provided to each Lender prior to its effectiveness.</w:t>
      </w:r>
    </w:p>
    <w:p>
      <w:pPr>
        <w:spacing w:after="0" w:line="149" w:lineRule="exact"/>
        <w:rPr>
          <w:sz w:val="20"/>
          <w:szCs w:val="20"/>
          <w:color w:val="auto"/>
        </w:rPr>
      </w:pPr>
    </w:p>
    <w:p>
      <w:pPr>
        <w:ind w:right="420" w:firstLine="648"/>
        <w:spacing w:after="0" w:line="232" w:lineRule="auto"/>
        <w:rPr>
          <w:sz w:val="20"/>
          <w:szCs w:val="20"/>
          <w:color w:val="auto"/>
        </w:rPr>
      </w:pP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natural person, corporation, limited liability company, trust, joint venture, association, company,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partnership, Governmental Authority or other entity.</w:t>
      </w:r>
    </w:p>
    <w:p>
      <w:pPr>
        <w:spacing w:after="0" w:line="159" w:lineRule="exact"/>
        <w:rPr>
          <w:sz w:val="20"/>
          <w:szCs w:val="20"/>
          <w:color w:val="auto"/>
        </w:rPr>
      </w:pPr>
    </w:p>
    <w:p>
      <w:pPr>
        <w:ind w:right="2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Asset Regulation</w:t>
      </w:r>
      <w:r>
        <w:rPr>
          <w:rFonts w:ascii="Arial" w:cs="Arial" w:eastAsia="Arial" w:hAnsi="Arial"/>
          <w:sz w:val="22"/>
          <w:szCs w:val="22"/>
          <w:color w:val="auto"/>
        </w:rPr>
        <w:t>” means Department of Labor Regulation 29 C.F.R. Section 2510.3-101, as modified by Section 3(42) of ERISA.</w:t>
      </w:r>
    </w:p>
    <w:p>
      <w:pPr>
        <w:spacing w:after="0" w:line="159" w:lineRule="exact"/>
        <w:rPr>
          <w:sz w:val="20"/>
          <w:szCs w:val="20"/>
          <w:color w:val="auto"/>
        </w:rPr>
      </w:pPr>
    </w:p>
    <w:p>
      <w:pPr>
        <w:ind w:right="50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Potential Facility Adjustment Event</w:t>
      </w:r>
      <w:r>
        <w:rPr>
          <w:rFonts w:ascii="Arial" w:cs="Arial" w:eastAsia="Arial" w:hAnsi="Arial"/>
          <w:sz w:val="21"/>
          <w:szCs w:val="21"/>
          <w:color w:val="auto"/>
        </w:rPr>
        <w:t>” means the announcement by any Person of any transaction or event that, if consummated, completed or effected, would constitute a Facility Adjustment Event, or of any material change therein or the termination or abandonment thereof, all as reasonably determined by Calculation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00" w:lineRule="exact"/>
        <w:rPr>
          <w:sz w:val="20"/>
          <w:szCs w:val="20"/>
          <w:color w:val="auto"/>
        </w:rPr>
      </w:pPr>
    </w:p>
    <w:p>
      <w:pPr>
        <w:spacing w:after="0" w:line="234" w:lineRule="exact"/>
        <w:rPr>
          <w:sz w:val="20"/>
          <w:szCs w:val="20"/>
          <w:color w:val="auto"/>
        </w:rPr>
      </w:pPr>
    </w:p>
    <w:p>
      <w:pPr>
        <w:ind w:right="18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Prime Rate</w:t>
      </w:r>
      <w:r>
        <w:rPr>
          <w:rFonts w:ascii="Arial" w:cs="Arial" w:eastAsia="Arial" w:hAnsi="Arial"/>
          <w:sz w:val="22"/>
          <w:szCs w:val="22"/>
          <w:color w:val="auto"/>
        </w:rPr>
        <w:t>” means the rate of interest per annum publicly announced from time to time by Administrative Agent as its prime rate; each change in the Prime Rate shall be effective from and including the date such change is publicly announced as being effective.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Prohibited Transaction</w:t>
      </w:r>
      <w:r>
        <w:rPr>
          <w:rFonts w:ascii="Arial" w:cs="Arial" w:eastAsia="Arial" w:hAnsi="Arial"/>
          <w:sz w:val="22"/>
          <w:szCs w:val="22"/>
          <w:color w:val="auto"/>
        </w:rPr>
        <w:t>” has the meaning specified in Section 6.11.</w:t>
      </w:r>
    </w:p>
    <w:p>
      <w:pPr>
        <w:spacing w:after="0" w:line="179" w:lineRule="exact"/>
        <w:rPr>
          <w:sz w:val="20"/>
          <w:szCs w:val="20"/>
          <w:color w:val="auto"/>
        </w:rPr>
      </w:pPr>
    </w:p>
    <w:p>
      <w:pPr>
        <w:ind w:right="60"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 Rata Basis</w:t>
      </w:r>
      <w:r>
        <w:rPr>
          <w:rFonts w:ascii="Arial" w:cs="Arial" w:eastAsia="Arial" w:hAnsi="Arial"/>
          <w:sz w:val="19"/>
          <w:szCs w:val="19"/>
          <w:color w:val="auto"/>
        </w:rPr>
        <w:t>” means (i) for purposes of determining the allocation of Collateral of any type among the Collateral Accounts controlled by the Applicable Lenders, in proportion to each Applicable Lender’s Rebalancing Percentage (in each case, taken together with the Rebalancing Percentage of all Agented Lenders with respect to such Applicable Lender), (ii) for purposes of determining the allocation of interest payments among Lenders, in proportion to the interest that has accrued and remains unpaid on each Lender’s Advances and (iii) for all other purposes, in proportion to each Lender’s Applicable Percentage, subject, in each case, to rounding to the nearest Share, $ 0.01 or item or unit of other securities or property, as applicable.</w:t>
      </w:r>
    </w:p>
    <w:p>
      <w:pPr>
        <w:spacing w:after="0" w:line="165"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Purchaser Representations</w:t>
      </w:r>
      <w:r>
        <w:rPr>
          <w:rFonts w:ascii="Arial" w:cs="Arial" w:eastAsia="Arial" w:hAnsi="Arial"/>
          <w:sz w:val="19"/>
          <w:szCs w:val="19"/>
          <w:color w:val="auto"/>
        </w:rPr>
        <w:t xml:space="preserve">” means the following representations, warranties and agreements made by an assignee, a participant or a prospective Additional Lender, as applicable: (i) a representation and warranty that such assignee, participant or prospective Additional Lender is a QIB, a QP and an “accredited investor” as defined in Section 2(a)(15)(ii) of the Securities Act and is entering into such assignment, participation or Incremental Commitment as principal and not for the benefit of any third party, (ii) a representation that such assignee, participant or prospective Additional Lender is not a Borrower, an Issuer or an Affiliate of a Borrower or an Issuer, (iii) an acknowledgment that such assignee, participant or prospective Additional Lender fully understands any restrictions on transfers, sales and other dispositions in the Margin Loan Documentation or relating to any Collateral consisting of the Shares, (iv) an acknowledgment that such assignee, participant or prospective Additional Lender is able to bear the economic risk of its investment in the participation and is currently able to afford a complete loss of such investment, (v) a covenant that such assignee, participant or prospective Additional Lender will only assign its Advances or sell its participation or participations therein pursuant to documentation including such Purchaser Representations, (vi) an acknowledgment by such assignee, participant or prospective Additional Lender that the Collateral Shares forming part of the Collateral cannot be sold by Borrowers without registration under, or in a transaction exempt from the registration requirements under, the Securities Act, (vii) an acknowledgment that such assignee, participant or prospective Additional Lender is not entering into such assignment, participation or Incremental Commitment on the basis of any Material Nonpublic Information with respect to Borrowers, Issuers, their Subsidiaries or their securities, and, if applicable, it has implemented reasonable policies and procedures, taking into consideration the nature of its business, to ensure that individuals making investment decisions would not violate the laws prohibiting trading on the basis of Material Nonpublic Information (it being understood that such assignee, participant or prospective Additional Lender may have Material Nonpublic Information on the private side of its information wall, sometimes referred to as a “Chinese Wall,” at the time of such assignment, participation or Incremental Commitment);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for the avoidance of doubt, Material Nonpublic Information concerning Borrowers, Issuers, their Subsidiaries or</w:t>
      </w:r>
      <w:r>
        <w:rPr>
          <w:rFonts w:ascii="Arial" w:cs="Arial" w:eastAsia="Arial" w:hAnsi="Arial"/>
          <w:sz w:val="19"/>
          <w:szCs w:val="19"/>
          <w:i w:val="1"/>
          <w:iCs w:val="1"/>
          <w:color w:val="auto"/>
        </w:rPr>
        <w:t xml:space="preserve"> </w:t>
      </w:r>
      <w:r>
        <w:rPr>
          <w:rFonts w:ascii="Arial" w:cs="Arial" w:eastAsia="Arial" w:hAnsi="Arial"/>
          <w:sz w:val="19"/>
          <w:szCs w:val="19"/>
          <w:color w:val="auto"/>
        </w:rPr>
        <w:t>their securities shall not include any information made available to both the assignee and the assignor, both the participant and the seller of a participation interest or both the existing Lenders and the prospective Additional Lender, as the case may be, and (viii) an acknowledgment that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00" w:lineRule="exact"/>
        <w:rPr>
          <w:sz w:val="20"/>
          <w:szCs w:val="20"/>
          <w:color w:val="auto"/>
        </w:rPr>
      </w:pPr>
    </w:p>
    <w:p>
      <w:pPr>
        <w:spacing w:after="0" w:line="247"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has made an independent decision to purchase its Advances or participation based on information available to it, which it has determined adequate for the purpose.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QIB</w:t>
      </w:r>
      <w:r>
        <w:rPr>
          <w:rFonts w:ascii="Arial" w:cs="Arial" w:eastAsia="Arial" w:hAnsi="Arial"/>
          <w:sz w:val="22"/>
          <w:szCs w:val="22"/>
          <w:color w:val="auto"/>
        </w:rPr>
        <w:t>” means a “qualified institutional buyer” as defined in Rule 144A under the Securities Act.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QP</w:t>
      </w:r>
      <w:r>
        <w:rPr>
          <w:rFonts w:ascii="Arial" w:cs="Arial" w:eastAsia="Arial" w:hAnsi="Arial"/>
          <w:sz w:val="22"/>
          <w:szCs w:val="22"/>
          <w:color w:val="auto"/>
        </w:rPr>
        <w:t>” means a “qualified purchaser” within the meaning of Section 2(a)(51) of the Investment Company Act.</w:t>
      </w:r>
    </w:p>
    <w:p>
      <w:pPr>
        <w:spacing w:after="0" w:line="179" w:lineRule="exact"/>
        <w:rPr>
          <w:sz w:val="20"/>
          <w:szCs w:val="20"/>
          <w:color w:val="auto"/>
        </w:rPr>
      </w:pPr>
    </w:p>
    <w:p>
      <w:pPr>
        <w:ind w:firstLine="648"/>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Rebalancing Percentage</w:t>
      </w:r>
      <w:r>
        <w:rPr>
          <w:rFonts w:ascii="Arial" w:cs="Arial" w:eastAsia="Arial" w:hAnsi="Arial"/>
          <w:sz w:val="19"/>
          <w:szCs w:val="19"/>
          <w:color w:val="auto"/>
        </w:rPr>
        <w:t>” means, with respect to any Lender at any time, (a) the sum of (i) the aggregate principal amount of such Lender’s Advances and (ii) any accrued and unpaid interest on such Lender’s Advances divided by (b) the sum of</w:t>
      </w:r>
    </w:p>
    <w:p>
      <w:pPr>
        <w:jc w:val="both"/>
        <w:ind w:right="440" w:firstLine="8"/>
        <w:spacing w:after="0" w:line="217" w:lineRule="auto"/>
        <w:tabs>
          <w:tab w:leader="none" w:pos="258"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aggregate principal amount of the Advances owed to all Lenders and (ii) the aggregate amount of accrued and unpaid interest on all Advances; provided that if there are no outstanding Advances, “Rebalancing Percentage” shall be the Funding Percentage.</w:t>
      </w:r>
    </w:p>
    <w:p>
      <w:pPr>
        <w:spacing w:after="0" w:line="160" w:lineRule="exact"/>
        <w:rPr>
          <w:sz w:val="20"/>
          <w:szCs w:val="20"/>
          <w:color w:val="auto"/>
        </w:rPr>
      </w:pPr>
    </w:p>
    <w:p>
      <w:pPr>
        <w:jc w:val="both"/>
        <w:ind w:right="32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Reference Time</w:t>
      </w:r>
      <w:r>
        <w:rPr>
          <w:rFonts w:ascii="Arial" w:cs="Arial" w:eastAsia="Arial" w:hAnsi="Arial"/>
          <w:sz w:val="19"/>
          <w:szCs w:val="19"/>
          <w:color w:val="auto"/>
        </w:rPr>
        <w:t>” with respect to any setting of the then-current Benchmark means (1) if such Benchmark is the Term SOFR Rate, 5:00 a.m. (Chicago time) on the day that is two Business Days preceding the date of such setting, and (2) if such Benchmark is not the Term SOFR Rate, the time determined by the Administrative Agent in its reasonable discretion.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Register</w:t>
      </w:r>
      <w:r>
        <w:rPr>
          <w:rFonts w:ascii="Arial" w:cs="Arial" w:eastAsia="Arial" w:hAnsi="Arial"/>
          <w:sz w:val="22"/>
          <w:szCs w:val="22"/>
          <w:color w:val="auto"/>
        </w:rPr>
        <w:t>” has the meaning specified in Section 9.07(a).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Regulation T</w:t>
      </w:r>
      <w:r>
        <w:rPr>
          <w:rFonts w:ascii="Arial" w:cs="Arial" w:eastAsia="Arial" w:hAnsi="Arial"/>
          <w:sz w:val="22"/>
          <w:szCs w:val="22"/>
          <w:color w:val="auto"/>
        </w:rPr>
        <w:t>” means Regulation T issued by the FRB.</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Regulation U</w:t>
      </w:r>
      <w:r>
        <w:rPr>
          <w:rFonts w:ascii="Arial" w:cs="Arial" w:eastAsia="Arial" w:hAnsi="Arial"/>
          <w:sz w:val="22"/>
          <w:szCs w:val="22"/>
          <w:color w:val="auto"/>
        </w:rPr>
        <w:t>” means Regulation U issued by the FRB.</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Regulation X</w:t>
      </w:r>
      <w:r>
        <w:rPr>
          <w:rFonts w:ascii="Arial" w:cs="Arial" w:eastAsia="Arial" w:hAnsi="Arial"/>
          <w:sz w:val="22"/>
          <w:szCs w:val="22"/>
          <w:color w:val="auto"/>
        </w:rPr>
        <w:t>” means Regulation X issued by the FRB.</w:t>
      </w:r>
    </w:p>
    <w:p>
      <w:pPr>
        <w:spacing w:after="0" w:line="179" w:lineRule="exact"/>
        <w:rPr>
          <w:sz w:val="20"/>
          <w:szCs w:val="20"/>
          <w:color w:val="auto"/>
        </w:rPr>
      </w:pPr>
    </w:p>
    <w:p>
      <w:pPr>
        <w:ind w:right="4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Regulatory Event</w:t>
      </w:r>
      <w:r>
        <w:rPr>
          <w:rFonts w:ascii="Arial" w:cs="Arial" w:eastAsia="Arial" w:hAnsi="Arial"/>
          <w:sz w:val="22"/>
          <w:szCs w:val="22"/>
          <w:color w:val="auto"/>
        </w:rPr>
        <w:t>” means any investigation made by any Governmental Authority for violation or breach of Law by a Borrower or, prior to the Guarantee Termination Date, the Guarantor that, if adversely determined, would reasonably be expected to have a Material Adverse Effect.</w:t>
      </w:r>
    </w:p>
    <w:p>
      <w:pPr>
        <w:spacing w:after="0" w:line="159" w:lineRule="exact"/>
        <w:rPr>
          <w:sz w:val="20"/>
          <w:szCs w:val="20"/>
          <w:color w:val="auto"/>
        </w:rPr>
      </w:pPr>
    </w:p>
    <w:p>
      <w:pPr>
        <w:ind w:right="7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Related Parties</w:t>
      </w:r>
      <w:r>
        <w:rPr>
          <w:rFonts w:ascii="Arial" w:cs="Arial" w:eastAsia="Arial" w:hAnsi="Arial"/>
          <w:sz w:val="22"/>
          <w:szCs w:val="22"/>
          <w:color w:val="auto"/>
        </w:rPr>
        <w:t>” means, with respect to any Person, such Person’s Affiliates and the partners, directors, officers, employees, agents, trustees and advisors of such Person and of such Person’s Affiliates.</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Relevant Governmental Body</w:t>
      </w:r>
      <w:r>
        <w:rPr>
          <w:rFonts w:ascii="Arial" w:cs="Arial" w:eastAsia="Arial" w:hAnsi="Arial"/>
          <w:sz w:val="22"/>
          <w:szCs w:val="22"/>
          <w:color w:val="auto"/>
        </w:rPr>
        <w:t>” means the Board of Governors of the Federal Reserve System, the Federal Reserve Bank of New York or the CME Term SOFR Administrator, as applicable, or a committee officially endorsed or convened by the Board of Governors of the Federal Reserve System, the Federal Reserve Bank of New York and/or the CME Term SOFR Administrator, or, in each case, any successor thereto.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Requested Amount</w:t>
      </w:r>
      <w:r>
        <w:rPr>
          <w:rFonts w:ascii="Arial" w:cs="Arial" w:eastAsia="Arial" w:hAnsi="Arial"/>
          <w:sz w:val="22"/>
          <w:szCs w:val="22"/>
          <w:color w:val="auto"/>
        </w:rPr>
        <w:t>” has the meaning set forth in Section 2.02(a)(ii).</w:t>
      </w:r>
    </w:p>
    <w:p>
      <w:pPr>
        <w:spacing w:after="0" w:line="1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Required Lenders</w:t>
      </w:r>
      <w:r>
        <w:rPr>
          <w:rFonts w:ascii="Arial" w:cs="Arial" w:eastAsia="Arial" w:hAnsi="Arial"/>
          <w:sz w:val="19"/>
          <w:szCs w:val="19"/>
          <w:color w:val="auto"/>
        </w:rPr>
        <w:t xml:space="preserve">” means, at any time, Lenders with Applicable Percentages that in the aggregate exceed 50%, subject to Section 9.07(b);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purposes of calculating “Required Lenders”, (a) if a Lender (the “</w:t>
      </w:r>
      <w:r>
        <w:rPr>
          <w:rFonts w:ascii="Arial" w:cs="Arial" w:eastAsia="Arial" w:hAnsi="Arial"/>
          <w:sz w:val="19"/>
          <w:szCs w:val="19"/>
          <w:b w:val="1"/>
          <w:bCs w:val="1"/>
          <w:i w:val="1"/>
          <w:iCs w:val="1"/>
          <w:color w:val="auto"/>
        </w:rPr>
        <w:t>Assigning Lender</w:t>
      </w:r>
      <w:r>
        <w:rPr>
          <w:rFonts w:ascii="Arial" w:cs="Arial" w:eastAsia="Arial" w:hAnsi="Arial"/>
          <w:sz w:val="19"/>
          <w:szCs w:val="19"/>
          <w:color w:val="auto"/>
        </w:rPr>
        <w:t>”) has assigned any portion of its Advances to an Affiliate, such Affiliate shall vote its Advances (or related exposure thereto) in the same way as such Assigning Lender and the aggregate amount of all Advances held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20"/>
          </w:cols>
          <w:pgMar w:left="320" w:top="1440" w:right="359" w:bottom="1440" w:gutter="0" w:footer="0" w:header="0"/>
        </w:sectPr>
      </w:pPr>
    </w:p>
    <w:bookmarkStart w:id="86" w:name="page87"/>
    <w:bookmarkEnd w:id="86"/>
    <w:p>
      <w:pPr>
        <w:spacing w:after="0" w:line="200" w:lineRule="exact"/>
        <w:rPr>
          <w:sz w:val="20"/>
          <w:szCs w:val="20"/>
          <w:color w:val="auto"/>
        </w:rPr>
      </w:pPr>
    </w:p>
    <w:p>
      <w:pPr>
        <w:spacing w:after="0" w:line="234" w:lineRule="exact"/>
        <w:rPr>
          <w:sz w:val="20"/>
          <w:szCs w:val="20"/>
          <w:color w:val="auto"/>
        </w:rPr>
      </w:pPr>
    </w:p>
    <w:p>
      <w:pPr>
        <w:ind w:right="240"/>
        <w:spacing w:after="0" w:line="218" w:lineRule="auto"/>
        <w:rPr>
          <w:sz w:val="20"/>
          <w:szCs w:val="20"/>
          <w:color w:val="auto"/>
        </w:rPr>
      </w:pPr>
      <w:r>
        <w:rPr>
          <w:rFonts w:ascii="Arial" w:cs="Arial" w:eastAsia="Arial" w:hAnsi="Arial"/>
          <w:sz w:val="22"/>
          <w:szCs w:val="22"/>
          <w:color w:val="auto"/>
        </w:rPr>
        <w:t>Lender (or related exposure thereto) shall be voted in the same way and (b) with respect to a Lender that has entered into a participation or derivative hedging transaction which is permitted under Section 9.07(b) or Section 9.07(e), respectively, or any Lender hereunder (each, a “</w:t>
      </w:r>
      <w:r>
        <w:rPr>
          <w:rFonts w:ascii="Arial" w:cs="Arial" w:eastAsia="Arial" w:hAnsi="Arial"/>
          <w:sz w:val="22"/>
          <w:szCs w:val="22"/>
          <w:b w:val="1"/>
          <w:bCs w:val="1"/>
          <w:i w:val="1"/>
          <w:iCs w:val="1"/>
          <w:color w:val="auto"/>
        </w:rPr>
        <w:t>Lender of Record</w:t>
      </w:r>
      <w:r>
        <w:rPr>
          <w:rFonts w:ascii="Arial" w:cs="Arial" w:eastAsia="Arial" w:hAnsi="Arial"/>
          <w:sz w:val="22"/>
          <w:szCs w:val="22"/>
          <w:color w:val="auto"/>
        </w:rPr>
        <w:t>”), such Lender of Record shall only be entitled to vote its entire Applicable Percentage in one way and no split voting shall be permitted.</w:t>
      </w:r>
    </w:p>
    <w:p>
      <w:pPr>
        <w:spacing w:after="0" w:line="188" w:lineRule="exact"/>
        <w:rPr>
          <w:sz w:val="20"/>
          <w:szCs w:val="20"/>
          <w:color w:val="auto"/>
        </w:rPr>
      </w:pPr>
    </w:p>
    <w:p>
      <w:pPr>
        <w:ind w:right="4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Responsible Officer</w:t>
      </w:r>
      <w:r>
        <w:rPr>
          <w:rFonts w:ascii="Arial" w:cs="Arial" w:eastAsia="Arial" w:hAnsi="Arial"/>
          <w:sz w:val="22"/>
          <w:szCs w:val="22"/>
          <w:color w:val="auto"/>
        </w:rPr>
        <w:t>” means (i) with respect to a Borrower, any manager, member or officer of such Borrower or (ii) with respect to Guarantor, any officer of Guarantor.</w:t>
      </w:r>
    </w:p>
    <w:p>
      <w:pPr>
        <w:spacing w:after="0" w:line="159"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Payment</w:t>
      </w:r>
      <w:r>
        <w:rPr>
          <w:rFonts w:ascii="Arial" w:cs="Arial" w:eastAsia="Arial" w:hAnsi="Arial"/>
          <w:sz w:val="22"/>
          <w:szCs w:val="22"/>
          <w:color w:val="auto"/>
        </w:rPr>
        <w:t>” means, with respect to any Person, (i) any dividend or other distribution (whether in cash, securities or other property) with respect to any Equity Interests in such Person, (ii) any payment (whether in cash, securities or other property), including any sinking fund or similar deposit, on account of the purchase, redemption, retirement, acquisition, cancellation or termination of any such Equity Interests in such Person or (iii) any option, warrant or other right to acquire any such Equity Interests in such Person.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 144</w:t>
      </w:r>
      <w:r>
        <w:rPr>
          <w:rFonts w:ascii="Arial" w:cs="Arial" w:eastAsia="Arial" w:hAnsi="Arial"/>
          <w:sz w:val="22"/>
          <w:szCs w:val="22"/>
          <w:color w:val="auto"/>
        </w:rPr>
        <w:t>” means Rule 144 under the Securities Act.</w:t>
      </w:r>
    </w:p>
    <w:p>
      <w:pPr>
        <w:spacing w:after="0" w:line="179" w:lineRule="exact"/>
        <w:rPr>
          <w:sz w:val="20"/>
          <w:szCs w:val="20"/>
          <w:color w:val="auto"/>
        </w:rPr>
      </w:pPr>
    </w:p>
    <w:p>
      <w:pPr>
        <w:ind w:right="4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Sanctions</w:t>
      </w:r>
      <w:r>
        <w:rPr>
          <w:rFonts w:ascii="Arial" w:cs="Arial" w:eastAsia="Arial" w:hAnsi="Arial"/>
          <w:sz w:val="22"/>
          <w:szCs w:val="22"/>
          <w:color w:val="auto"/>
        </w:rPr>
        <w:t>” means economic or financial sanctions or trade embargoes imposed, administered or enforced from time to time by the U.S. government, including those administered by the Office of Foreign Assets Control of the U.S. Department of the Treasury or the U.S. Department of State.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Sanctioned Country</w:t>
      </w:r>
      <w:r>
        <w:rPr>
          <w:rFonts w:ascii="Arial" w:cs="Arial" w:eastAsia="Arial" w:hAnsi="Arial"/>
          <w:sz w:val="19"/>
          <w:szCs w:val="19"/>
          <w:color w:val="auto"/>
        </w:rPr>
        <w:t>” means, at any time, a country or territory which is the subject or target of territorial Sanctions.</w:t>
      </w:r>
    </w:p>
    <w:p>
      <w:pPr>
        <w:spacing w:after="0" w:line="214"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Sanctioned Person</w:t>
      </w:r>
      <w:r>
        <w:rPr>
          <w:rFonts w:ascii="Arial" w:cs="Arial" w:eastAsia="Arial" w:hAnsi="Arial"/>
          <w:sz w:val="22"/>
          <w:szCs w:val="22"/>
          <w:color w:val="auto"/>
        </w:rPr>
        <w:t>” means, at any time, (a) any Person listed in any Sanctions-related list of designated Persons maintained by the Office of Foreign Assets Control of the U.S. Department of the Treasury or the U.S. Department of State, or any Person directly or indirectly 50 percent (50%) or more owned by any such Person, (b) any Person located, organized or resident in a Sanctioned Country or (c) any Governmental Authority of any Sanctioned Country or any entity owned or controlled by any such Governmental Authority.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Scheduled Maturity Date</w:t>
      </w:r>
      <w:r>
        <w:rPr>
          <w:rFonts w:ascii="Arial" w:cs="Arial" w:eastAsia="Arial" w:hAnsi="Arial"/>
          <w:sz w:val="22"/>
          <w:szCs w:val="22"/>
          <w:color w:val="auto"/>
        </w:rPr>
        <w:t>” means the 36-month anniversary of the Closing Date.</w:t>
      </w:r>
    </w:p>
    <w:p>
      <w:pPr>
        <w:spacing w:after="0" w:line="179" w:lineRule="exact"/>
        <w:rPr>
          <w:sz w:val="20"/>
          <w:szCs w:val="20"/>
          <w:color w:val="auto"/>
        </w:rPr>
      </w:pPr>
    </w:p>
    <w:p>
      <w:pPr>
        <w:jc w:val="both"/>
        <w:ind w:right="2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Scheduled Trading Day</w:t>
      </w:r>
      <w:r>
        <w:rPr>
          <w:rFonts w:ascii="Arial" w:cs="Arial" w:eastAsia="Arial" w:hAnsi="Arial"/>
          <w:sz w:val="22"/>
          <w:szCs w:val="22"/>
          <w:color w:val="auto"/>
        </w:rPr>
        <w:t>” means any day on which the Exchange for the Shares of each Share Type is scheduled to be open for trading for its regular trading session or, in the event that the Shares of a Share Type of are not listed, traded or quoted on any Designated Exchange, any Business Day.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Second Increase Effective Date</w:t>
      </w:r>
      <w:r>
        <w:rPr>
          <w:rFonts w:ascii="Arial" w:cs="Arial" w:eastAsia="Arial" w:hAnsi="Arial"/>
          <w:sz w:val="22"/>
          <w:szCs w:val="22"/>
          <w:color w:val="auto"/>
        </w:rPr>
        <w:t>” means December 10, 2021.</w:t>
      </w:r>
    </w:p>
    <w:p>
      <w:pPr>
        <w:spacing w:after="0" w:line="179" w:lineRule="exact"/>
        <w:rPr>
          <w:sz w:val="20"/>
          <w:szCs w:val="20"/>
          <w:color w:val="auto"/>
        </w:rPr>
      </w:pPr>
    </w:p>
    <w:p>
      <w:pPr>
        <w:ind w:right="6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Second Incremental Commitment</w:t>
      </w:r>
      <w:r>
        <w:rPr>
          <w:rFonts w:ascii="Arial" w:cs="Arial" w:eastAsia="Arial" w:hAnsi="Arial"/>
          <w:sz w:val="22"/>
          <w:szCs w:val="22"/>
          <w:color w:val="auto"/>
        </w:rPr>
        <w:t>” means the Incremental Commitment of the applicable Lenders pursuant to the Second Incremental Facility Amendment.</w:t>
      </w:r>
    </w:p>
    <w:p>
      <w:pPr>
        <w:spacing w:after="0" w:line="159" w:lineRule="exact"/>
        <w:rPr>
          <w:sz w:val="20"/>
          <w:szCs w:val="20"/>
          <w:color w:val="auto"/>
        </w:rPr>
      </w:pPr>
    </w:p>
    <w:p>
      <w:pPr>
        <w:ind w:right="62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Second Incremental Facility Amendment</w:t>
      </w:r>
      <w:r>
        <w:rPr>
          <w:rFonts w:ascii="Arial" w:cs="Arial" w:eastAsia="Arial" w:hAnsi="Arial"/>
          <w:sz w:val="19"/>
          <w:szCs w:val="19"/>
          <w:color w:val="auto"/>
        </w:rPr>
        <w:t>” means Amendment Agreement No. 2, dated as of the Second Increase Effective Date, among Borrowers, the Lenders party thereto, Administrative Agent and Calculation Agent.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Second Incremental Facility Upfront Fee</w:t>
      </w:r>
      <w:r>
        <w:rPr>
          <w:rFonts w:ascii="Arial" w:cs="Arial" w:eastAsia="Arial" w:hAnsi="Arial"/>
          <w:sz w:val="22"/>
          <w:szCs w:val="22"/>
          <w:color w:val="auto"/>
        </w:rPr>
        <w:t>” has the meaning assigned to it in Section 2.06(a).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means the U.S. Securities Act of 1933, as amended.</w:t>
      </w:r>
    </w:p>
    <w:p>
      <w:pPr>
        <w:spacing w:after="0" w:line="179" w:lineRule="exact"/>
        <w:rPr>
          <w:sz w:val="20"/>
          <w:szCs w:val="20"/>
          <w:color w:val="auto"/>
        </w:rPr>
      </w:pPr>
    </w:p>
    <w:p>
      <w:pPr>
        <w:ind w:right="2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Security Agreement</w:t>
      </w:r>
      <w:r>
        <w:rPr>
          <w:rFonts w:ascii="Arial" w:cs="Arial" w:eastAsia="Arial" w:hAnsi="Arial"/>
          <w:sz w:val="19"/>
          <w:szCs w:val="19"/>
          <w:color w:val="auto"/>
        </w:rPr>
        <w:t>” means that certain Pledge and Security Agreement, dated as of the Closing Date, among the Borrowers, as grantors, Royal Bank of Canada, as administrative agent for the Lenders, and each Applicable Lender, as collateral agent for the benefit of itself, the Agents, the Agented Lenders and each other Applicable Lender, in the form of Exhibit B.</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Set-off Party</w:t>
      </w:r>
      <w:r>
        <w:rPr>
          <w:rFonts w:ascii="Arial" w:cs="Arial" w:eastAsia="Arial" w:hAnsi="Arial"/>
          <w:sz w:val="22"/>
          <w:szCs w:val="22"/>
          <w:color w:val="auto"/>
        </w:rPr>
        <w:t>” has the meaning specified in Section 9.13.</w:t>
      </w:r>
    </w:p>
    <w:p>
      <w:pPr>
        <w:spacing w:after="0" w:line="179" w:lineRule="exact"/>
        <w:rPr>
          <w:sz w:val="20"/>
          <w:szCs w:val="20"/>
          <w:color w:val="auto"/>
        </w:rPr>
      </w:pPr>
    </w:p>
    <w:p>
      <w:pPr>
        <w:ind w:right="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 Collateral Value</w:t>
      </w:r>
      <w:r>
        <w:rPr>
          <w:rFonts w:ascii="Arial" w:cs="Arial" w:eastAsia="Arial" w:hAnsi="Arial"/>
          <w:sz w:val="22"/>
          <w:szCs w:val="22"/>
          <w:color w:val="auto"/>
        </w:rPr>
        <w:t>” means at any time, with respect to any Share Type, the product of (x) the Market Price for such Share Type and (y) the number of Shares of such Share Type that constitute Acceptable Collateral.</w:t>
      </w:r>
    </w:p>
    <w:p>
      <w:pPr>
        <w:spacing w:after="0" w:line="159" w:lineRule="exact"/>
        <w:rPr>
          <w:sz w:val="20"/>
          <w:szCs w:val="20"/>
          <w:color w:val="auto"/>
        </w:rPr>
      </w:pPr>
    </w:p>
    <w:p>
      <w:pPr>
        <w:ind w:right="28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Share Type</w:t>
      </w:r>
      <w:r>
        <w:rPr>
          <w:rFonts w:ascii="Arial" w:cs="Arial" w:eastAsia="Arial" w:hAnsi="Arial"/>
          <w:sz w:val="21"/>
          <w:szCs w:val="21"/>
          <w:color w:val="auto"/>
        </w:rPr>
        <w:t>” means, collectively, all of the Shares that are issued by the same obligor. For the avoidance of doubt, the CDAY Shares shall constitute a Share Type and the DNB Shares shall constitute another Share Type.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means, collectively, the CDAY Shares and the DNB Shares.</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SOFR</w:t>
      </w:r>
      <w:r>
        <w:rPr>
          <w:rFonts w:ascii="Arial" w:cs="Arial" w:eastAsia="Arial" w:hAnsi="Arial"/>
          <w:sz w:val="22"/>
          <w:szCs w:val="22"/>
          <w:color w:val="auto"/>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SOFR Administrator</w:t>
      </w:r>
      <w:r>
        <w:rPr>
          <w:rFonts w:ascii="Arial" w:cs="Arial" w:eastAsia="Arial" w:hAnsi="Arial"/>
          <w:sz w:val="21"/>
          <w:szCs w:val="21"/>
          <w:color w:val="auto"/>
        </w:rPr>
        <w:t>” means the NYFRB (or a successor administrator of the secured overnight financing rate).</w:t>
      </w:r>
    </w:p>
    <w:p>
      <w:pPr>
        <w:spacing w:after="0" w:line="191" w:lineRule="exact"/>
        <w:rPr>
          <w:sz w:val="20"/>
          <w:szCs w:val="20"/>
          <w:color w:val="auto"/>
        </w:rPr>
      </w:pPr>
    </w:p>
    <w:p>
      <w:pPr>
        <w:ind w:right="64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SOFR Administrator’s Website</w:t>
      </w:r>
      <w:r>
        <w:rPr>
          <w:rFonts w:ascii="Arial" w:cs="Arial" w:eastAsia="Arial" w:hAnsi="Arial"/>
          <w:sz w:val="19"/>
          <w:szCs w:val="19"/>
          <w:color w:val="auto"/>
        </w:rPr>
        <w:t>” means the NYFRB’s Website, currently at http://www.newyorkfed.org, or any successor source for the secured overnight financing rate identified as such by the SOFR Administrator from time to time.</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SOFR Determination Date</w:t>
      </w:r>
      <w:r>
        <w:rPr>
          <w:rFonts w:ascii="Arial" w:cs="Arial" w:eastAsia="Arial" w:hAnsi="Arial"/>
          <w:sz w:val="22"/>
          <w:szCs w:val="22"/>
          <w:color w:val="auto"/>
        </w:rPr>
        <w:t>” has the meaning specified in the definition of “Daily Simple SOFR”.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SOFR Rate Day</w:t>
      </w:r>
      <w:r>
        <w:rPr>
          <w:rFonts w:ascii="Arial" w:cs="Arial" w:eastAsia="Arial" w:hAnsi="Arial"/>
          <w:sz w:val="22"/>
          <w:szCs w:val="22"/>
          <w:color w:val="auto"/>
        </w:rPr>
        <w:t>” has the meaning specified in the definition of “Daily Simple SOFR”.</w:t>
      </w:r>
    </w:p>
    <w:p>
      <w:pPr>
        <w:spacing w:after="0" w:line="179" w:lineRule="exact"/>
        <w:rPr>
          <w:sz w:val="20"/>
          <w:szCs w:val="20"/>
          <w:color w:val="auto"/>
        </w:rPr>
      </w:pPr>
    </w:p>
    <w:p>
      <w:pPr>
        <w:ind w:right="6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Sponsor Entities</w:t>
      </w:r>
      <w:r>
        <w:rPr>
          <w:rFonts w:ascii="Arial" w:cs="Arial" w:eastAsia="Arial" w:hAnsi="Arial"/>
          <w:sz w:val="22"/>
          <w:szCs w:val="22"/>
          <w:color w:val="auto"/>
        </w:rPr>
        <w:t>” means each of (i) CHI, (ii) with respect to the CDAY Issuer, the CDAY THL Entities, (iii) with respect to the DNB Issuer, the DNB THL Entities or (iv) any successor to the foregoing.</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Spread</w:t>
      </w:r>
      <w:r>
        <w:rPr>
          <w:rFonts w:ascii="Arial" w:cs="Arial" w:eastAsia="Arial" w:hAnsi="Arial"/>
          <w:sz w:val="22"/>
          <w:szCs w:val="22"/>
          <w:color w:val="auto"/>
        </w:rPr>
        <w:t>” has the meaning specified in the Fee and Ratio Letter.</w:t>
      </w:r>
    </w:p>
    <w:p>
      <w:pPr>
        <w:spacing w:after="0" w:line="179" w:lineRule="exact"/>
        <w:rPr>
          <w:sz w:val="20"/>
          <w:szCs w:val="20"/>
          <w:color w:val="auto"/>
        </w:rPr>
      </w:pPr>
    </w:p>
    <w:p>
      <w:pPr>
        <w:ind w:right="20" w:firstLine="648"/>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xml:space="preserve">” means, with respect to any Person, any corporation, partnership, limited liability company or other entity of which the majority of the Equity Interests having by the terms thereof ordinary voting power to elect a majority of the board of directors or other persons performing similar functions of such corporation, partnership, limited liability company or other entity (irrespective of whether or not at the time securities or other ownership interests of any other class or classes of such corporation, partnership, limited liability company or other entity shall have or might have voting power by reason of the happening of any contingency) is at the time directly or indirectly owned or controlled by such Person or one or more Subsidiaries of such Person or by such Person and one or more Subsidiaries of such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00"/>
          </w:cols>
          <w:pgMar w:left="320" w:top="1440" w:right="379" w:bottom="1440" w:gutter="0" w:footer="0" w:header="0"/>
        </w:sectPr>
      </w:pPr>
    </w:p>
    <w:bookmarkStart w:id="88" w:name="page89"/>
    <w:bookmarkEnd w:id="88"/>
    <w:p>
      <w:pPr>
        <w:spacing w:after="0" w:line="200" w:lineRule="exact"/>
        <w:rPr>
          <w:sz w:val="20"/>
          <w:szCs w:val="20"/>
          <w:color w:val="auto"/>
        </w:rPr>
      </w:pPr>
    </w:p>
    <w:p>
      <w:pPr>
        <w:spacing w:after="0" w:line="234" w:lineRule="exact"/>
        <w:rPr>
          <w:sz w:val="20"/>
          <w:szCs w:val="20"/>
          <w:color w:val="auto"/>
        </w:rPr>
      </w:pPr>
    </w:p>
    <w:p>
      <w:pPr>
        <w:ind w:right="520"/>
        <w:spacing w:after="0" w:line="232" w:lineRule="auto"/>
        <w:rPr>
          <w:sz w:val="20"/>
          <w:szCs w:val="20"/>
          <w:color w:val="auto"/>
        </w:rPr>
      </w:pPr>
      <w:r>
        <w:rPr>
          <w:rFonts w:ascii="Arial" w:cs="Arial" w:eastAsia="Arial" w:hAnsi="Arial"/>
          <w:sz w:val="22"/>
          <w:szCs w:val="22"/>
          <w:color w:val="auto"/>
        </w:rPr>
        <w:t>any event, the Issuers and their respective subsidiaries shall not be considered Subsidiaries of CHI or any of its subsidiaries, including the Borrowers.</w:t>
      </w:r>
    </w:p>
    <w:p>
      <w:pPr>
        <w:spacing w:after="0" w:line="159" w:lineRule="exact"/>
        <w:rPr>
          <w:sz w:val="20"/>
          <w:szCs w:val="20"/>
          <w:color w:val="auto"/>
        </w:rPr>
      </w:pPr>
    </w:p>
    <w:p>
      <w:pPr>
        <w:ind w:firstLine="648"/>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Swap Contract</w:t>
      </w:r>
      <w:r>
        <w:rPr>
          <w:rFonts w:ascii="Arial" w:cs="Arial" w:eastAsia="Arial" w:hAnsi="Arial"/>
          <w:sz w:val="21"/>
          <w:szCs w:val="21"/>
          <w:color w:val="auto"/>
        </w:rPr>
        <w:t>” means (a) any and all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21"/>
          <w:szCs w:val="21"/>
          <w:b w:val="1"/>
          <w:bCs w:val="1"/>
          <w:i w:val="1"/>
          <w:iCs w:val="1"/>
          <w:color w:val="auto"/>
        </w:rPr>
        <w:t>Master Agreement</w:t>
      </w:r>
      <w:r>
        <w:rPr>
          <w:rFonts w:ascii="Arial" w:cs="Arial" w:eastAsia="Arial" w:hAnsi="Arial"/>
          <w:sz w:val="21"/>
          <w:szCs w:val="21"/>
          <w:color w:val="auto"/>
        </w:rPr>
        <w:t>”), including any such obligations or liabilities under any Master Agreement.</w:t>
      </w:r>
    </w:p>
    <w:p>
      <w:pPr>
        <w:spacing w:after="0" w:line="164" w:lineRule="exact"/>
        <w:rPr>
          <w:sz w:val="20"/>
          <w:szCs w:val="20"/>
          <w:color w:val="auto"/>
        </w:rPr>
      </w:pPr>
    </w:p>
    <w:p>
      <w:pPr>
        <w:ind w:right="240"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Swap Termination Value</w:t>
      </w:r>
      <w:r>
        <w:rPr>
          <w:rFonts w:ascii="Arial" w:cs="Arial" w:eastAsia="Arial" w:hAnsi="Arial"/>
          <w:sz w:val="19"/>
          <w:szCs w:val="19"/>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immediately preceding clause (a), the amount(s) determined as the mark-to-market value(s) for such Swap Contracts, as determined based upon one or more mid-market or other readily available quotations provided by any recognized dealer in such Swap Contracts (which may include any Lender or any Affiliate of any Lender).</w:t>
      </w:r>
    </w:p>
    <w:p>
      <w:pPr>
        <w:spacing w:after="0" w:line="152"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Synthetic Lease Obligation</w:t>
      </w:r>
      <w:r>
        <w:rPr>
          <w:rFonts w:ascii="Arial" w:cs="Arial" w:eastAsia="Arial" w:hAnsi="Arial"/>
          <w:sz w:val="19"/>
          <w:szCs w:val="19"/>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44" w:lineRule="exact"/>
        <w:rPr>
          <w:sz w:val="20"/>
          <w:szCs w:val="20"/>
          <w:color w:val="auto"/>
        </w:rPr>
      </w:pPr>
    </w:p>
    <w:p>
      <w:pPr>
        <w:ind w:right="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9" w:lineRule="exact"/>
        <w:rPr>
          <w:sz w:val="20"/>
          <w:szCs w:val="20"/>
          <w:color w:val="auto"/>
        </w:rPr>
      </w:pPr>
    </w:p>
    <w:p>
      <w:pPr>
        <w:ind w:right="20"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Tender Offer</w:t>
      </w:r>
      <w:r>
        <w:rPr>
          <w:rFonts w:ascii="Arial" w:cs="Arial" w:eastAsia="Arial" w:hAnsi="Arial"/>
          <w:sz w:val="22"/>
          <w:szCs w:val="22"/>
          <w:color w:val="auto"/>
        </w:rPr>
        <w:t>” means a takeover offer, tender offer, exchange offer, solicitation, proposal or other event (i) by any Person or “group” (within the meaning of Rule 13d-5 under the Exchange Act), excluding the Sponsor Entities, that results in such Person or “group” purchasing, or otherwise acquiring or having the right to acquire, by conversion or other means, greater than 15% of the Free Float or (ii) by any Sponsor Entity that results in any reduction of Free Float, in each case, as determined by Calculation Agent, based upon the making of filings with governmental or self-regulatory agencies or such other information as Calculation Agent deems relevant.</w:t>
      </w:r>
    </w:p>
    <w:p>
      <w:pPr>
        <w:spacing w:after="0" w:line="159" w:lineRule="exact"/>
        <w:rPr>
          <w:sz w:val="20"/>
          <w:szCs w:val="20"/>
          <w:color w:val="auto"/>
        </w:rPr>
      </w:pPr>
    </w:p>
    <w:p>
      <w:pPr>
        <w:ind w:right="292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 SOFR</w:t>
      </w:r>
      <w:r>
        <w:rPr>
          <w:rFonts w:ascii="Arial" w:cs="Arial" w:eastAsia="Arial" w:hAnsi="Arial"/>
          <w:sz w:val="19"/>
          <w:szCs w:val="19"/>
          <w:color w:val="auto"/>
        </w:rPr>
        <w:t>” means, for any Interest Period for a SOFR Advance, the greater of (a) the Term SOFR Reference Rate for a tenor comparable to the applicable Interest Period on the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00" w:lineRule="exact"/>
        <w:rPr>
          <w:sz w:val="20"/>
          <w:szCs w:val="20"/>
          <w:color w:val="auto"/>
        </w:rPr>
      </w:pPr>
    </w:p>
    <w:p>
      <w:pPr>
        <w:spacing w:after="0" w:line="234" w:lineRule="exact"/>
        <w:rPr>
          <w:sz w:val="20"/>
          <w:szCs w:val="20"/>
          <w:color w:val="auto"/>
        </w:rPr>
      </w:pPr>
    </w:p>
    <w:p>
      <w:pPr>
        <w:ind w:right="220"/>
        <w:spacing w:after="0" w:line="21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i w:val="1"/>
          <w:iCs w:val="1"/>
          <w:color w:val="auto"/>
        </w:rPr>
        <w:t>Term SOFR Determination Day</w:t>
      </w:r>
      <w:r>
        <w:rPr>
          <w:rFonts w:ascii="Arial" w:cs="Arial" w:eastAsia="Arial" w:hAnsi="Arial"/>
          <w:sz w:val="22"/>
          <w:szCs w:val="22"/>
          <w:color w:val="auto"/>
        </w:rPr>
        <w:t>”) that is two (2) U.S. Government Securities Business Days prior to the first day of such Interest Period, as such rate is published by the Term SOFR</w:t>
      </w:r>
    </w:p>
    <w:p>
      <w:pPr>
        <w:spacing w:after="0" w:line="1" w:lineRule="exact"/>
        <w:rPr>
          <w:sz w:val="20"/>
          <w:szCs w:val="20"/>
          <w:color w:val="auto"/>
        </w:rPr>
      </w:pPr>
    </w:p>
    <w:p>
      <w:pPr>
        <w:ind w:right="2880"/>
        <w:spacing w:after="0" w:line="237" w:lineRule="auto"/>
        <w:rPr>
          <w:sz w:val="20"/>
          <w:szCs w:val="20"/>
          <w:color w:val="auto"/>
        </w:rPr>
      </w:pPr>
      <w:r>
        <w:rPr>
          <w:rFonts w:ascii="Arial" w:cs="Arial" w:eastAsia="Arial" w:hAnsi="Arial"/>
          <w:sz w:val="19"/>
          <w:szCs w:val="19"/>
          <w:color w:val="auto"/>
        </w:rPr>
        <w:t>Administrator and (b) the Floor; provided, however, that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w:t>
      </w:r>
    </w:p>
    <w:p>
      <w:pPr>
        <w:spacing w:after="0" w:line="1"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Rate for such tenor was published by the Term SOFR Administrator so long as such first preceding U.S. Government Securities Business Day is not more than three (3) U.S. Government Securities Business Days prior to such Term SOFR Determination Day.</w:t>
      </w:r>
    </w:p>
    <w:p>
      <w:pPr>
        <w:spacing w:after="0" w:line="151" w:lineRule="exact"/>
        <w:rPr>
          <w:sz w:val="20"/>
          <w:szCs w:val="20"/>
          <w:color w:val="auto"/>
        </w:rPr>
      </w:pPr>
    </w:p>
    <w:p>
      <w:pPr>
        <w:ind w:right="358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Term SOFR Administrator</w:t>
      </w:r>
      <w:r>
        <w:rPr>
          <w:rFonts w:ascii="Arial" w:cs="Arial" w:eastAsia="Arial" w:hAnsi="Arial"/>
          <w:sz w:val="21"/>
          <w:szCs w:val="21"/>
          <w:color w:val="auto"/>
        </w:rPr>
        <w:t>” means CME Group Benchmark Administration Limited (CBA) (or a successor administrator of the Term SOFR Reference Rate selected by the Administrative Agent in its reasonable discretion).</w:t>
      </w:r>
    </w:p>
    <w:p>
      <w:pPr>
        <w:spacing w:after="0" w:line="185" w:lineRule="exact"/>
        <w:rPr>
          <w:sz w:val="20"/>
          <w:szCs w:val="20"/>
          <w:color w:val="auto"/>
        </w:rPr>
      </w:pPr>
    </w:p>
    <w:p>
      <w:pPr>
        <w:ind w:right="29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 SOFR Determination Day</w:t>
      </w:r>
      <w:r>
        <w:rPr>
          <w:rFonts w:ascii="Arial" w:cs="Arial" w:eastAsia="Arial" w:hAnsi="Arial"/>
          <w:sz w:val="22"/>
          <w:szCs w:val="22"/>
          <w:color w:val="auto"/>
        </w:rPr>
        <w:t>” has the meaning assigned to it under the definition of Term SOFR.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SOFR Reference Rate</w:t>
      </w:r>
      <w:r>
        <w:rPr>
          <w:rFonts w:ascii="Arial" w:cs="Arial" w:eastAsia="Arial" w:hAnsi="Arial"/>
          <w:sz w:val="20"/>
          <w:szCs w:val="20"/>
          <w:color w:val="auto"/>
        </w:rPr>
        <w:t>” means the forward-looking term rate based on SOFR.</w:t>
      </w:r>
    </w:p>
    <w:p>
      <w:pPr>
        <w:spacing w:after="0" w:line="170" w:lineRule="exact"/>
        <w:rPr>
          <w:sz w:val="20"/>
          <w:szCs w:val="20"/>
          <w:color w:val="auto"/>
        </w:rPr>
      </w:pPr>
    </w:p>
    <w:p>
      <w:pPr>
        <w:ind w:right="4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Third Amendment</w:t>
      </w:r>
      <w:r>
        <w:rPr>
          <w:rFonts w:ascii="Arial" w:cs="Arial" w:eastAsia="Arial" w:hAnsi="Arial"/>
          <w:sz w:val="22"/>
          <w:szCs w:val="22"/>
          <w:color w:val="auto"/>
        </w:rPr>
        <w:t>” means Amendment Agreement No. 3, dated as of the Third Amendment Effective Date, among Borrowers, the Lenders party thereto, Administrative Agent and Calculation Agent.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Third Amendment Effective Date</w:t>
      </w:r>
      <w:r>
        <w:rPr>
          <w:rFonts w:ascii="Arial" w:cs="Arial" w:eastAsia="Arial" w:hAnsi="Arial"/>
          <w:sz w:val="22"/>
          <w:szCs w:val="22"/>
          <w:color w:val="auto"/>
        </w:rPr>
        <w:t>” means January 19, 2022.</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Threshold Amount</w:t>
      </w:r>
      <w:r>
        <w:rPr>
          <w:rFonts w:ascii="Arial" w:cs="Arial" w:eastAsia="Arial" w:hAnsi="Arial"/>
          <w:sz w:val="22"/>
          <w:szCs w:val="22"/>
          <w:color w:val="auto"/>
        </w:rPr>
        <w:t>” has the meaning specified in the Fee and Ratio Letter.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Threshold Percentage</w:t>
      </w:r>
      <w:r>
        <w:rPr>
          <w:rFonts w:ascii="Arial" w:cs="Arial" w:eastAsia="Arial" w:hAnsi="Arial"/>
          <w:sz w:val="22"/>
          <w:szCs w:val="22"/>
          <w:color w:val="auto"/>
        </w:rPr>
        <w:t>” has the meaning specified in the Fee and Ratio Letter.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Threshold Price</w:t>
      </w:r>
      <w:r>
        <w:rPr>
          <w:rFonts w:ascii="Arial" w:cs="Arial" w:eastAsia="Arial" w:hAnsi="Arial"/>
          <w:sz w:val="22"/>
          <w:szCs w:val="22"/>
          <w:color w:val="auto"/>
        </w:rPr>
        <w:t>” has the meaning specified in the Fee and Ratio Letter.</w:t>
      </w:r>
    </w:p>
    <w:p>
      <w:pPr>
        <w:spacing w:after="0" w:line="179" w:lineRule="exact"/>
        <w:rPr>
          <w:sz w:val="20"/>
          <w:szCs w:val="20"/>
          <w:color w:val="auto"/>
        </w:rPr>
      </w:pPr>
    </w:p>
    <w:p>
      <w:pPr>
        <w:ind w:right="140"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Total Accrued Loan Amount</w:t>
      </w:r>
      <w:r>
        <w:rPr>
          <w:rFonts w:ascii="Arial" w:cs="Arial" w:eastAsia="Arial" w:hAnsi="Arial"/>
          <w:sz w:val="21"/>
          <w:szCs w:val="21"/>
          <w:color w:val="auto"/>
        </w:rPr>
        <w:t>” means, at any time, the aggregate outstanding principal amount of all Advances (including, for the avoidance of doubt, the Net PIK Amount), the accrued and unpaid fees, including the applicable Upfront Fee, First Incremental Facility Upfront, Second Incremental Facility Upfront Fee and Undrawn Fee, and all reimbursable expenses and other Obligations, in each case, together with accrued and unpaid interest thereon.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Drawn Amount</w:t>
      </w:r>
      <w:r>
        <w:rPr>
          <w:rFonts w:ascii="Arial" w:cs="Arial" w:eastAsia="Arial" w:hAnsi="Arial"/>
          <w:sz w:val="19"/>
          <w:szCs w:val="19"/>
          <w:color w:val="auto"/>
        </w:rPr>
        <w:t>” means, at any time, the aggregate principal amount of Advances outstanding at such time.</w:t>
      </w:r>
    </w:p>
    <w:p>
      <w:pPr>
        <w:spacing w:after="0" w:line="214" w:lineRule="exact"/>
        <w:rPr>
          <w:sz w:val="20"/>
          <w:szCs w:val="20"/>
          <w:color w:val="auto"/>
        </w:rPr>
      </w:pPr>
    </w:p>
    <w:p>
      <w:pPr>
        <w:ind w:right="4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Disruption</w:t>
      </w:r>
      <w:r>
        <w:rPr>
          <w:rFonts w:ascii="Arial" w:cs="Arial" w:eastAsia="Arial" w:hAnsi="Arial"/>
          <w:sz w:val="22"/>
          <w:szCs w:val="22"/>
          <w:color w:val="auto"/>
        </w:rPr>
        <w:t>” means any suspension of or limitation imposed on trading by the Exchange on any Exchange Business Day (whether by reason of movements in price exceeding limits permitted by the Exchange or otherwise) relating to the Shares of any Share Type.</w:t>
      </w:r>
    </w:p>
    <w:p>
      <w:pPr>
        <w:spacing w:after="0" w:line="159" w:lineRule="exact"/>
        <w:rPr>
          <w:sz w:val="20"/>
          <w:szCs w:val="20"/>
          <w:color w:val="auto"/>
        </w:rPr>
      </w:pPr>
    </w:p>
    <w:p>
      <w:pPr>
        <w:jc w:val="both"/>
        <w:ind w:right="20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Suspension</w:t>
      </w:r>
      <w:r>
        <w:rPr>
          <w:rFonts w:ascii="Arial" w:cs="Arial" w:eastAsia="Arial" w:hAnsi="Arial"/>
          <w:sz w:val="22"/>
          <w:szCs w:val="22"/>
          <w:color w:val="auto"/>
        </w:rPr>
        <w:t>” means the occurrence of (i) two (2) or more consecutive Disrupted Days, if such Disrupted Days occur due to a Trading Disruption or Exchange Disruption relating to the Shares of any Share Type or (ii) otherwise, five (5) or more consecutive Disrupted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00" w:lineRule="exact"/>
        <w:rPr>
          <w:sz w:val="20"/>
          <w:szCs w:val="20"/>
          <w:color w:val="auto"/>
        </w:rPr>
      </w:pPr>
    </w:p>
    <w:p>
      <w:pPr>
        <w:spacing w:after="0" w:line="234" w:lineRule="exact"/>
        <w:rPr>
          <w:sz w:val="20"/>
          <w:szCs w:val="20"/>
          <w:color w:val="auto"/>
        </w:rPr>
      </w:pPr>
    </w:p>
    <w:p>
      <w:pPr>
        <w:ind w:right="460"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Transactions</w:t>
      </w:r>
      <w:r>
        <w:rPr>
          <w:rFonts w:ascii="Arial" w:cs="Arial" w:eastAsia="Arial" w:hAnsi="Arial"/>
          <w:sz w:val="21"/>
          <w:szCs w:val="21"/>
          <w:color w:val="auto"/>
        </w:rPr>
        <w:t>” means the execution, delivery and performance by the Borrowers and CHI of the Margin Loan Documentation to which they are a party and transactions contemplated hereunder (including any sales of Shares pursuant to Section 2.08(d)) or under any other Margin Loan Documentation, the grant of the security interest contemplated hereby or thereby, the borrowing of the Advances and the use of the proceeds thereof.</w:t>
      </w:r>
    </w:p>
    <w:p>
      <w:pPr>
        <w:spacing w:after="0" w:line="158"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Transfer Restrictions</w:t>
      </w:r>
      <w:r>
        <w:rPr>
          <w:rFonts w:ascii="Arial" w:cs="Arial" w:eastAsia="Arial" w:hAnsi="Arial"/>
          <w:sz w:val="19"/>
          <w:szCs w:val="19"/>
          <w:color w:val="auto"/>
        </w:rPr>
        <w:t xml:space="preserve">” means, with respect to any item of Collateral, any condition to or restriction on the ability of the owner or pledgee thereof to pledge, sell, assign or otherwise transfer such item of Collateral or enforce the provisions thereof or of any document related thereto whether set forth in such item of Collateral itself or in any document related thereto, including, without limitation, (i) any requirement that any sale, assignment or other transfer or enforcement for such item of Collateral be consented to or approved by any Person, including, without limitation, the issuer thereof or any other obligor thereon, (ii) any limitations on the type or status, financial or otherwise, of any purchaser, pledgee, assignee or transferee of such item of Collateral, (iii) any requirement for the delivery of any certificate, consent, agreement, opinion of counsel, notice or any other document of any Person to the issuer of, any other obligor on or any registrar or transfer agent for, such item of Collateral, prior to the sale, pledge, assignment or other transfer or enforcement of such item of Collateral and (iv) any registration or qualification requirement or prospectus delivery requirement for such item of Collateral pursuant to any federal, state, local or foreign securities law (including, without limitation, any such requirement arising under Section 5 of the Securities Act, as a result of such item of Collateral being a “restricted security” or a Borrower being an “affiliate” of the issuer of such item of Collateral, as such terms are defined in Rule 144);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solely with respect to Shares in the hands of a Borrower and not with respect to any Shares in the hands of any Applicable Lender, the required delivery of a customary assignment, instruction or entitlement order from such Borrower, together with any evidence of the corporate or other authority of such Borrower, shall not constitute a “Transfer Restriction”.</w:t>
      </w:r>
    </w:p>
    <w:p>
      <w:pPr>
        <w:spacing w:after="0" w:line="381" w:lineRule="exact"/>
        <w:rPr>
          <w:sz w:val="20"/>
          <w:szCs w:val="20"/>
          <w:color w:val="auto"/>
        </w:rPr>
      </w:pPr>
    </w:p>
    <w:p>
      <w:pPr>
        <w:ind w:right="16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U.S. Government Securities Business Day</w:t>
      </w:r>
      <w:r>
        <w:rPr>
          <w:rFonts w:ascii="Arial" w:cs="Arial" w:eastAsia="Arial" w:hAnsi="Arial"/>
          <w:sz w:val="21"/>
          <w:szCs w:val="21"/>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U.S. Person</w:t>
      </w:r>
      <w:r>
        <w:rPr>
          <w:rFonts w:ascii="Arial" w:cs="Arial" w:eastAsia="Arial" w:hAnsi="Arial"/>
          <w:sz w:val="22"/>
          <w:szCs w:val="22"/>
          <w:color w:val="auto"/>
        </w:rPr>
        <w:t>” means a “United States person” within the meaning of Section 7701(a)(30) of the Code.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U.S. Tax Compliance Certificate</w:t>
      </w:r>
      <w:r>
        <w:rPr>
          <w:rFonts w:ascii="Arial" w:cs="Arial" w:eastAsia="Arial" w:hAnsi="Arial"/>
          <w:sz w:val="22"/>
          <w:szCs w:val="22"/>
          <w:color w:val="auto"/>
        </w:rPr>
        <w:t>” has the meaning assigned to such term in Section 2.10(e)(ii)(B)(3).</w:t>
      </w:r>
    </w:p>
    <w:p>
      <w:pPr>
        <w:spacing w:after="0" w:line="179" w:lineRule="exact"/>
        <w:rPr>
          <w:sz w:val="20"/>
          <w:szCs w:val="20"/>
          <w:color w:val="auto"/>
        </w:rPr>
      </w:pPr>
    </w:p>
    <w:p>
      <w:pPr>
        <w:ind w:right="28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UCC</w:t>
      </w:r>
      <w:r>
        <w:rPr>
          <w:rFonts w:ascii="Arial" w:cs="Arial" w:eastAsia="Arial" w:hAnsi="Arial"/>
          <w:sz w:val="21"/>
          <w:szCs w:val="21"/>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51" w:lineRule="exact"/>
        <w:rPr>
          <w:sz w:val="20"/>
          <w:szCs w:val="20"/>
          <w:color w:val="auto"/>
        </w:rPr>
      </w:pPr>
    </w:p>
    <w:p>
      <w:pPr>
        <w:ind w:right="1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Undrawn Amount</w:t>
      </w:r>
      <w:r>
        <w:rPr>
          <w:rFonts w:ascii="Arial" w:cs="Arial" w:eastAsia="Arial" w:hAnsi="Arial"/>
          <w:sz w:val="22"/>
          <w:szCs w:val="22"/>
          <w:color w:val="auto"/>
        </w:rPr>
        <w:t>” means, at any time, the excess, if any, of the aggregate Commitments over the Total Drawn Amount at such time.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Undrawn Fee</w:t>
      </w:r>
      <w:r>
        <w:rPr>
          <w:rFonts w:ascii="Arial" w:cs="Arial" w:eastAsia="Arial" w:hAnsi="Arial"/>
          <w:sz w:val="22"/>
          <w:szCs w:val="22"/>
          <w:color w:val="auto"/>
        </w:rPr>
        <w:t>” has the meaning specified in Section 2.06(b).</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Undrawn Fee Percentage</w:t>
      </w:r>
      <w:r>
        <w:rPr>
          <w:rFonts w:ascii="Arial" w:cs="Arial" w:eastAsia="Arial" w:hAnsi="Arial"/>
          <w:sz w:val="22"/>
          <w:szCs w:val="22"/>
          <w:color w:val="auto"/>
        </w:rPr>
        <w:t>” has the meaning specified in the Fee and Ratio Letter.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United States</w:t>
      </w:r>
      <w:r>
        <w:rPr>
          <w:rFonts w:ascii="Arial" w:cs="Arial" w:eastAsia="Arial" w:hAnsi="Arial"/>
          <w:sz w:val="22"/>
          <w:szCs w:val="22"/>
          <w:color w:val="auto"/>
        </w:rPr>
        <w:t>” and “</w:t>
      </w:r>
      <w:r>
        <w:rPr>
          <w:rFonts w:ascii="Arial" w:cs="Arial" w:eastAsia="Arial" w:hAnsi="Arial"/>
          <w:sz w:val="22"/>
          <w:szCs w:val="22"/>
          <w:b w:val="1"/>
          <w:bCs w:val="1"/>
          <w:i w:val="1"/>
          <w:iCs w:val="1"/>
          <w:color w:val="auto"/>
        </w:rPr>
        <w:t>U.S.</w:t>
      </w:r>
      <w:r>
        <w:rPr>
          <w:rFonts w:ascii="Arial" w:cs="Arial" w:eastAsia="Arial" w:hAnsi="Arial"/>
          <w:sz w:val="22"/>
          <w:szCs w:val="22"/>
          <w:color w:val="auto"/>
        </w:rPr>
        <w:t>” mean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Upfront Fee</w:t>
      </w:r>
      <w:r>
        <w:rPr>
          <w:rFonts w:ascii="Arial" w:cs="Arial" w:eastAsia="Arial" w:hAnsi="Arial"/>
          <w:sz w:val="22"/>
          <w:szCs w:val="22"/>
          <w:color w:val="auto"/>
        </w:rPr>
        <w:t>” has the meaning specified in Section 2.06(a).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Upfront Fee Percentage</w:t>
      </w:r>
      <w:r>
        <w:rPr>
          <w:rFonts w:ascii="Arial" w:cs="Arial" w:eastAsia="Arial" w:hAnsi="Arial"/>
          <w:sz w:val="22"/>
          <w:szCs w:val="22"/>
          <w:color w:val="auto"/>
        </w:rPr>
        <w:t>” has the meaning specified in the Fee and Ratio Letter.</w:t>
      </w:r>
    </w:p>
    <w:p>
      <w:pPr>
        <w:spacing w:after="0" w:line="179" w:lineRule="exact"/>
        <w:rPr>
          <w:sz w:val="20"/>
          <w:szCs w:val="20"/>
          <w:color w:val="auto"/>
        </w:rPr>
      </w:pPr>
    </w:p>
    <w:p>
      <w:pPr>
        <w:ind w:right="44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Value</w:t>
      </w:r>
      <w:r>
        <w:rPr>
          <w:rFonts w:ascii="Arial" w:cs="Arial" w:eastAsia="Arial" w:hAnsi="Arial"/>
          <w:sz w:val="21"/>
          <w:szCs w:val="21"/>
          <w:color w:val="auto"/>
        </w:rPr>
        <w:t>” means, on any date of determination, with respect to any Shares or Cash Equivalents, the net proceeds that a Lender would receive upon sale of such asset, as determined in good faith by Calculation Agent.</w:t>
      </w:r>
    </w:p>
    <w:p>
      <w:pPr>
        <w:spacing w:after="0" w:line="151" w:lineRule="exact"/>
        <w:rPr>
          <w:sz w:val="20"/>
          <w:szCs w:val="20"/>
          <w:color w:val="auto"/>
        </w:rPr>
      </w:pPr>
    </w:p>
    <w:p>
      <w:pPr>
        <w:ind w:right="100" w:firstLine="648"/>
        <w:spacing w:after="0" w:line="232"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Times Of Day.</w:t>
      </w:r>
      <w:r>
        <w:rPr>
          <w:rFonts w:ascii="Arial" w:cs="Arial" w:eastAsia="Arial" w:hAnsi="Arial"/>
          <w:sz w:val="22"/>
          <w:szCs w:val="22"/>
          <w:color w:val="auto"/>
        </w:rPr>
        <w:t xml:space="preserve"> Unless otherwise specified, all references herein to times of day shall be references to New York City time (daylight or standard, as applicable).</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i w:val="1"/>
          <w:iCs w:val="1"/>
          <w:color w:val="auto"/>
        </w:rPr>
        <w:t>Terms Generally</w:t>
      </w:r>
      <w:r>
        <w:rPr>
          <w:rFonts w:ascii="Arial" w:cs="Arial" w:eastAsia="Arial" w:hAnsi="Arial"/>
          <w:sz w:val="19"/>
          <w:szCs w:val="19"/>
          <w:color w:val="auto"/>
        </w:rPr>
        <w:t>.</w:t>
      </w:r>
    </w:p>
    <w:p>
      <w:pPr>
        <w:spacing w:after="0" w:line="179" w:lineRule="exact"/>
        <w:rPr>
          <w:sz w:val="20"/>
          <w:szCs w:val="20"/>
          <w:color w:val="auto"/>
        </w:rPr>
      </w:pPr>
    </w:p>
    <w:p>
      <w:pPr>
        <w:ind w:firstLine="850"/>
        <w:spacing w:after="0"/>
        <w:tabs>
          <w:tab w:leader="none" w:pos="1284"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(subject to the provisions hereof relating to assignment),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(f) on or after the Guarantee Termination Date, any references to the “Guarantor” or to the “Guarantee Agreement” in this Agreement and the other Margin Loan Documentation shall be disregarded and (g) with respect to an Advance previously made, any reference herein to an “Advance” or “Advances” shall be construed to mean, as of any day, the portion of the relevant advance outstanding on such day. In the computation of periods of time from a specified date to a later specified date, unless expressly specified otherwise, the word “from” means “from and including” the words “to” and “until” each mean “to but excluding” and the word “through” means “to and including.”</w:t>
      </w:r>
    </w:p>
    <w:p>
      <w:pPr>
        <w:spacing w:after="0" w:line="171" w:lineRule="exact"/>
        <w:rPr>
          <w:rFonts w:ascii="Arial" w:cs="Arial" w:eastAsia="Arial" w:hAnsi="Arial"/>
          <w:sz w:val="19"/>
          <w:szCs w:val="19"/>
          <w:color w:val="auto"/>
        </w:rPr>
      </w:pPr>
    </w:p>
    <w:p>
      <w:pPr>
        <w:ind w:right="220" w:firstLine="850"/>
        <w:spacing w:after="0" w:line="247" w:lineRule="auto"/>
        <w:tabs>
          <w:tab w:leader="none" w:pos="1283" w:val="left"/>
        </w:tabs>
        <w:numPr>
          <w:ilvl w:val="0"/>
          <w:numId w:val="44"/>
        </w:numPr>
        <w:rPr>
          <w:rFonts w:ascii="Arial" w:cs="Arial" w:eastAsia="Arial" w:hAnsi="Arial"/>
          <w:sz w:val="21"/>
          <w:szCs w:val="21"/>
          <w:color w:val="auto"/>
        </w:rPr>
      </w:pPr>
      <w:r>
        <w:rPr>
          <w:rFonts w:ascii="Arial" w:cs="Arial" w:eastAsia="Arial" w:hAnsi="Arial"/>
          <w:sz w:val="21"/>
          <w:szCs w:val="21"/>
          <w:color w:val="auto"/>
        </w:rPr>
        <w:t>Section headings herein and in the other Margin Loan Documentation are included for convenience of reference only and shall not affect the interpretation of this Agreement or any other Margin Loan Documentation.</w:t>
      </w:r>
    </w:p>
    <w:p>
      <w:pPr>
        <w:spacing w:after="0" w:line="150" w:lineRule="exact"/>
        <w:rPr>
          <w:rFonts w:ascii="Arial" w:cs="Arial" w:eastAsia="Arial" w:hAnsi="Arial"/>
          <w:sz w:val="21"/>
          <w:szCs w:val="21"/>
          <w:color w:val="auto"/>
        </w:rPr>
      </w:pPr>
    </w:p>
    <w:p>
      <w:pPr>
        <w:ind w:right="120" w:firstLine="850"/>
        <w:spacing w:after="0" w:line="232" w:lineRule="auto"/>
        <w:tabs>
          <w:tab w:leader="none" w:pos="1284" w:val="left"/>
        </w:tabs>
        <w:numPr>
          <w:ilvl w:val="0"/>
          <w:numId w:val="44"/>
        </w:numPr>
        <w:rPr>
          <w:rFonts w:ascii="Arial" w:cs="Arial" w:eastAsia="Arial" w:hAnsi="Arial"/>
          <w:sz w:val="22"/>
          <w:szCs w:val="22"/>
          <w:color w:val="auto"/>
        </w:rPr>
      </w:pPr>
      <w:r>
        <w:rPr>
          <w:rFonts w:ascii="Arial" w:cs="Arial" w:eastAsia="Arial" w:hAnsi="Arial"/>
          <w:sz w:val="22"/>
          <w:szCs w:val="22"/>
          <w:color w:val="auto"/>
        </w:rPr>
        <w:t>Determinations, consents, approvals or any other actions or non-actions taken by or determined by any Lender or Agent, shall be made in good faith and, unless otherwise stated herein, its sole discretion.</w:t>
      </w:r>
    </w:p>
    <w:p>
      <w:pPr>
        <w:spacing w:after="0" w:line="159" w:lineRule="exact"/>
        <w:rPr>
          <w:sz w:val="20"/>
          <w:szCs w:val="20"/>
          <w:color w:val="auto"/>
        </w:rPr>
      </w:pPr>
    </w:p>
    <w:p>
      <w:pPr>
        <w:ind w:right="300" w:firstLine="648"/>
        <w:spacing w:after="0" w:line="257"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i w:val="1"/>
          <w:iCs w:val="1"/>
          <w:color w:val="auto"/>
        </w:rPr>
        <w:t>Accounting Terms; GAAP</w:t>
      </w:r>
      <w:r>
        <w:rPr>
          <w:rFonts w:ascii="Arial" w:cs="Arial" w:eastAsia="Arial" w:hAnsi="Arial"/>
          <w:sz w:val="19"/>
          <w:szCs w:val="19"/>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Borrowers notify Administrative Agent that Borrowers request an amendment to any provision hereof to eliminate the effect of any change occurring after the date hereof in GAAP or in the application thereof on the operation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00"/>
          </w:cols>
          <w:pgMar w:left="320" w:top="1440" w:right="379" w:bottom="1440" w:gutter="0" w:footer="0" w:header="0"/>
        </w:sectPr>
      </w:pPr>
    </w:p>
    <w:bookmarkStart w:id="92" w:name="page93"/>
    <w:bookmarkEnd w:id="92"/>
    <w:p>
      <w:pPr>
        <w:spacing w:after="0" w:line="200" w:lineRule="exact"/>
        <w:rPr>
          <w:sz w:val="20"/>
          <w:szCs w:val="20"/>
          <w:color w:val="auto"/>
        </w:rPr>
      </w:pPr>
    </w:p>
    <w:p>
      <w:pPr>
        <w:spacing w:after="0" w:line="234"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such provision (or if Administrative Agent notifies Borrowers that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44" w:lineRule="exact"/>
        <w:rPr>
          <w:sz w:val="20"/>
          <w:szCs w:val="20"/>
          <w:color w:val="auto"/>
        </w:rPr>
      </w:pPr>
    </w:p>
    <w:p>
      <w:pPr>
        <w:ind w:firstLine="648"/>
        <w:spacing w:after="0"/>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i w:val="1"/>
          <w:iCs w:val="1"/>
          <w:color w:val="auto"/>
        </w:rPr>
        <w:t>Benchmark Notification.</w:t>
      </w:r>
      <w:r>
        <w:rPr>
          <w:rFonts w:ascii="Arial" w:cs="Arial" w:eastAsia="Arial" w:hAnsi="Arial"/>
          <w:sz w:val="19"/>
          <w:szCs w:val="19"/>
          <w:color w:val="auto"/>
        </w:rPr>
        <w:t xml:space="preserve"> The interest rate on an Advance denominated in Dollars may be derived from an interest rate benchmark that may be discontinued or is, or may in the future become, the subject of regulatory reform. Upon the occurrence of a Benchmark Transition Event, Section 2.18 provides a mechanism for determining an alternative rate of interest. The Administrative Agent does not warrant or accept any responsibility for, and shall not have any liability with respect to, (a) the continuation of, the administration of, submission of, calculation of, performance of or any other matter related to any interest rate used in this Agreement (including, without limitation, the Base Rate, Daily Simple SOFR, Adjusted Daily Simple SOFR, SOFR, the Term SOFR Reference Rate, Adjusted Term SOFR or Term SOFR) or any component definition thereof or rates referred to in the definition thereof, or with respect to any alternative or successor rate thereto, or replacement rate thereof (including any Benchmark Replacement), including without limitation, whether the composition or characteristics of any such alternative, successor or replacement reference rate will be similar to, or produce the same value or economic equivalence of, or have the same value or economic equivalence of as the existing interest rate (or any component thereof) being replaced or have the same volume or liquidity as did any existing interest rate (or any component thereof) prior to its discontinuance or unavailability. The Administrative Agent and its affiliates and/or other related entities may engage in transactions that affect the calculation of any interest rate (or component thereof)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referred to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7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2</w:t>
      </w:r>
    </w:p>
    <w:p>
      <w:pPr>
        <w:ind w:left="3940"/>
        <w:spacing w:after="0"/>
        <w:rPr>
          <w:sz w:val="20"/>
          <w:szCs w:val="20"/>
          <w:color w:val="auto"/>
        </w:rPr>
      </w:pPr>
      <w:r>
        <w:rPr>
          <w:rFonts w:ascii="Arial" w:cs="Arial" w:eastAsia="Arial" w:hAnsi="Arial"/>
          <w:sz w:val="22"/>
          <w:szCs w:val="22"/>
          <w:color w:val="auto"/>
        </w:rPr>
        <w:t>Amounts And Terms Of The Advances</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8"/>
          <w:szCs w:val="18"/>
          <w:i w:val="1"/>
          <w:iCs w:val="1"/>
          <w:color w:val="auto"/>
        </w:rPr>
        <w:t>The Advances</w:t>
      </w:r>
      <w:r>
        <w:rPr>
          <w:rFonts w:ascii="Arial" w:cs="Arial" w:eastAsia="Arial" w:hAnsi="Arial"/>
          <w:sz w:val="18"/>
          <w:szCs w:val="18"/>
          <w:color w:val="auto"/>
        </w:rPr>
        <w:t>.</w:t>
      </w:r>
    </w:p>
    <w:p>
      <w:pPr>
        <w:spacing w:after="0" w:line="179" w:lineRule="exact"/>
        <w:rPr>
          <w:sz w:val="20"/>
          <w:szCs w:val="20"/>
          <w:color w:val="auto"/>
        </w:rPr>
      </w:pPr>
    </w:p>
    <w:p>
      <w:pPr>
        <w:ind w:right="140" w:firstLine="850"/>
        <w:spacing w:after="0" w:line="221" w:lineRule="auto"/>
        <w:tabs>
          <w:tab w:leader="none" w:pos="1284" w:val="left"/>
        </w:tabs>
        <w:numPr>
          <w:ilvl w:val="0"/>
          <w:numId w:val="45"/>
        </w:numPr>
        <w:rPr>
          <w:rFonts w:ascii="Arial" w:cs="Arial" w:eastAsia="Arial" w:hAnsi="Arial"/>
          <w:sz w:val="21"/>
          <w:szCs w:val="21"/>
          <w:color w:val="auto"/>
        </w:rPr>
      </w:pPr>
      <w:r>
        <w:rPr>
          <w:rFonts w:ascii="Arial" w:cs="Arial" w:eastAsia="Arial" w:hAnsi="Arial"/>
          <w:sz w:val="21"/>
          <w:szCs w:val="21"/>
          <w:color w:val="auto"/>
        </w:rPr>
        <w:t>Subject to the terms and conditions set forth herein, each Lender agrees to make one or more loans in Dollars to Borrowers (each, an “</w:t>
      </w:r>
      <w:r>
        <w:rPr>
          <w:rFonts w:ascii="Arial" w:cs="Arial" w:eastAsia="Arial" w:hAnsi="Arial"/>
          <w:sz w:val="21"/>
          <w:szCs w:val="21"/>
          <w:b w:val="1"/>
          <w:bCs w:val="1"/>
          <w:i w:val="1"/>
          <w:iCs w:val="1"/>
          <w:color w:val="auto"/>
        </w:rPr>
        <w:t>Advance</w:t>
      </w:r>
      <w:r>
        <w:rPr>
          <w:rFonts w:ascii="Arial" w:cs="Arial" w:eastAsia="Arial" w:hAnsi="Arial"/>
          <w:sz w:val="21"/>
          <w:szCs w:val="21"/>
          <w:color w:val="auto"/>
        </w:rPr>
        <w:t xml:space="preserve">”) from time to time during the Availability Period, each in an amount equal to the Requested Amount for such Advance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such Lender’s Funding Percentage (up to an amount equal to the aggregate principal amount of such Lender’s unfunded Commitment), by making immediately available funds available to Administrative Agent on the date of such Advance. After Administrative Agent’s receipt of such funds on the date of such advance, and upon fulfillment of the conditions set forth in Article 4, Administrative Agent shall make such funds as it has received available to Borrowers by depositing such funds into the Funding Account;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Administrative Agent shall, at Borrowers’ request, net any Advance due to Borrowers against any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20"/>
          </w:cols>
          <w:pgMar w:left="320" w:top="1440" w:right="359" w:bottom="1440" w:gutter="0" w:footer="0" w:header="0"/>
        </w:sectPr>
      </w:pPr>
    </w:p>
    <w:bookmarkStart w:id="93" w:name="page94"/>
    <w:bookmarkEnd w:id="93"/>
    <w:p>
      <w:pPr>
        <w:spacing w:after="0" w:line="200" w:lineRule="exact"/>
        <w:rPr>
          <w:sz w:val="20"/>
          <w:szCs w:val="20"/>
          <w:color w:val="auto"/>
        </w:rPr>
      </w:pPr>
    </w:p>
    <w:p>
      <w:pPr>
        <w:spacing w:after="0" w:line="234" w:lineRule="exact"/>
        <w:rPr>
          <w:sz w:val="20"/>
          <w:szCs w:val="20"/>
          <w:color w:val="auto"/>
        </w:rPr>
      </w:pPr>
    </w:p>
    <w:p>
      <w:pPr>
        <w:spacing w:after="0" w:line="223" w:lineRule="auto"/>
        <w:rPr>
          <w:sz w:val="20"/>
          <w:szCs w:val="20"/>
          <w:color w:val="auto"/>
        </w:rPr>
      </w:pPr>
      <w:r>
        <w:rPr>
          <w:rFonts w:ascii="Arial" w:cs="Arial" w:eastAsia="Arial" w:hAnsi="Arial"/>
          <w:sz w:val="22"/>
          <w:szCs w:val="22"/>
          <w:color w:val="auto"/>
        </w:rPr>
        <w:t>payable hereunder in accordance with each Lender’s respective Funding Percentage. Borrowers may, at any time, terminate all or any part of the Commitments by notifying Administrative Agent in writing and making any payments required under Section 2.04.</w:t>
      </w:r>
    </w:p>
    <w:p>
      <w:pPr>
        <w:spacing w:after="0" w:line="159" w:lineRule="exact"/>
        <w:rPr>
          <w:sz w:val="20"/>
          <w:szCs w:val="20"/>
          <w:color w:val="auto"/>
        </w:rPr>
      </w:pPr>
    </w:p>
    <w:p>
      <w:pPr>
        <w:ind w:right="920" w:firstLine="850"/>
        <w:spacing w:after="0" w:line="298" w:lineRule="auto"/>
        <w:tabs>
          <w:tab w:leader="none" w:pos="1283" w:val="left"/>
        </w:tabs>
        <w:numPr>
          <w:ilvl w:val="0"/>
          <w:numId w:val="46"/>
        </w:numPr>
        <w:rPr>
          <w:rFonts w:ascii="Arial" w:cs="Arial" w:eastAsia="Arial" w:hAnsi="Arial"/>
          <w:sz w:val="19"/>
          <w:szCs w:val="19"/>
          <w:color w:val="auto"/>
        </w:rPr>
      </w:pPr>
      <w:r>
        <w:rPr>
          <w:rFonts w:ascii="Arial" w:cs="Arial" w:eastAsia="Arial" w:hAnsi="Arial"/>
          <w:sz w:val="19"/>
          <w:szCs w:val="19"/>
          <w:color w:val="auto"/>
        </w:rPr>
        <w:t>Subject to the terms, conditions and limitations set forth in Article 4 and the other terms, conditions and limitations set forth herein, Borrowers may from time to time borrow, pay or prepay and reborrow Advances.</w:t>
      </w:r>
    </w:p>
    <w:p>
      <w:pPr>
        <w:spacing w:after="0" w:line="1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8"/>
          <w:szCs w:val="18"/>
          <w:i w:val="1"/>
          <w:iCs w:val="1"/>
          <w:color w:val="auto"/>
        </w:rPr>
        <w:t>Requests For Advances.</w:t>
      </w:r>
    </w:p>
    <w:p>
      <w:pPr>
        <w:spacing w:after="0" w:line="206" w:lineRule="exact"/>
        <w:rPr>
          <w:sz w:val="20"/>
          <w:szCs w:val="20"/>
          <w:color w:val="auto"/>
        </w:rPr>
      </w:pPr>
    </w:p>
    <w:p>
      <w:pPr>
        <w:ind w:right="140" w:firstLine="1174"/>
        <w:spacing w:after="0" w:line="232" w:lineRule="auto"/>
        <w:tabs>
          <w:tab w:leader="none" w:pos="1622" w:val="left"/>
        </w:tabs>
        <w:numPr>
          <w:ilvl w:val="1"/>
          <w:numId w:val="47"/>
        </w:numPr>
        <w:rPr>
          <w:rFonts w:ascii="Arial" w:cs="Arial" w:eastAsia="Arial" w:hAnsi="Arial"/>
          <w:sz w:val="22"/>
          <w:szCs w:val="22"/>
          <w:color w:val="auto"/>
        </w:rPr>
      </w:pPr>
      <w:r>
        <w:rPr>
          <w:rFonts w:ascii="Arial" w:cs="Arial" w:eastAsia="Arial" w:hAnsi="Arial"/>
          <w:sz w:val="22"/>
          <w:szCs w:val="22"/>
          <w:color w:val="auto"/>
        </w:rPr>
        <w:t>(i) To request an Advance, a Borrower shall notify Administrative Agent and each Lender of such request no later than 11:00 a.m. on the second (2nd) Business Day prior to the date of such proposed Advance.</w:t>
      </w:r>
    </w:p>
    <w:p>
      <w:pPr>
        <w:spacing w:after="0" w:line="158" w:lineRule="exact"/>
        <w:rPr>
          <w:rFonts w:ascii="Arial" w:cs="Arial" w:eastAsia="Arial" w:hAnsi="Arial"/>
          <w:sz w:val="22"/>
          <w:szCs w:val="22"/>
          <w:color w:val="auto"/>
        </w:rPr>
      </w:pPr>
    </w:p>
    <w:p>
      <w:pPr>
        <w:ind w:left="660" w:right="180" w:firstLine="644"/>
        <w:spacing w:after="0" w:line="224" w:lineRule="auto"/>
        <w:tabs>
          <w:tab w:leader="none" w:pos="1626" w:val="left"/>
        </w:tabs>
        <w:numPr>
          <w:ilvl w:val="2"/>
          <w:numId w:val="47"/>
        </w:numPr>
        <w:rPr>
          <w:rFonts w:ascii="Arial" w:cs="Arial" w:eastAsia="Arial" w:hAnsi="Arial"/>
          <w:sz w:val="21"/>
          <w:szCs w:val="21"/>
          <w:color w:val="auto"/>
        </w:rPr>
      </w:pPr>
      <w:r>
        <w:rPr>
          <w:rFonts w:ascii="Arial" w:cs="Arial" w:eastAsia="Arial" w:hAnsi="Arial"/>
          <w:sz w:val="21"/>
          <w:szCs w:val="21"/>
          <w:color w:val="auto"/>
        </w:rPr>
        <w:t>Notice of a request for each Advance (a “</w:t>
      </w:r>
      <w:r>
        <w:rPr>
          <w:rFonts w:ascii="Arial" w:cs="Arial" w:eastAsia="Arial" w:hAnsi="Arial"/>
          <w:sz w:val="21"/>
          <w:szCs w:val="21"/>
          <w:b w:val="1"/>
          <w:bCs w:val="1"/>
          <w:i w:val="1"/>
          <w:iCs w:val="1"/>
          <w:color w:val="auto"/>
        </w:rPr>
        <w:t>Borrowing Notice</w:t>
      </w:r>
      <w:r>
        <w:rPr>
          <w:rFonts w:ascii="Arial" w:cs="Arial" w:eastAsia="Arial" w:hAnsi="Arial"/>
          <w:sz w:val="21"/>
          <w:szCs w:val="21"/>
          <w:color w:val="auto"/>
        </w:rPr>
        <w:t xml:space="preserve">”) shall be in writing in substantially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specifying therein: (x) the proposed date of such Advance, which shall be a Business Day, (y) the aggregate amount of such Advance, which shall be an amount not less than $50,000,000 (or if less, the Undrawn Amount), (the “</w:t>
      </w:r>
      <w:r>
        <w:rPr>
          <w:rFonts w:ascii="Arial" w:cs="Arial" w:eastAsia="Arial" w:hAnsi="Arial"/>
          <w:sz w:val="21"/>
          <w:szCs w:val="21"/>
          <w:b w:val="1"/>
          <w:bCs w:val="1"/>
          <w:i w:val="1"/>
          <w:iCs w:val="1"/>
          <w:color w:val="auto"/>
        </w:rPr>
        <w:t>Requested Amount</w:t>
      </w:r>
      <w:r>
        <w:rPr>
          <w:rFonts w:ascii="Arial" w:cs="Arial" w:eastAsia="Arial" w:hAnsi="Arial"/>
          <w:sz w:val="21"/>
          <w:szCs w:val="21"/>
          <w:color w:val="auto"/>
        </w:rPr>
        <w:t>”), and (z) the Funding Account in respect of a Borrower giving such Borrowing Notice. If a Borrowing Notice is not given by the time referred to in Section 2.02(a)(i) above, it shall be deemed to have been given on the next succeeding Business Day.</w:t>
      </w:r>
    </w:p>
    <w:p>
      <w:pPr>
        <w:spacing w:after="0" w:line="159" w:lineRule="exact"/>
        <w:rPr>
          <w:rFonts w:ascii="Arial" w:cs="Arial" w:eastAsia="Arial" w:hAnsi="Arial"/>
          <w:sz w:val="21"/>
          <w:szCs w:val="21"/>
          <w:color w:val="auto"/>
        </w:rPr>
      </w:pPr>
    </w:p>
    <w:p>
      <w:pPr>
        <w:ind w:left="1300" w:hanging="450"/>
        <w:spacing w:after="0"/>
        <w:tabs>
          <w:tab w:leader="none" w:pos="13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Each Borrowing Notice shall be irrevocable and binding on Borrowers.</w:t>
      </w:r>
    </w:p>
    <w:p>
      <w:pPr>
        <w:spacing w:after="0" w:line="179" w:lineRule="exact"/>
        <w:rPr>
          <w:rFonts w:ascii="Arial" w:cs="Arial" w:eastAsia="Arial" w:hAnsi="Arial"/>
          <w:sz w:val="22"/>
          <w:szCs w:val="22"/>
          <w:color w:val="auto"/>
        </w:rPr>
      </w:pPr>
    </w:p>
    <w:p>
      <w:pPr>
        <w:ind w:right="260" w:firstLine="850"/>
        <w:spacing w:after="0" w:line="232" w:lineRule="auto"/>
        <w:tabs>
          <w:tab w:leader="none" w:pos="1284"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delivery of a Borrowing Notice shall be deemed to be a repetition of the representations and warranties set forth in Article 3.</w:t>
      </w:r>
    </w:p>
    <w:p>
      <w:pPr>
        <w:spacing w:after="0" w:line="158" w:lineRule="exact"/>
        <w:rPr>
          <w:rFonts w:ascii="Arial" w:cs="Arial" w:eastAsia="Arial" w:hAnsi="Arial"/>
          <w:sz w:val="22"/>
          <w:szCs w:val="22"/>
          <w:color w:val="auto"/>
        </w:rPr>
      </w:pPr>
    </w:p>
    <w:p>
      <w:pPr>
        <w:ind w:right="80" w:firstLine="850"/>
        <w:spacing w:after="0" w:line="247" w:lineRule="auto"/>
        <w:tabs>
          <w:tab w:leader="none" w:pos="1283" w:val="left"/>
        </w:tabs>
        <w:numPr>
          <w:ilvl w:val="0"/>
          <w:numId w:val="48"/>
        </w:numPr>
        <w:rPr>
          <w:rFonts w:ascii="Arial" w:cs="Arial" w:eastAsia="Arial" w:hAnsi="Arial"/>
          <w:sz w:val="21"/>
          <w:szCs w:val="21"/>
          <w:color w:val="auto"/>
        </w:rPr>
      </w:pPr>
      <w:r>
        <w:rPr>
          <w:rFonts w:ascii="Arial" w:cs="Arial" w:eastAsia="Arial" w:hAnsi="Arial"/>
          <w:sz w:val="21"/>
          <w:szCs w:val="21"/>
          <w:color w:val="auto"/>
        </w:rPr>
        <w:t>For the avoidance of doubt, each Borrower has the ability to draw on the full amount of any Commitment and the Lenders can rely on a Borrowing Notice from any Borrower without confirming such with the other Borrower.</w:t>
      </w:r>
    </w:p>
    <w:p>
      <w:pPr>
        <w:spacing w:after="0" w:line="151"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i w:val="1"/>
          <w:iCs w:val="1"/>
          <w:color w:val="auto"/>
        </w:rPr>
        <w:t>Termination Of Agreement and Facility.</w:t>
      </w:r>
      <w:r>
        <w:rPr>
          <w:rFonts w:ascii="Arial" w:cs="Arial" w:eastAsia="Arial" w:hAnsi="Arial"/>
          <w:sz w:val="22"/>
          <w:szCs w:val="22"/>
          <w:color w:val="auto"/>
        </w:rPr>
        <w:t xml:space="preserve"> Unless previously terminated, the Commitment shall terminate on the last day of the Availability Period.</w:t>
      </w:r>
    </w:p>
    <w:p>
      <w:pPr>
        <w:spacing w:after="0" w:line="159" w:lineRule="exact"/>
        <w:rPr>
          <w:sz w:val="20"/>
          <w:szCs w:val="20"/>
          <w:color w:val="auto"/>
        </w:rPr>
      </w:pPr>
    </w:p>
    <w:p>
      <w:pPr>
        <w:ind w:right="20" w:firstLine="648"/>
        <w:spacing w:after="0" w:line="224" w:lineRule="auto"/>
        <w:rPr>
          <w:sz w:val="20"/>
          <w:szCs w:val="20"/>
          <w:color w:val="auto"/>
        </w:rPr>
      </w:pPr>
      <w:r>
        <w:rPr>
          <w:rFonts w:ascii="Arial" w:cs="Arial" w:eastAsia="Arial" w:hAnsi="Arial"/>
          <w:sz w:val="21"/>
          <w:szCs w:val="21"/>
          <w:color w:val="auto"/>
        </w:rPr>
        <w:t xml:space="preserve">Section 2.04 </w:t>
      </w:r>
      <w:r>
        <w:rPr>
          <w:rFonts w:ascii="Arial" w:cs="Arial" w:eastAsia="Arial" w:hAnsi="Arial"/>
          <w:sz w:val="21"/>
          <w:szCs w:val="21"/>
          <w:i w:val="1"/>
          <w:iCs w:val="1"/>
          <w:color w:val="auto"/>
        </w:rPr>
        <w:t>Repayment Of Advances.</w:t>
      </w:r>
      <w:r>
        <w:rPr>
          <w:rFonts w:ascii="Arial" w:cs="Arial" w:eastAsia="Arial" w:hAnsi="Arial"/>
          <w:sz w:val="21"/>
          <w:szCs w:val="21"/>
          <w:color w:val="auto"/>
        </w:rPr>
        <w:t xml:space="preserve"> Borrowers hereby unconditionally promise to pay to Administrative Agent (or to an account designated by Administrative Agent) the Total Accrued Loan Amount on the Maturity Date or any earlier date on which the Total Accrued Loan Amount becomes due and payable pursuant to the terms hereof. Administrative Agent shall promptly notify each Lender of the amount of such Lender’s Applicable Percentage of such repayment. After Administrative Agent’s receipt of the entire amount of the repayment, Administrative Agent shall transfer the repayment to each Lender, in accordance with such Lender’s Applicable Percentage.</w:t>
      </w:r>
    </w:p>
    <w:p>
      <w:pPr>
        <w:spacing w:after="0" w:line="1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i w:val="1"/>
          <w:iCs w:val="1"/>
          <w:color w:val="auto"/>
        </w:rPr>
        <w:t>Interest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180"/>
          </w:cols>
          <w:pgMar w:left="320" w:top="1440" w:right="399" w:bottom="1440" w:gutter="0" w:footer="0" w:header="0"/>
        </w:sectPr>
      </w:pPr>
    </w:p>
    <w:bookmarkStart w:id="94" w:name="page95"/>
    <w:bookmarkEnd w:id="94"/>
    <w:p>
      <w:pPr>
        <w:spacing w:after="0" w:line="200" w:lineRule="exact"/>
        <w:rPr>
          <w:sz w:val="20"/>
          <w:szCs w:val="20"/>
          <w:color w:val="auto"/>
        </w:rPr>
      </w:pPr>
    </w:p>
    <w:p>
      <w:pPr>
        <w:spacing w:after="0" w:line="234" w:lineRule="exact"/>
        <w:rPr>
          <w:sz w:val="20"/>
          <w:szCs w:val="20"/>
          <w:color w:val="auto"/>
        </w:rPr>
      </w:pPr>
    </w:p>
    <w:p>
      <w:pPr>
        <w:ind w:left="-20" w:right="140" w:firstLine="850"/>
        <w:spacing w:after="0" w:line="241" w:lineRule="auto"/>
        <w:tabs>
          <w:tab w:leader="none" w:pos="1264"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Ordinary Interest</w:t>
      </w:r>
      <w:r>
        <w:rPr>
          <w:rFonts w:ascii="Arial" w:cs="Arial" w:eastAsia="Arial" w:hAnsi="Arial"/>
          <w:sz w:val="19"/>
          <w:szCs w:val="19"/>
          <w:color w:val="auto"/>
        </w:rPr>
        <w:t xml:space="preserve">. Subject to Section 2.05(b), on each Interest Payment Date, interest on the unpaid principal amount of any Advance, from the date of such Advance until such principal amount shall be paid in full, at a rate per annum equal to the Interest Rate, will be added, as of each Interest Payment Date, to the outstanding principal amount of the Advances on a Pro Rata Basis;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(x) Borrowers elect, by written notice to Administrative Agent at least five (5) Business Days’ prior to any Interest Payment Date to pay all or any portion of the interest payable on such Interest Payment Date in cash or (y) as a result of paying such interest in kind, the Net PIK Amount would exceed the product of the Total Drawn Amount (exclusive of the Net PIK Amount)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eighteen (18) percent, such interest or the relevant portion thereof will be payable in cash, in arrears, on the relevant Interest Payment Date;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 interest accrued pursuant to Section 2.05(b) shall be payable in cash within one (1) Business Day of demand and (ii) in the event of any repayment or prepayment of any Advance, accrued interest on the principal amount repaid or prepaid shall be payable on the date of such repayment or prepayment. The total amount of interest due on each such day shall be computed by Administrative Agent on the immediately preceding Business Day. The Interest Rate shall be computed by Administrative Agent based on a year of 360 days and actual days elapsed in the Interest Period for which interest is payable;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Interest Rate is calculated based upon the Prime Rate, the Interest Rate shall be computed by Administrative Agent based on a year of 365 or 366 days, as applicable, and the actual number of days elapsed in the Interest Period for which interest is payable.</w:t>
      </w:r>
    </w:p>
    <w:p>
      <w:pPr>
        <w:spacing w:after="0" w:line="165" w:lineRule="exact"/>
        <w:rPr>
          <w:rFonts w:ascii="Arial" w:cs="Arial" w:eastAsia="Arial" w:hAnsi="Arial"/>
          <w:sz w:val="19"/>
          <w:szCs w:val="19"/>
          <w:color w:val="auto"/>
        </w:rPr>
      </w:pPr>
    </w:p>
    <w:p>
      <w:pPr>
        <w:ind w:left="-20" w:right="320" w:firstLine="850"/>
        <w:spacing w:after="0" w:line="218" w:lineRule="auto"/>
        <w:tabs>
          <w:tab w:leader="none" w:pos="1263"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Default Interest</w:t>
      </w:r>
      <w:r>
        <w:rPr>
          <w:rFonts w:ascii="Arial" w:cs="Arial" w:eastAsia="Arial" w:hAnsi="Arial"/>
          <w:sz w:val="22"/>
          <w:szCs w:val="22"/>
          <w:color w:val="auto"/>
        </w:rPr>
        <w:t>. Notwithstanding the foregoing, during the occurrence and continuance of an Event of Default, Administrative Agent may, or upon the request by the Required Lenders, shall, by notice to Borrowers, declare that (i) all Advances shall bear interest at 2% plus the Interest Rate or (ii) in the case of any other amount outstanding hereunder, such amount shall accrue at 2% plus the Interest Rate.</w:t>
      </w:r>
    </w:p>
    <w:p>
      <w:pPr>
        <w:spacing w:after="0" w:line="16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179" w:lineRule="exact"/>
        <w:rPr>
          <w:sz w:val="20"/>
          <w:szCs w:val="20"/>
          <w:color w:val="auto"/>
        </w:rPr>
      </w:pPr>
    </w:p>
    <w:p>
      <w:pPr>
        <w:ind w:left="-20" w:right="60" w:firstLine="850"/>
        <w:spacing w:after="0" w:line="243" w:lineRule="auto"/>
        <w:tabs>
          <w:tab w:leader="none" w:pos="1264"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Upfront Fee</w:t>
      </w:r>
      <w:r>
        <w:rPr>
          <w:rFonts w:ascii="Arial" w:cs="Arial" w:eastAsia="Arial" w:hAnsi="Arial"/>
          <w:sz w:val="19"/>
          <w:szCs w:val="19"/>
          <w:color w:val="auto"/>
        </w:rPr>
        <w:t>. On the Closing Date, Borrowers paid an upfront fee to each Original Lender in an amount equal to the Upfront Fee Percentage multiplied by such Original Lender’s Commitment as of the Closing Date (the “</w:t>
      </w:r>
      <w:r>
        <w:rPr>
          <w:rFonts w:ascii="Arial" w:cs="Arial" w:eastAsia="Arial" w:hAnsi="Arial"/>
          <w:sz w:val="19"/>
          <w:szCs w:val="19"/>
          <w:b w:val="1"/>
          <w:bCs w:val="1"/>
          <w:color w:val="auto"/>
        </w:rPr>
        <w:t>Upfront Fee</w:t>
      </w:r>
      <w:r>
        <w:rPr>
          <w:rFonts w:ascii="Arial" w:cs="Arial" w:eastAsia="Arial" w:hAnsi="Arial"/>
          <w:sz w:val="19"/>
          <w:szCs w:val="19"/>
          <w:color w:val="auto"/>
        </w:rPr>
        <w:t>”). On the First Increase Effective Date, Borrowers paid an upfront fee to each Lender then party to this Agreement in an amount equal to the Upfront Fee Percentage multiplied by the First Incremental Commitment of such Lender (the “</w:t>
      </w:r>
      <w:r>
        <w:rPr>
          <w:rFonts w:ascii="Arial" w:cs="Arial" w:eastAsia="Arial" w:hAnsi="Arial"/>
          <w:sz w:val="19"/>
          <w:szCs w:val="19"/>
          <w:b w:val="1"/>
          <w:bCs w:val="1"/>
          <w:color w:val="auto"/>
        </w:rPr>
        <w:t>First Incremental Facility</w:t>
      </w:r>
      <w:r>
        <w:rPr>
          <w:rFonts w:ascii="Arial" w:cs="Arial" w:eastAsia="Arial" w:hAnsi="Arial"/>
          <w:sz w:val="19"/>
          <w:szCs w:val="19"/>
          <w:color w:val="auto"/>
        </w:rPr>
        <w:t xml:space="preserve"> </w:t>
      </w:r>
      <w:r>
        <w:rPr>
          <w:rFonts w:ascii="Arial" w:cs="Arial" w:eastAsia="Arial" w:hAnsi="Arial"/>
          <w:sz w:val="19"/>
          <w:szCs w:val="19"/>
          <w:b w:val="1"/>
          <w:bCs w:val="1"/>
          <w:color w:val="auto"/>
        </w:rPr>
        <w:t>Upfront Fee</w:t>
      </w:r>
      <w:r>
        <w:rPr>
          <w:rFonts w:ascii="Arial" w:cs="Arial" w:eastAsia="Arial" w:hAnsi="Arial"/>
          <w:sz w:val="19"/>
          <w:szCs w:val="19"/>
          <w:color w:val="auto"/>
        </w:rPr>
        <w:t>”). On the Second Increase Effective Date, Borrowers shall pay an upfront fee to each Lender in an amount equal to</w:t>
      </w:r>
      <w:r>
        <w:rPr>
          <w:rFonts w:ascii="Arial" w:cs="Arial" w:eastAsia="Arial" w:hAnsi="Arial"/>
          <w:sz w:val="19"/>
          <w:szCs w:val="19"/>
          <w:b w:val="1"/>
          <w:bCs w:val="1"/>
          <w:color w:val="auto"/>
        </w:rPr>
        <w:t xml:space="preserve"> </w:t>
      </w:r>
      <w:r>
        <w:rPr>
          <w:rFonts w:ascii="Arial" w:cs="Arial" w:eastAsia="Arial" w:hAnsi="Arial"/>
          <w:sz w:val="19"/>
          <w:szCs w:val="19"/>
          <w:color w:val="auto"/>
        </w:rPr>
        <w:t>the Upfront Fee Percentage multiplied by the respective Second Incremental Commitment of such Lender (the “</w:t>
      </w:r>
      <w:r>
        <w:rPr>
          <w:rFonts w:ascii="Arial" w:cs="Arial" w:eastAsia="Arial" w:hAnsi="Arial"/>
          <w:sz w:val="19"/>
          <w:szCs w:val="19"/>
          <w:b w:val="1"/>
          <w:bCs w:val="1"/>
          <w:color w:val="auto"/>
        </w:rPr>
        <w:t>Second</w:t>
      </w:r>
      <w:r>
        <w:rPr>
          <w:rFonts w:ascii="Arial" w:cs="Arial" w:eastAsia="Arial" w:hAnsi="Arial"/>
          <w:sz w:val="19"/>
          <w:szCs w:val="19"/>
          <w:color w:val="auto"/>
        </w:rPr>
        <w:t xml:space="preserve"> </w:t>
      </w:r>
      <w:r>
        <w:rPr>
          <w:rFonts w:ascii="Arial" w:cs="Arial" w:eastAsia="Arial" w:hAnsi="Arial"/>
          <w:sz w:val="19"/>
          <w:szCs w:val="19"/>
          <w:b w:val="1"/>
          <w:bCs w:val="1"/>
          <w:color w:val="auto"/>
        </w:rPr>
        <w:t>Incremental Facility Upfront Fee</w:t>
      </w:r>
      <w:r>
        <w:rPr>
          <w:rFonts w:ascii="Arial" w:cs="Arial" w:eastAsia="Arial" w:hAnsi="Arial"/>
          <w:sz w:val="19"/>
          <w:szCs w:val="19"/>
          <w:color w:val="auto"/>
        </w:rPr>
        <w:t>”), if any. The Upfront Fee, the First Incremental Facility Upfront Fee and the Second</w:t>
      </w:r>
      <w:r>
        <w:rPr>
          <w:rFonts w:ascii="Arial" w:cs="Arial" w:eastAsia="Arial" w:hAnsi="Arial"/>
          <w:sz w:val="19"/>
          <w:szCs w:val="19"/>
          <w:b w:val="1"/>
          <w:bCs w:val="1"/>
          <w:color w:val="auto"/>
        </w:rPr>
        <w:t xml:space="preserve"> </w:t>
      </w:r>
      <w:r>
        <w:rPr>
          <w:rFonts w:ascii="Arial" w:cs="Arial" w:eastAsia="Arial" w:hAnsi="Arial"/>
          <w:sz w:val="19"/>
          <w:szCs w:val="19"/>
          <w:color w:val="auto"/>
        </w:rPr>
        <w:t>Incremental Facility Upfront Fee shall be fully earned when paid and shall be non-refundable for any reason whatsoever, and regardless of when or whether the Commitment is actually drawn upon. For the avoidance of doubt, no First Incremental Facility Upfront Fee or Second Incremental Facility Upfront shall be payable by Borrowers or any Lender to any Lender that was not a Lender on the date such fees were paid.</w:t>
      </w:r>
    </w:p>
    <w:p>
      <w:pPr>
        <w:spacing w:after="0" w:line="379" w:lineRule="exact"/>
        <w:rPr>
          <w:rFonts w:ascii="Arial" w:cs="Arial" w:eastAsia="Arial" w:hAnsi="Arial"/>
          <w:sz w:val="19"/>
          <w:szCs w:val="19"/>
          <w:color w:val="auto"/>
        </w:rPr>
      </w:pPr>
    </w:p>
    <w:p>
      <w:pPr>
        <w:ind w:left="-20" w:firstLine="850"/>
        <w:spacing w:after="0" w:line="216" w:lineRule="auto"/>
        <w:tabs>
          <w:tab w:leader="none" w:pos="1263"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Undrawn Fee</w:t>
      </w:r>
      <w:r>
        <w:rPr>
          <w:rFonts w:ascii="Arial" w:cs="Arial" w:eastAsia="Arial" w:hAnsi="Arial"/>
          <w:sz w:val="22"/>
          <w:szCs w:val="22"/>
          <w:color w:val="auto"/>
        </w:rPr>
        <w:t>. Borrower shall pay each Lender an undrawn fee (the “</w:t>
      </w:r>
      <w:r>
        <w:rPr>
          <w:rFonts w:ascii="Arial" w:cs="Arial" w:eastAsia="Arial" w:hAnsi="Arial"/>
          <w:sz w:val="22"/>
          <w:szCs w:val="22"/>
          <w:b w:val="1"/>
          <w:bCs w:val="1"/>
          <w:i w:val="1"/>
          <w:iCs w:val="1"/>
          <w:color w:val="auto"/>
        </w:rPr>
        <w:t>Undrawn Fee</w:t>
      </w:r>
      <w:r>
        <w:rPr>
          <w:rFonts w:ascii="Arial" w:cs="Arial" w:eastAsia="Arial" w:hAnsi="Arial"/>
          <w:sz w:val="22"/>
          <w:szCs w:val="22"/>
          <w:color w:val="auto"/>
        </w:rPr>
        <w:t>”), which shall accrue on a daily basis on such Lender’s outstanding Commitment from the Closing Date through the last date of the Availability Period at a rate equal to the Undrawn Fee Percentage (regardless of whether the conditions set forth in Article 4 are met on any such day), calculated on the basis of the actual days elapsed and a year of 360 days, and shall be payable quarterly in arrears on each Interest Payment Date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00"/>
          </w:cols>
          <w:pgMar w:left="340" w:top="1440" w:right="359" w:bottom="1440" w:gutter="0" w:footer="0" w:header="0"/>
        </w:sectPr>
      </w:pPr>
    </w:p>
    <w:bookmarkStart w:id="95" w:name="page96"/>
    <w:bookmarkEnd w:id="95"/>
    <w:p>
      <w:pPr>
        <w:spacing w:after="0" w:line="200" w:lineRule="exact"/>
        <w:rPr>
          <w:sz w:val="20"/>
          <w:szCs w:val="20"/>
          <w:color w:val="auto"/>
        </w:rPr>
      </w:pPr>
    </w:p>
    <w:p>
      <w:pPr>
        <w:spacing w:after="0" w:line="234" w:lineRule="exact"/>
        <w:rPr>
          <w:sz w:val="20"/>
          <w:szCs w:val="20"/>
          <w:color w:val="auto"/>
        </w:rPr>
      </w:pPr>
    </w:p>
    <w:p>
      <w:pPr>
        <w:ind w:right="660" w:firstLine="648"/>
        <w:spacing w:after="0" w:line="232"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i w:val="1"/>
          <w:iCs w:val="1"/>
          <w:color w:val="auto"/>
        </w:rPr>
        <w:t>Interest Rate Determinations.</w:t>
      </w:r>
      <w:r>
        <w:rPr>
          <w:rFonts w:ascii="Arial" w:cs="Arial" w:eastAsia="Arial" w:hAnsi="Arial"/>
          <w:sz w:val="22"/>
          <w:szCs w:val="22"/>
          <w:color w:val="auto"/>
        </w:rPr>
        <w:t xml:space="preserve"> Administrative Agent shall give notice to Borrowers of the applicable interest rates for the purposes of Section 2.05.</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i w:val="1"/>
          <w:iCs w:val="1"/>
          <w:color w:val="auto"/>
        </w:rPr>
        <w:t>Prepayments Of Advances; Collateral Call Trigger Events; Withdrawal Of Collateral</w:t>
      </w:r>
      <w:r>
        <w:rPr>
          <w:rFonts w:ascii="Arial" w:cs="Arial" w:eastAsia="Arial" w:hAnsi="Arial"/>
          <w:sz w:val="19"/>
          <w:szCs w:val="19"/>
          <w:color w:val="auto"/>
        </w:rPr>
        <w:t>.</w:t>
      </w:r>
    </w:p>
    <w:p>
      <w:pPr>
        <w:spacing w:after="0" w:line="179" w:lineRule="exact"/>
        <w:rPr>
          <w:sz w:val="20"/>
          <w:szCs w:val="20"/>
          <w:color w:val="auto"/>
        </w:rPr>
      </w:pPr>
    </w:p>
    <w:p>
      <w:pPr>
        <w:ind w:right="20" w:firstLine="850"/>
        <w:spacing w:after="0" w:line="222" w:lineRule="auto"/>
        <w:tabs>
          <w:tab w:leader="none" w:pos="1284" w:val="left"/>
        </w:tabs>
        <w:numPr>
          <w:ilvl w:val="0"/>
          <w:numId w:val="51"/>
        </w:numPr>
        <w:rPr>
          <w:rFonts w:ascii="Arial" w:cs="Arial" w:eastAsia="Arial" w:hAnsi="Arial"/>
          <w:sz w:val="21"/>
          <w:szCs w:val="21"/>
          <w:color w:val="auto"/>
        </w:rPr>
      </w:pPr>
      <w:r>
        <w:rPr>
          <w:rFonts w:ascii="Arial" w:cs="Arial" w:eastAsia="Arial" w:hAnsi="Arial"/>
          <w:sz w:val="21"/>
          <w:szCs w:val="21"/>
          <w:color w:val="auto"/>
        </w:rPr>
        <w:t xml:space="preserve">Borrowers may prepay the outstanding Advances, in whole or in part, in an amount equal to the sum of (i) the principal amount of the Advances being prepaid and (ii) accrued interest to the date of such prepayment on the amount prepaid, upon irrevocable notice thereof. Such notice shall be given to Administrative Agent by Borrowers not later than 11:00 a.m. on the date five (5) Business Days prior to the date of any such prepayment;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each partial prepayment of the Advances shall be in an aggregate principal amount of $10,000,000 or a whole multiple of $1,000,000 in excess thereof, or, if less, the Total Accrued Loan Amount, and on a Pro Rata Basis. Subject to Article 4, any such prepayment may be reborrowed at any time during the Availability Period.</w:t>
      </w:r>
    </w:p>
    <w:p>
      <w:pPr>
        <w:spacing w:after="0" w:line="164" w:lineRule="exact"/>
        <w:rPr>
          <w:rFonts w:ascii="Arial" w:cs="Arial" w:eastAsia="Arial" w:hAnsi="Arial"/>
          <w:sz w:val="21"/>
          <w:szCs w:val="21"/>
          <w:color w:val="auto"/>
        </w:rPr>
      </w:pPr>
    </w:p>
    <w:p>
      <w:pPr>
        <w:ind w:right="380" w:firstLine="850"/>
        <w:spacing w:after="0" w:line="223" w:lineRule="auto"/>
        <w:tabs>
          <w:tab w:leader="none" w:pos="1283" w:val="left"/>
        </w:tabs>
        <w:numPr>
          <w:ilvl w:val="0"/>
          <w:numId w:val="51"/>
        </w:numPr>
        <w:rPr>
          <w:rFonts w:ascii="Arial" w:cs="Arial" w:eastAsia="Arial" w:hAnsi="Arial"/>
          <w:sz w:val="22"/>
          <w:szCs w:val="22"/>
          <w:color w:val="auto"/>
        </w:rPr>
      </w:pPr>
      <w:r>
        <w:rPr>
          <w:rFonts w:ascii="Arial" w:cs="Arial" w:eastAsia="Arial" w:hAnsi="Arial"/>
          <w:sz w:val="22"/>
          <w:szCs w:val="22"/>
          <w:color w:val="auto"/>
        </w:rPr>
        <w:t>Borrowers shall prepay all obligations in an aggregate amount equal to the Total Accrued Loan Amount on the Maturity Date or, if earlier, the second (2nd) Business Day immediately following notice by Administrative Agent of the occurrence of a Mandatory Prepayment Event.</w:t>
      </w:r>
    </w:p>
    <w:p>
      <w:pPr>
        <w:spacing w:after="0" w:line="158" w:lineRule="exact"/>
        <w:rPr>
          <w:rFonts w:ascii="Arial" w:cs="Arial" w:eastAsia="Arial" w:hAnsi="Arial"/>
          <w:sz w:val="22"/>
          <w:szCs w:val="22"/>
          <w:color w:val="auto"/>
        </w:rPr>
      </w:pPr>
    </w:p>
    <w:p>
      <w:pPr>
        <w:ind w:right="40" w:firstLine="850"/>
        <w:spacing w:after="0" w:line="212" w:lineRule="auto"/>
        <w:tabs>
          <w:tab w:leader="none" w:pos="1284" w:val="left"/>
        </w:tabs>
        <w:numPr>
          <w:ilvl w:val="0"/>
          <w:numId w:val="51"/>
        </w:numPr>
        <w:rPr>
          <w:rFonts w:ascii="Arial" w:cs="Arial" w:eastAsia="Arial" w:hAnsi="Arial"/>
          <w:sz w:val="22"/>
          <w:szCs w:val="22"/>
          <w:color w:val="auto"/>
        </w:rPr>
      </w:pPr>
      <w:r>
        <w:rPr>
          <w:rFonts w:ascii="Arial" w:cs="Arial" w:eastAsia="Arial" w:hAnsi="Arial"/>
          <w:sz w:val="22"/>
          <w:szCs w:val="22"/>
          <w:color w:val="auto"/>
        </w:rPr>
        <w:t>If a Collateral Call Trigger Event occurs, Calculation Agent shall promptly notify Administrative Agent and Administrative Agent shall notify Borrowers and each Lender and Agent of the occurrence of such Collateral Call Trigger Event (such notice, a “</w:t>
      </w:r>
      <w:r>
        <w:rPr>
          <w:rFonts w:ascii="Arial" w:cs="Arial" w:eastAsia="Arial" w:hAnsi="Arial"/>
          <w:sz w:val="22"/>
          <w:szCs w:val="22"/>
          <w:b w:val="1"/>
          <w:bCs w:val="1"/>
          <w:i w:val="1"/>
          <w:iCs w:val="1"/>
          <w:color w:val="auto"/>
        </w:rPr>
        <w:t>Collateral Call Notice</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a Collateral Call Trigger Event has occurred and is continuing and Administrative Agent has not delivered the Collateral Call Notice to Borrowers by 7:00 p.m. on any Scheduled Trading Day, any Lender may deliver such Collateral Call Notice to Borrowers, each other Lender and each Agent on such Scheduled Trading Day. If Administrative Agent or any Lender delivers a Collateral Call Notice to Borrowers, Borrowers shall, prior to the Cure Time, either:</w:t>
      </w:r>
    </w:p>
    <w:p>
      <w:pPr>
        <w:spacing w:after="0" w:line="163" w:lineRule="exact"/>
        <w:rPr>
          <w:rFonts w:ascii="Arial" w:cs="Arial" w:eastAsia="Arial" w:hAnsi="Arial"/>
          <w:sz w:val="22"/>
          <w:szCs w:val="22"/>
          <w:color w:val="auto"/>
        </w:rPr>
      </w:pPr>
    </w:p>
    <w:p>
      <w:pPr>
        <w:ind w:left="660" w:right="260" w:firstLine="968"/>
        <w:spacing w:after="0" w:line="216" w:lineRule="auto"/>
        <w:tabs>
          <w:tab w:leader="none" w:pos="1998" w:val="left"/>
        </w:tabs>
        <w:numPr>
          <w:ilvl w:val="1"/>
          <w:numId w:val="51"/>
        </w:numPr>
        <w:rPr>
          <w:rFonts w:ascii="Arial" w:cs="Arial" w:eastAsia="Arial" w:hAnsi="Arial"/>
          <w:sz w:val="22"/>
          <w:szCs w:val="22"/>
          <w:color w:val="auto"/>
        </w:rPr>
      </w:pPr>
      <w:r>
        <w:rPr>
          <w:rFonts w:ascii="Arial" w:cs="Arial" w:eastAsia="Arial" w:hAnsi="Arial"/>
          <w:sz w:val="22"/>
          <w:szCs w:val="22"/>
          <w:color w:val="auto"/>
        </w:rPr>
        <w:t>(x) voluntarily prepay the Total Accrued Loan Amount and/or (y) deposit Cash and/or Cash Equivalents constituting Acceptable Collateral into the Collateral Accounts on a Pro Rata Basis, collectively in such amount necessary, after giving effect to such prepayment and/or deposit, to cause the LTV Level (determined based on the Aggregate Collateral Share Value as of the date the Collateral Call Trigger Event occurred) to be less than the Maintenance LTV Level; or</w:t>
      </w:r>
    </w:p>
    <w:p>
      <w:pPr>
        <w:spacing w:after="0" w:line="184" w:lineRule="exact"/>
        <w:rPr>
          <w:rFonts w:ascii="Arial" w:cs="Arial" w:eastAsia="Arial" w:hAnsi="Arial"/>
          <w:sz w:val="22"/>
          <w:szCs w:val="22"/>
          <w:color w:val="auto"/>
        </w:rPr>
      </w:pPr>
    </w:p>
    <w:p>
      <w:pPr>
        <w:ind w:left="660" w:firstLine="968"/>
        <w:spacing w:after="0" w:line="244" w:lineRule="auto"/>
        <w:tabs>
          <w:tab w:leader="none" w:pos="1950" w:val="left"/>
        </w:tabs>
        <w:numPr>
          <w:ilvl w:val="1"/>
          <w:numId w:val="51"/>
        </w:numPr>
        <w:rPr>
          <w:rFonts w:ascii="Arial" w:cs="Arial" w:eastAsia="Arial" w:hAnsi="Arial"/>
          <w:sz w:val="19"/>
          <w:szCs w:val="19"/>
          <w:color w:val="auto"/>
        </w:rPr>
      </w:pPr>
      <w:r>
        <w:rPr>
          <w:rFonts w:ascii="Arial" w:cs="Arial" w:eastAsia="Arial" w:hAnsi="Arial"/>
          <w:sz w:val="19"/>
          <w:szCs w:val="19"/>
          <w:color w:val="auto"/>
        </w:rPr>
        <w:t>deliver to Administrative Agent a written plan, which all Lenders have consented to, providing for a sale (an “</w:t>
      </w:r>
      <w:r>
        <w:rPr>
          <w:rFonts w:ascii="Arial" w:cs="Arial" w:eastAsia="Arial" w:hAnsi="Arial"/>
          <w:sz w:val="19"/>
          <w:szCs w:val="19"/>
          <w:b w:val="1"/>
          <w:bCs w:val="1"/>
          <w:i w:val="1"/>
          <w:iCs w:val="1"/>
          <w:color w:val="auto"/>
        </w:rPr>
        <w:t>Extended Cure Sale</w:t>
      </w:r>
      <w:r>
        <w:rPr>
          <w:rFonts w:ascii="Arial" w:cs="Arial" w:eastAsia="Arial" w:hAnsi="Arial"/>
          <w:sz w:val="19"/>
          <w:szCs w:val="19"/>
          <w:color w:val="auto"/>
        </w:rPr>
        <w:t>”) of Shares in a Permitted Transaction, the proceeds of which shall be (A) sufficient after giving effect to the deposit of such proceeds into the Collateral Accounts on a Pro Rata Basis and, if applicable, used to partially prepay the outstanding Advances, to cause the LTV Level (determined based on the Market Price as of the date of such plan or, if applicable, the reasonably expected proceeds based on the sales price specified therein and as of the Extended Cure Time and after giving effect to any release of any Collateral Shares being sold in respect of such Extended Cure Sale) to be less than the Maintenance LTV Level and (B) deposited into the Collateral Accounts and, if applicable, applied to partially prepay the outstanding Advances prior to the Extended Cure Time; for the avoidance of doubt, and without limitation of any Lender’s rights, any Lender will have the right to withhold its consent to any such plan if any of the following conditions are not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40" w:right="339" w:bottom="1440" w:gutter="0" w:footer="0" w:header="0"/>
        </w:sectPr>
      </w:pPr>
    </w:p>
    <w:bookmarkStart w:id="96" w:name="page97"/>
    <w:bookmarkEnd w:id="96"/>
    <w:p>
      <w:pPr>
        <w:spacing w:after="0" w:line="200" w:lineRule="exact"/>
        <w:rPr>
          <w:sz w:val="20"/>
          <w:szCs w:val="20"/>
          <w:color w:val="auto"/>
        </w:rPr>
      </w:pPr>
    </w:p>
    <w:p>
      <w:pPr>
        <w:spacing w:after="0" w:line="234" w:lineRule="exact"/>
        <w:rPr>
          <w:sz w:val="20"/>
          <w:szCs w:val="20"/>
          <w:color w:val="auto"/>
        </w:rPr>
      </w:pPr>
    </w:p>
    <w:p>
      <w:pPr>
        <w:ind w:left="1360" w:right="20" w:firstLine="1046"/>
        <w:spacing w:after="0" w:line="218" w:lineRule="auto"/>
        <w:tabs>
          <w:tab w:leader="none" w:pos="3236" w:val="left"/>
        </w:tabs>
        <w:numPr>
          <w:ilvl w:val="0"/>
          <w:numId w:val="52"/>
        </w:numPr>
        <w:rPr>
          <w:rFonts w:ascii="Arial" w:cs="Arial" w:eastAsia="Arial" w:hAnsi="Arial"/>
          <w:sz w:val="22"/>
          <w:szCs w:val="22"/>
          <w:color w:val="auto"/>
        </w:rPr>
      </w:pPr>
      <w:r>
        <w:rPr>
          <w:rFonts w:ascii="Arial" w:cs="Arial" w:eastAsia="Arial" w:hAnsi="Arial"/>
          <w:sz w:val="22"/>
          <w:szCs w:val="22"/>
          <w:color w:val="auto"/>
        </w:rPr>
        <w:t>if such plan contemplates the Extended Cure Sale being a registered sale, the relevant Issuer has filed a registration statement under the Securities Act in respect of all such relevant Shares, and such registration statement has been declared effective by the Securities and Exchange Commission and is not subject to a stop order or otherwise suspended;</w:t>
      </w:r>
    </w:p>
    <w:p>
      <w:pPr>
        <w:spacing w:after="0" w:line="160" w:lineRule="exact"/>
        <w:rPr>
          <w:rFonts w:ascii="Arial" w:cs="Arial" w:eastAsia="Arial" w:hAnsi="Arial"/>
          <w:sz w:val="22"/>
          <w:szCs w:val="22"/>
          <w:color w:val="auto"/>
        </w:rPr>
      </w:pPr>
    </w:p>
    <w:p>
      <w:pPr>
        <w:ind w:left="1360" w:right="300" w:firstLine="1046"/>
        <w:spacing w:after="0" w:line="223" w:lineRule="auto"/>
        <w:tabs>
          <w:tab w:leader="none" w:pos="3238" w:val="left"/>
        </w:tabs>
        <w:numPr>
          <w:ilvl w:val="0"/>
          <w:numId w:val="52"/>
        </w:numPr>
        <w:rPr>
          <w:rFonts w:ascii="Arial" w:cs="Arial" w:eastAsia="Arial" w:hAnsi="Arial"/>
          <w:sz w:val="22"/>
          <w:szCs w:val="22"/>
          <w:color w:val="auto"/>
        </w:rPr>
      </w:pPr>
      <w:r>
        <w:rPr>
          <w:rFonts w:ascii="Arial" w:cs="Arial" w:eastAsia="Arial" w:hAnsi="Arial"/>
          <w:sz w:val="22"/>
          <w:szCs w:val="22"/>
          <w:color w:val="auto"/>
        </w:rPr>
        <w:t>if such plan contemplates the Extended Cure Sale being conducted pursuant to Rule 144, such plan contains evidence satisfactory to such Lender that such Extended Cure Sale will be conducted in compliance with the provisions of Rule 144; and</w:t>
      </w:r>
    </w:p>
    <w:p>
      <w:pPr>
        <w:spacing w:after="0" w:line="158" w:lineRule="exact"/>
        <w:rPr>
          <w:rFonts w:ascii="Arial" w:cs="Arial" w:eastAsia="Arial" w:hAnsi="Arial"/>
          <w:sz w:val="22"/>
          <w:szCs w:val="22"/>
          <w:color w:val="auto"/>
        </w:rPr>
      </w:pPr>
    </w:p>
    <w:p>
      <w:pPr>
        <w:ind w:left="1360" w:firstLine="1046"/>
        <w:spacing w:after="0" w:line="257" w:lineRule="auto"/>
        <w:tabs>
          <w:tab w:leader="none" w:pos="3238" w:val="left"/>
        </w:tabs>
        <w:numPr>
          <w:ilvl w:val="0"/>
          <w:numId w:val="52"/>
        </w:numPr>
        <w:rPr>
          <w:rFonts w:ascii="Arial" w:cs="Arial" w:eastAsia="Arial" w:hAnsi="Arial"/>
          <w:sz w:val="19"/>
          <w:szCs w:val="19"/>
          <w:color w:val="auto"/>
        </w:rPr>
      </w:pPr>
      <w:r>
        <w:rPr>
          <w:rFonts w:ascii="Arial" w:cs="Arial" w:eastAsia="Arial" w:hAnsi="Arial"/>
          <w:sz w:val="19"/>
          <w:szCs w:val="19"/>
          <w:color w:val="auto"/>
        </w:rPr>
        <w:t>such plan contains evidence satisfactory to such Lender that (x) the Extended Cure Sale will occur at a time at which the relevant Issuer is not in a “blackout period” with respect to the trading of its securities, (y) such Extended Cure Sale does not otherwise violate any corporate or trading policy of the relevant Issuer and (z) the sale otherwise complies with applicable Law and Transfer Restrictions.</w:t>
      </w:r>
    </w:p>
    <w:p>
      <w:pPr>
        <w:spacing w:after="0" w:line="144"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Not later than 1:00 p.m. on the next Scheduled Trading Day following delivery of a Collateral Call Notice (the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Deadline</w:t>
      </w:r>
      <w:r>
        <w:rPr>
          <w:rFonts w:ascii="Arial" w:cs="Arial" w:eastAsia="Arial" w:hAnsi="Arial"/>
          <w:sz w:val="19"/>
          <w:szCs w:val="19"/>
          <w:color w:val="auto"/>
        </w:rPr>
        <w:t>”), Borrowers shall (x) deliver a notice to Administrative Agent (which notice may be given by email) acknowledging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Borrowers’ receipt of such Collateral Call Notice, confirming that Borrowers will cure any Collateral Call Trigger Event prior to the Cure Time and notifying Administrative Agent of the manner in which Borrowers intend to cure any Collateral Call Trigger Event (including, whether any Cash deposited in the Collateral Accounts shall remain in the Collateral Accounts as Collateral or shall be applied to prepay the Advances), (y) if the Collateral Call Trigger Event is to be cured pursuant to clause (i) above, deliver to Administrative Agent prior to the Notice Deadline a copy of an irrevocable instruction to the bank of either Borrower or both Borrowers to transfer immediately available funds from the account of such Borrower or Borrowers with such bank to the Collateral Accounts in an aggregate amount that is sufficient to cure such Collateral Call Trigger Event prior to the Cure Time and (z) if the Collateral Call Trigger Event is to be cured pursuant to clause (ii) above, cause the proceeds of the Extended Cure Sale (and additional Cash if necessary) to be deposited into the Collateral Accounts and/or applied to partially prepay the outstanding Advances prior to the relevant Extended Cure Time in such amount necessary, after giving effect to such deposit and, if applicable, prepayment, to cause the LTV Level (determined based on the Market Price as of the Extended Cure Time) to be less than the Maintenance LTV Level.</w:t>
      </w:r>
    </w:p>
    <w:p>
      <w:pPr>
        <w:spacing w:after="0" w:line="376" w:lineRule="exact"/>
        <w:rPr>
          <w:sz w:val="20"/>
          <w:szCs w:val="20"/>
          <w:color w:val="auto"/>
        </w:rPr>
      </w:pPr>
    </w:p>
    <w:p>
      <w:pPr>
        <w:ind w:right="80" w:firstLine="850"/>
        <w:spacing w:after="0" w:line="216" w:lineRule="auto"/>
        <w:tabs>
          <w:tab w:leader="none" w:pos="1283" w:val="left"/>
        </w:tabs>
        <w:numPr>
          <w:ilvl w:val="0"/>
          <w:numId w:val="53"/>
        </w:numPr>
        <w:rPr>
          <w:rFonts w:ascii="Arial" w:cs="Arial" w:eastAsia="Arial" w:hAnsi="Arial"/>
          <w:sz w:val="22"/>
          <w:szCs w:val="22"/>
          <w:color w:val="auto"/>
        </w:rPr>
      </w:pPr>
      <w:r>
        <w:rPr>
          <w:rFonts w:ascii="Arial" w:cs="Arial" w:eastAsia="Arial" w:hAnsi="Arial"/>
          <w:sz w:val="22"/>
          <w:szCs w:val="22"/>
          <w:color w:val="auto"/>
        </w:rPr>
        <w:t>Borrowers shall not withdraw any Collateral from the Collateral Accounts, except that Borrowers shall be permitted to request the release of Collateral from the Collateral Accounts on a Pro Rata Basis, upon written notice thereof delivered by Borrowers to Administrative Agent on or before 11:00 a.m. three (3) Scheduled Trading Days prior to the requested date of the release, if Administrative Agent is reasonably satisfied that the conditions set forth in either clause (i) or clause (ii) below are met:</w:t>
      </w:r>
    </w:p>
    <w:p>
      <w:pPr>
        <w:spacing w:after="0" w:line="157" w:lineRule="exact"/>
        <w:rPr>
          <w:rFonts w:ascii="Arial" w:cs="Arial" w:eastAsia="Arial" w:hAnsi="Arial"/>
          <w:sz w:val="22"/>
          <w:szCs w:val="22"/>
          <w:color w:val="auto"/>
        </w:rPr>
      </w:pPr>
    </w:p>
    <w:p>
      <w:pPr>
        <w:ind w:left="2000" w:hanging="372"/>
        <w:spacing w:after="0"/>
        <w:tabs>
          <w:tab w:leader="none" w:pos="2000" w:val="left"/>
        </w:tabs>
        <w:numPr>
          <w:ilvl w:val="1"/>
          <w:numId w:val="53"/>
        </w:numPr>
        <w:rPr>
          <w:rFonts w:ascii="Arial" w:cs="Arial" w:eastAsia="Arial" w:hAnsi="Arial"/>
          <w:sz w:val="22"/>
          <w:szCs w:val="22"/>
          <w:color w:val="auto"/>
        </w:rPr>
      </w:pPr>
      <w:r>
        <w:rPr>
          <w:rFonts w:ascii="Arial" w:cs="Arial" w:eastAsia="Arial" w:hAnsi="Arial"/>
          <w:sz w:val="22"/>
          <w:szCs w:val="22"/>
          <w:color w:val="auto"/>
        </w:rPr>
        <w:t>in the case of a release of Cash or Cash Equivalents:</w:t>
      </w:r>
    </w:p>
    <w:p>
      <w:pPr>
        <w:spacing w:after="0" w:line="179" w:lineRule="exact"/>
        <w:rPr>
          <w:rFonts w:ascii="Arial" w:cs="Arial" w:eastAsia="Arial" w:hAnsi="Arial"/>
          <w:sz w:val="22"/>
          <w:szCs w:val="22"/>
          <w:color w:val="auto"/>
        </w:rPr>
      </w:pPr>
    </w:p>
    <w:p>
      <w:pPr>
        <w:ind w:left="1360" w:right="520" w:firstLine="1046"/>
        <w:spacing w:after="0" w:line="247" w:lineRule="auto"/>
        <w:tabs>
          <w:tab w:leader="none" w:pos="3236" w:val="left"/>
        </w:tabs>
        <w:numPr>
          <w:ilvl w:val="2"/>
          <w:numId w:val="53"/>
        </w:numPr>
        <w:rPr>
          <w:rFonts w:ascii="Arial" w:cs="Arial" w:eastAsia="Arial" w:hAnsi="Arial"/>
          <w:sz w:val="21"/>
          <w:szCs w:val="21"/>
          <w:color w:val="auto"/>
        </w:rPr>
      </w:pPr>
      <w:r>
        <w:rPr>
          <w:rFonts w:ascii="Arial" w:cs="Arial" w:eastAsia="Arial" w:hAnsi="Arial"/>
          <w:sz w:val="21"/>
          <w:szCs w:val="21"/>
          <w:color w:val="auto"/>
        </w:rPr>
        <w:t>on each of the five (5) consecutive Scheduled Trading Days immediately prior to such request, the LTV Level shall have been less than or equal to the Maintenance LTV Level;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20"/>
          </w:cols>
          <w:pgMar w:left="320" w:top="1440" w:right="359" w:bottom="1440" w:gutter="0" w:footer="0" w:header="0"/>
        </w:sectPr>
      </w:pPr>
    </w:p>
    <w:bookmarkStart w:id="97" w:name="page98"/>
    <w:bookmarkEnd w:id="97"/>
    <w:p>
      <w:pPr>
        <w:spacing w:after="0" w:line="200" w:lineRule="exact"/>
        <w:rPr>
          <w:sz w:val="20"/>
          <w:szCs w:val="20"/>
          <w:color w:val="auto"/>
        </w:rPr>
      </w:pPr>
    </w:p>
    <w:p>
      <w:pPr>
        <w:spacing w:after="0" w:line="234" w:lineRule="exact"/>
        <w:rPr>
          <w:sz w:val="20"/>
          <w:szCs w:val="20"/>
          <w:color w:val="auto"/>
        </w:rPr>
      </w:pPr>
    </w:p>
    <w:p>
      <w:pPr>
        <w:ind w:left="240" w:firstLine="1046"/>
        <w:spacing w:after="0" w:line="257" w:lineRule="auto"/>
        <w:tabs>
          <w:tab w:leader="none" w:pos="2118" w:val="left"/>
        </w:tabs>
        <w:numPr>
          <w:ilvl w:val="1"/>
          <w:numId w:val="54"/>
        </w:numPr>
        <w:rPr>
          <w:rFonts w:ascii="Arial" w:cs="Arial" w:eastAsia="Arial" w:hAnsi="Arial"/>
          <w:sz w:val="19"/>
          <w:szCs w:val="19"/>
          <w:color w:val="auto"/>
        </w:rPr>
      </w:pPr>
      <w:r>
        <w:rPr>
          <w:rFonts w:ascii="Arial" w:cs="Arial" w:eastAsia="Arial" w:hAnsi="Arial"/>
          <w:sz w:val="19"/>
          <w:szCs w:val="19"/>
          <w:color w:val="auto"/>
        </w:rPr>
        <w:t>immediately prior to, and immediately after, and giving effect to such release and any other release otherwise requested or effected pursuant to this Section 2.08(d)(i), (x) no Default, Event of Default, Adjustment Determination Period or Mandatory Prepayment Event shall have occurred and be continuing or would result therefrom and (y) the LTV Level shall be less than or equal to the Maintenance LTV Level; or</w:t>
      </w:r>
    </w:p>
    <w:p>
      <w:pPr>
        <w:spacing w:after="0" w:line="144" w:lineRule="exact"/>
        <w:rPr>
          <w:rFonts w:ascii="Arial" w:cs="Arial" w:eastAsia="Arial" w:hAnsi="Arial"/>
          <w:sz w:val="19"/>
          <w:szCs w:val="19"/>
          <w:color w:val="auto"/>
        </w:rPr>
      </w:pPr>
    </w:p>
    <w:p>
      <w:pPr>
        <w:ind w:left="820" w:hanging="312"/>
        <w:spacing w:after="0"/>
        <w:tabs>
          <w:tab w:leader="none" w:pos="8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 the case of a release of Collateral Shares:</w:t>
      </w:r>
    </w:p>
    <w:p>
      <w:pPr>
        <w:spacing w:after="0" w:line="179" w:lineRule="exact"/>
        <w:rPr>
          <w:rFonts w:ascii="Arial" w:cs="Arial" w:eastAsia="Arial" w:hAnsi="Arial"/>
          <w:sz w:val="22"/>
          <w:szCs w:val="22"/>
          <w:color w:val="auto"/>
        </w:rPr>
      </w:pPr>
    </w:p>
    <w:p>
      <w:pPr>
        <w:ind w:left="240" w:right="440" w:firstLine="1046"/>
        <w:spacing w:after="0" w:line="232" w:lineRule="auto"/>
        <w:tabs>
          <w:tab w:leader="none" w:pos="2116" w:val="left"/>
        </w:tabs>
        <w:numPr>
          <w:ilvl w:val="1"/>
          <w:numId w:val="55"/>
        </w:numPr>
        <w:rPr>
          <w:rFonts w:ascii="Arial" w:cs="Arial" w:eastAsia="Arial" w:hAnsi="Arial"/>
          <w:sz w:val="22"/>
          <w:szCs w:val="22"/>
          <w:color w:val="auto"/>
        </w:rPr>
      </w:pPr>
      <w:r>
        <w:rPr>
          <w:rFonts w:ascii="Arial" w:cs="Arial" w:eastAsia="Arial" w:hAnsi="Arial"/>
          <w:sz w:val="22"/>
          <w:szCs w:val="22"/>
          <w:color w:val="auto"/>
        </w:rPr>
        <w:t>on each of the five (5) consecutive Scheduled Trading Days immediately prior to such request, the LTV Level shall have been less than or equal to the Facility LTV;</w:t>
      </w:r>
    </w:p>
    <w:p>
      <w:pPr>
        <w:spacing w:after="0" w:line="158" w:lineRule="exact"/>
        <w:rPr>
          <w:rFonts w:ascii="Arial" w:cs="Arial" w:eastAsia="Arial" w:hAnsi="Arial"/>
          <w:sz w:val="22"/>
          <w:szCs w:val="22"/>
          <w:color w:val="auto"/>
        </w:rPr>
      </w:pPr>
    </w:p>
    <w:p>
      <w:pPr>
        <w:ind w:left="2120" w:hanging="834"/>
        <w:spacing w:after="0"/>
        <w:tabs>
          <w:tab w:leader="none" w:pos="2120" w:val="left"/>
        </w:tabs>
        <w:numPr>
          <w:ilvl w:val="1"/>
          <w:numId w:val="55"/>
        </w:numPr>
        <w:rPr>
          <w:rFonts w:ascii="Arial" w:cs="Arial" w:eastAsia="Arial" w:hAnsi="Arial"/>
          <w:sz w:val="22"/>
          <w:szCs w:val="22"/>
          <w:color w:val="auto"/>
        </w:rPr>
      </w:pPr>
      <w:r>
        <w:rPr>
          <w:rFonts w:ascii="Arial" w:cs="Arial" w:eastAsia="Arial" w:hAnsi="Arial"/>
          <w:sz w:val="22"/>
          <w:szCs w:val="22"/>
          <w:color w:val="auto"/>
        </w:rPr>
        <w:t>such release of Collateral Shares is in connection with a Permitted Transaction;</w:t>
      </w:r>
    </w:p>
    <w:p>
      <w:pPr>
        <w:spacing w:after="0" w:line="179" w:lineRule="exact"/>
        <w:rPr>
          <w:rFonts w:ascii="Arial" w:cs="Arial" w:eastAsia="Arial" w:hAnsi="Arial"/>
          <w:sz w:val="22"/>
          <w:szCs w:val="22"/>
          <w:color w:val="auto"/>
        </w:rPr>
      </w:pPr>
    </w:p>
    <w:p>
      <w:pPr>
        <w:ind w:left="240" w:right="160" w:firstLine="1046"/>
        <w:spacing w:after="0" w:line="298" w:lineRule="auto"/>
        <w:tabs>
          <w:tab w:leader="none" w:pos="2118" w:val="left"/>
        </w:tabs>
        <w:numPr>
          <w:ilvl w:val="1"/>
          <w:numId w:val="55"/>
        </w:numPr>
        <w:rPr>
          <w:rFonts w:ascii="Arial" w:cs="Arial" w:eastAsia="Arial" w:hAnsi="Arial"/>
          <w:sz w:val="19"/>
          <w:szCs w:val="19"/>
          <w:color w:val="auto"/>
        </w:rPr>
      </w:pPr>
      <w:r>
        <w:rPr>
          <w:rFonts w:ascii="Arial" w:cs="Arial" w:eastAsia="Arial" w:hAnsi="Arial"/>
          <w:sz w:val="19"/>
          <w:szCs w:val="19"/>
          <w:color w:val="auto"/>
        </w:rPr>
        <w:t>if the Collateral Shares are being released for the purpose of settling sales of Shares, such sales meet the following requirements (any such sale, a “</w:t>
      </w:r>
      <w:r>
        <w:rPr>
          <w:rFonts w:ascii="Arial" w:cs="Arial" w:eastAsia="Arial" w:hAnsi="Arial"/>
          <w:sz w:val="19"/>
          <w:szCs w:val="19"/>
          <w:b w:val="1"/>
          <w:bCs w:val="1"/>
          <w:i w:val="1"/>
          <w:iCs w:val="1"/>
          <w:color w:val="auto"/>
        </w:rPr>
        <w:t>Permitted Collateral Share Sale</w:t>
      </w:r>
      <w:r>
        <w:rPr>
          <w:rFonts w:ascii="Arial" w:cs="Arial" w:eastAsia="Arial" w:hAnsi="Arial"/>
          <w:sz w:val="19"/>
          <w:szCs w:val="19"/>
          <w:color w:val="auto"/>
        </w:rPr>
        <w:t>”):</w:t>
      </w:r>
    </w:p>
    <w:p>
      <w:pPr>
        <w:spacing w:after="0" w:line="105" w:lineRule="exact"/>
        <w:rPr>
          <w:rFonts w:ascii="Arial" w:cs="Arial" w:eastAsia="Arial" w:hAnsi="Arial"/>
          <w:sz w:val="19"/>
          <w:szCs w:val="19"/>
          <w:color w:val="auto"/>
        </w:rPr>
      </w:pPr>
    </w:p>
    <w:p>
      <w:pPr>
        <w:ind w:left="960" w:right="200" w:firstLine="1168"/>
        <w:spacing w:after="0" w:line="218" w:lineRule="auto"/>
        <w:tabs>
          <w:tab w:leader="none" w:pos="2770" w:val="left"/>
        </w:tabs>
        <w:numPr>
          <w:ilvl w:val="2"/>
          <w:numId w:val="55"/>
        </w:numPr>
        <w:rPr>
          <w:rFonts w:ascii="Arial" w:cs="Arial" w:eastAsia="Arial" w:hAnsi="Arial"/>
          <w:sz w:val="22"/>
          <w:szCs w:val="22"/>
          <w:color w:val="auto"/>
        </w:rPr>
      </w:pPr>
      <w:r>
        <w:rPr>
          <w:rFonts w:ascii="Arial" w:cs="Arial" w:eastAsia="Arial" w:hAnsi="Arial"/>
          <w:sz w:val="22"/>
          <w:szCs w:val="22"/>
          <w:color w:val="auto"/>
        </w:rPr>
        <w:t>the scheduled settlement date for such sale is no later than the second (2nd) Exchange Business Day (or, if such sale is executed after 4:00 p.m., the third (3rd) Exchange Business Day) following execution of such sale (unless Lenders consent, in their sole discretion, to a later settlement date);</w:t>
      </w:r>
    </w:p>
    <w:p>
      <w:pPr>
        <w:spacing w:after="0" w:line="187" w:lineRule="exact"/>
        <w:rPr>
          <w:rFonts w:ascii="Arial" w:cs="Arial" w:eastAsia="Arial" w:hAnsi="Arial"/>
          <w:sz w:val="22"/>
          <w:szCs w:val="22"/>
          <w:color w:val="auto"/>
        </w:rPr>
      </w:pPr>
    </w:p>
    <w:p>
      <w:pPr>
        <w:jc w:val="both"/>
        <w:ind w:left="960" w:right="40" w:firstLine="1168"/>
        <w:spacing w:after="0" w:line="218" w:lineRule="auto"/>
        <w:tabs>
          <w:tab w:leader="none" w:pos="2770" w:val="left"/>
        </w:tabs>
        <w:numPr>
          <w:ilvl w:val="2"/>
          <w:numId w:val="55"/>
        </w:numPr>
        <w:rPr>
          <w:rFonts w:ascii="Arial" w:cs="Arial" w:eastAsia="Arial" w:hAnsi="Arial"/>
          <w:sz w:val="22"/>
          <w:szCs w:val="22"/>
          <w:color w:val="auto"/>
        </w:rPr>
      </w:pPr>
      <w:r>
        <w:rPr>
          <w:rFonts w:ascii="Arial" w:cs="Arial" w:eastAsia="Arial" w:hAnsi="Arial"/>
          <w:sz w:val="22"/>
          <w:szCs w:val="22"/>
          <w:color w:val="auto"/>
        </w:rPr>
        <w:t>each Borrower represents to Lenders that it is not in possession of any Material Nonpublic Information with respect to the relevant Issuer or the Shares at the time of such sale (after giving effect to the filing of any related prospectus or press release) and that the sale otherwise complies with applicable Law and Transfer Restrictions;</w:t>
      </w:r>
    </w:p>
    <w:p>
      <w:pPr>
        <w:spacing w:after="0" w:line="160" w:lineRule="exact"/>
        <w:rPr>
          <w:rFonts w:ascii="Arial" w:cs="Arial" w:eastAsia="Arial" w:hAnsi="Arial"/>
          <w:sz w:val="22"/>
          <w:szCs w:val="22"/>
          <w:color w:val="auto"/>
        </w:rPr>
      </w:pPr>
    </w:p>
    <w:p>
      <w:pPr>
        <w:ind w:left="960" w:right="60" w:firstLine="1168"/>
        <w:spacing w:after="0" w:line="221" w:lineRule="auto"/>
        <w:tabs>
          <w:tab w:leader="none" w:pos="2770" w:val="left"/>
        </w:tabs>
        <w:numPr>
          <w:ilvl w:val="2"/>
          <w:numId w:val="55"/>
        </w:numPr>
        <w:rPr>
          <w:rFonts w:ascii="Arial" w:cs="Arial" w:eastAsia="Arial" w:hAnsi="Arial"/>
          <w:sz w:val="21"/>
          <w:szCs w:val="21"/>
          <w:color w:val="auto"/>
        </w:rPr>
      </w:pPr>
      <w:r>
        <w:rPr>
          <w:rFonts w:ascii="Arial" w:cs="Arial" w:eastAsia="Arial" w:hAnsi="Arial"/>
          <w:sz w:val="21"/>
          <w:szCs w:val="21"/>
          <w:color w:val="auto"/>
        </w:rPr>
        <w:t xml:space="preserve">Administrative Agent is reasonably satisfied that such sale is executed pursuant to documentation or other arrangements that provide for 100% of the proceeds of such sales (or, if less, the Total Accrued Loan Amount) being paid, on a delivery-versus-payment basis to the Collateral Accounts on a Pro Rata Basis (or pursuant to other arrangements reasonably satisfactory to Lenders), to be (x) released pursuant to Section 2.08(d)(i) and/or (y) used to partially prepay the outstanding Advances;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if a Collateral Call Trigger Event has occurred and is continuing prior to such sales, the</w:t>
      </w:r>
      <w:r>
        <w:rPr>
          <w:rFonts w:ascii="Arial" w:cs="Arial" w:eastAsia="Arial" w:hAnsi="Arial"/>
          <w:sz w:val="21"/>
          <w:szCs w:val="21"/>
          <w:i w:val="1"/>
          <w:iCs w:val="1"/>
          <w:color w:val="auto"/>
        </w:rPr>
        <w:t xml:space="preserve"> </w:t>
      </w:r>
      <w:r>
        <w:rPr>
          <w:rFonts w:ascii="Arial" w:cs="Arial" w:eastAsia="Arial" w:hAnsi="Arial"/>
          <w:sz w:val="21"/>
          <w:szCs w:val="21"/>
          <w:color w:val="auto"/>
        </w:rPr>
        <w:t>proceeds of such sales shall remain in the Collateral Accounts for a minimum of seven (7) Business Days;</w:t>
      </w:r>
    </w:p>
    <w:p>
      <w:pPr>
        <w:spacing w:after="0" w:line="165" w:lineRule="exact"/>
        <w:rPr>
          <w:rFonts w:ascii="Arial" w:cs="Arial" w:eastAsia="Arial" w:hAnsi="Arial"/>
          <w:sz w:val="21"/>
          <w:szCs w:val="21"/>
          <w:color w:val="auto"/>
        </w:rPr>
      </w:pPr>
    </w:p>
    <w:p>
      <w:pPr>
        <w:ind w:left="2780" w:hanging="652"/>
        <w:spacing w:after="0"/>
        <w:tabs>
          <w:tab w:leader="none" w:pos="2780" w:val="left"/>
        </w:tabs>
        <w:numPr>
          <w:ilvl w:val="2"/>
          <w:numId w:val="55"/>
        </w:numPr>
        <w:rPr>
          <w:rFonts w:ascii="Arial" w:cs="Arial" w:eastAsia="Arial" w:hAnsi="Arial"/>
          <w:sz w:val="22"/>
          <w:szCs w:val="22"/>
          <w:color w:val="auto"/>
        </w:rPr>
      </w:pPr>
      <w:r>
        <w:rPr>
          <w:rFonts w:ascii="Arial" w:cs="Arial" w:eastAsia="Arial" w:hAnsi="Arial"/>
          <w:sz w:val="22"/>
          <w:szCs w:val="22"/>
          <w:color w:val="auto"/>
        </w:rPr>
        <w:t>such sale of Collateral Shares shall be on a Pro Rata Basis;</w:t>
      </w:r>
    </w:p>
    <w:p>
      <w:pPr>
        <w:spacing w:after="0" w:line="179" w:lineRule="exact"/>
        <w:rPr>
          <w:rFonts w:ascii="Arial" w:cs="Arial" w:eastAsia="Arial" w:hAnsi="Arial"/>
          <w:sz w:val="22"/>
          <w:szCs w:val="22"/>
          <w:color w:val="auto"/>
        </w:rPr>
      </w:pPr>
    </w:p>
    <w:p>
      <w:pPr>
        <w:ind w:left="960" w:right="100" w:firstLine="1168"/>
        <w:spacing w:after="0" w:line="268" w:lineRule="auto"/>
        <w:tabs>
          <w:tab w:leader="none" w:pos="2770" w:val="left"/>
        </w:tabs>
        <w:numPr>
          <w:ilvl w:val="2"/>
          <w:numId w:val="55"/>
        </w:numPr>
        <w:rPr>
          <w:rFonts w:ascii="Arial" w:cs="Arial" w:eastAsia="Arial" w:hAnsi="Arial"/>
          <w:sz w:val="19"/>
          <w:szCs w:val="19"/>
          <w:color w:val="auto"/>
        </w:rPr>
      </w:pPr>
      <w:r>
        <w:rPr>
          <w:rFonts w:ascii="Arial" w:cs="Arial" w:eastAsia="Arial" w:hAnsi="Arial"/>
          <w:sz w:val="19"/>
          <w:szCs w:val="19"/>
          <w:color w:val="auto"/>
        </w:rPr>
        <w:t>immediately after and giving effect to such release, the receipt of the sale proceeds into the Collateral Accounts and, if applicable, prepayment of the outstanding Advances and any other release otherwise requested or effected pursuant to this Section 2.08(d),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0020"/>
          </w:cols>
          <w:pgMar w:left="1440" w:top="1440" w:right="439" w:bottom="1440" w:gutter="0" w:footer="0" w:header="0"/>
        </w:sectPr>
      </w:pPr>
    </w:p>
    <w:bookmarkStart w:id="98" w:name="page99"/>
    <w:bookmarkEnd w:id="98"/>
    <w:p>
      <w:pPr>
        <w:spacing w:after="0" w:line="200" w:lineRule="exact"/>
        <w:rPr>
          <w:sz w:val="20"/>
          <w:szCs w:val="20"/>
          <w:color w:val="auto"/>
        </w:rPr>
      </w:pPr>
    </w:p>
    <w:p>
      <w:pPr>
        <w:spacing w:after="0" w:line="234" w:lineRule="exact"/>
        <w:rPr>
          <w:sz w:val="20"/>
          <w:szCs w:val="20"/>
          <w:color w:val="auto"/>
        </w:rPr>
      </w:pPr>
    </w:p>
    <w:p>
      <w:pPr>
        <w:ind w:left="960" w:right="20"/>
        <w:spacing w:after="0" w:line="223" w:lineRule="auto"/>
        <w:rPr>
          <w:sz w:val="20"/>
          <w:szCs w:val="20"/>
          <w:color w:val="auto"/>
        </w:rPr>
      </w:pPr>
      <w:r>
        <w:rPr>
          <w:rFonts w:ascii="Arial" w:cs="Arial" w:eastAsia="Arial" w:hAnsi="Arial"/>
          <w:sz w:val="22"/>
          <w:szCs w:val="22"/>
          <w:color w:val="auto"/>
        </w:rPr>
        <w:t>the LTV Level would be equal to or less than the Maintenance LTV Level, unless such proceeds are used to repay the Obligations in full (for the avoidance of doubt, nothing in this clause (5) shall limit the applicability of clause (3) above);</w:t>
      </w:r>
    </w:p>
    <w:p>
      <w:pPr>
        <w:spacing w:after="0" w:line="159" w:lineRule="exact"/>
        <w:rPr>
          <w:sz w:val="20"/>
          <w:szCs w:val="20"/>
          <w:color w:val="auto"/>
        </w:rPr>
      </w:pPr>
    </w:p>
    <w:p>
      <w:pPr>
        <w:ind w:left="960" w:firstLine="1168"/>
        <w:spacing w:after="0" w:line="218" w:lineRule="auto"/>
        <w:tabs>
          <w:tab w:leader="none" w:pos="2770" w:val="left"/>
        </w:tabs>
        <w:numPr>
          <w:ilvl w:val="2"/>
          <w:numId w:val="56"/>
        </w:numPr>
        <w:rPr>
          <w:rFonts w:ascii="Arial" w:cs="Arial" w:eastAsia="Arial" w:hAnsi="Arial"/>
          <w:sz w:val="22"/>
          <w:szCs w:val="22"/>
          <w:color w:val="auto"/>
        </w:rPr>
      </w:pPr>
      <w:r>
        <w:rPr>
          <w:rFonts w:ascii="Arial" w:cs="Arial" w:eastAsia="Arial" w:hAnsi="Arial"/>
          <w:sz w:val="22"/>
          <w:szCs w:val="22"/>
          <w:color w:val="auto"/>
        </w:rPr>
        <w:t>immediately prior to, and immediately after and giving effect to, such release, no Default, Event of Default, Mandatory Prepayment Event, or Adjustment Determination Period shall have occurred and be continuing or would result therefrom (after giving effect to any other Acceptable Collateral deposited in conjunction therewith); and</w:t>
      </w:r>
    </w:p>
    <w:p>
      <w:pPr>
        <w:spacing w:after="0" w:line="160" w:lineRule="exact"/>
        <w:rPr>
          <w:rFonts w:ascii="Arial" w:cs="Arial" w:eastAsia="Arial" w:hAnsi="Arial"/>
          <w:sz w:val="22"/>
          <w:szCs w:val="22"/>
          <w:color w:val="auto"/>
        </w:rPr>
      </w:pPr>
    </w:p>
    <w:p>
      <w:pPr>
        <w:ind w:left="2780" w:hanging="652"/>
        <w:spacing w:after="0"/>
        <w:tabs>
          <w:tab w:leader="none" w:pos="2780" w:val="left"/>
        </w:tabs>
        <w:numPr>
          <w:ilvl w:val="2"/>
          <w:numId w:val="56"/>
        </w:numPr>
        <w:rPr>
          <w:rFonts w:ascii="Arial" w:cs="Arial" w:eastAsia="Arial" w:hAnsi="Arial"/>
          <w:sz w:val="19"/>
          <w:szCs w:val="19"/>
          <w:color w:val="auto"/>
        </w:rPr>
      </w:pPr>
      <w:r>
        <w:rPr>
          <w:rFonts w:ascii="Arial" w:cs="Arial" w:eastAsia="Arial" w:hAnsi="Arial"/>
          <w:sz w:val="19"/>
          <w:szCs w:val="19"/>
          <w:color w:val="auto"/>
        </w:rPr>
        <w:t>if a Collateral Call Trigger Event has occurred and is continuing prior to such sales</w:t>
      </w:r>
    </w:p>
    <w:p>
      <w:pPr>
        <w:spacing w:after="0" w:line="15" w:lineRule="exact"/>
        <w:rPr>
          <w:rFonts w:ascii="Arial" w:cs="Arial" w:eastAsia="Arial" w:hAnsi="Arial"/>
          <w:sz w:val="19"/>
          <w:szCs w:val="19"/>
          <w:color w:val="auto"/>
        </w:rPr>
      </w:pPr>
    </w:p>
    <w:p>
      <w:pPr>
        <w:ind w:left="960" w:right="60" w:firstLine="2"/>
        <w:spacing w:after="0" w:line="222" w:lineRule="auto"/>
        <w:tabs>
          <w:tab w:leader="none" w:pos="1266" w:val="left"/>
        </w:tabs>
        <w:numPr>
          <w:ilvl w:val="0"/>
          <w:numId w:val="57"/>
        </w:numPr>
        <w:rPr>
          <w:rFonts w:ascii="Arial" w:cs="Arial" w:eastAsia="Arial" w:hAnsi="Arial"/>
          <w:sz w:val="21"/>
          <w:szCs w:val="21"/>
          <w:color w:val="auto"/>
        </w:rPr>
      </w:pPr>
      <w:r>
        <w:rPr>
          <w:rFonts w:ascii="Arial" w:cs="Arial" w:eastAsia="Arial" w:hAnsi="Arial"/>
          <w:sz w:val="21"/>
          <w:szCs w:val="21"/>
          <w:color w:val="auto"/>
        </w:rPr>
        <w:t>Borrowers have (I) notified the Lenders of its intention to sell such Collateral Shares, stating the expected number of Collateral Shares subject to such sales and (II) consulted with the Lenders regarding the execution strategy (including with respect to pricing and the manner of sale), communication to current and prospective investors and public announcements and disclosures in filings with respect to such sales and the Transactions; and</w:t>
      </w:r>
    </w:p>
    <w:p>
      <w:pPr>
        <w:spacing w:after="0" w:line="161" w:lineRule="exact"/>
        <w:rPr>
          <w:rFonts w:ascii="Arial" w:cs="Arial" w:eastAsia="Arial" w:hAnsi="Arial"/>
          <w:sz w:val="21"/>
          <w:szCs w:val="21"/>
          <w:color w:val="auto"/>
        </w:rPr>
      </w:pPr>
    </w:p>
    <w:p>
      <w:pPr>
        <w:ind w:left="240" w:right="280" w:firstLine="1046"/>
        <w:spacing w:after="0" w:line="232" w:lineRule="auto"/>
        <w:tabs>
          <w:tab w:leader="none" w:pos="2116" w:val="left"/>
        </w:tabs>
        <w:numPr>
          <w:ilvl w:val="1"/>
          <w:numId w:val="57"/>
        </w:numPr>
        <w:rPr>
          <w:rFonts w:ascii="Arial" w:cs="Arial" w:eastAsia="Arial" w:hAnsi="Arial"/>
          <w:sz w:val="22"/>
          <w:szCs w:val="22"/>
          <w:color w:val="auto"/>
        </w:rPr>
      </w:pPr>
      <w:r>
        <w:rPr>
          <w:rFonts w:ascii="Arial" w:cs="Arial" w:eastAsia="Arial" w:hAnsi="Arial"/>
          <w:sz w:val="22"/>
          <w:szCs w:val="22"/>
          <w:color w:val="auto"/>
        </w:rPr>
        <w:t>if the Collateral Shares are being released in conjunction with any Permitted Transaction that is not a Permitted Collateral Share Sale:</w:t>
      </w:r>
    </w:p>
    <w:p>
      <w:pPr>
        <w:spacing w:after="0" w:line="158" w:lineRule="exact"/>
        <w:rPr>
          <w:rFonts w:ascii="Arial" w:cs="Arial" w:eastAsia="Arial" w:hAnsi="Arial"/>
          <w:sz w:val="22"/>
          <w:szCs w:val="22"/>
          <w:color w:val="auto"/>
        </w:rPr>
      </w:pPr>
    </w:p>
    <w:p>
      <w:pPr>
        <w:ind w:left="960" w:firstLine="1168"/>
        <w:spacing w:after="0" w:line="214" w:lineRule="auto"/>
        <w:tabs>
          <w:tab w:leader="none" w:pos="2770" w:val="left"/>
        </w:tabs>
        <w:numPr>
          <w:ilvl w:val="2"/>
          <w:numId w:val="57"/>
        </w:numPr>
        <w:rPr>
          <w:rFonts w:ascii="Arial" w:cs="Arial" w:eastAsia="Arial" w:hAnsi="Arial"/>
          <w:sz w:val="22"/>
          <w:szCs w:val="22"/>
          <w:color w:val="auto"/>
        </w:rPr>
      </w:pPr>
      <w:r>
        <w:rPr>
          <w:rFonts w:ascii="Arial" w:cs="Arial" w:eastAsia="Arial" w:hAnsi="Arial"/>
          <w:sz w:val="22"/>
          <w:szCs w:val="22"/>
          <w:color w:val="auto"/>
        </w:rPr>
        <w:t>Administrative Agent is reasonably satisfied that such transaction is executed pursuant to documentation or other arrangements that provide for 100% of the proceeds of such transactions (or, if less, the Total Accrued Loan Amount) being paid, on a delivery-versus-payment basis to the Collateral Accounts on a Pro Rata Basis (or pursuant to other arrangements reasonably satisfactory to Lender) and, if applicable, to partially prepay the outstanding Advances, to be released pursuant to Section 2.08(d);</w:t>
      </w:r>
    </w:p>
    <w:p>
      <w:pPr>
        <w:spacing w:after="0" w:line="158" w:lineRule="exact"/>
        <w:rPr>
          <w:rFonts w:ascii="Arial" w:cs="Arial" w:eastAsia="Arial" w:hAnsi="Arial"/>
          <w:sz w:val="22"/>
          <w:szCs w:val="22"/>
          <w:color w:val="auto"/>
        </w:rPr>
      </w:pPr>
    </w:p>
    <w:p>
      <w:pPr>
        <w:ind w:left="960" w:firstLine="1168"/>
        <w:spacing w:after="0" w:line="218" w:lineRule="auto"/>
        <w:tabs>
          <w:tab w:leader="none" w:pos="2770" w:val="left"/>
        </w:tabs>
        <w:numPr>
          <w:ilvl w:val="2"/>
          <w:numId w:val="57"/>
        </w:numPr>
        <w:rPr>
          <w:rFonts w:ascii="Arial" w:cs="Arial" w:eastAsia="Arial" w:hAnsi="Arial"/>
          <w:sz w:val="22"/>
          <w:szCs w:val="22"/>
          <w:color w:val="auto"/>
        </w:rPr>
      </w:pPr>
      <w:r>
        <w:rPr>
          <w:rFonts w:ascii="Arial" w:cs="Arial" w:eastAsia="Arial" w:hAnsi="Arial"/>
          <w:sz w:val="22"/>
          <w:szCs w:val="22"/>
          <w:color w:val="auto"/>
        </w:rPr>
        <w:t>immediately prior to, and immediately after and giving effect to, such release, the receipt of the transaction proceeds into the Collateral Accounts and any other release otherwise requested or effected pursuant to this Section 2.08(d), the LTV Level would be equal to or less than the Facility LTV;</w:t>
      </w:r>
    </w:p>
    <w:p>
      <w:pPr>
        <w:spacing w:after="0" w:line="160" w:lineRule="exact"/>
        <w:rPr>
          <w:rFonts w:ascii="Arial" w:cs="Arial" w:eastAsia="Arial" w:hAnsi="Arial"/>
          <w:sz w:val="22"/>
          <w:szCs w:val="22"/>
          <w:color w:val="auto"/>
        </w:rPr>
      </w:pPr>
    </w:p>
    <w:p>
      <w:pPr>
        <w:ind w:left="960" w:right="140" w:firstLine="1168"/>
        <w:spacing w:after="0" w:line="218" w:lineRule="auto"/>
        <w:tabs>
          <w:tab w:leader="none" w:pos="2770" w:val="left"/>
        </w:tabs>
        <w:numPr>
          <w:ilvl w:val="2"/>
          <w:numId w:val="57"/>
        </w:numPr>
        <w:rPr>
          <w:rFonts w:ascii="Arial" w:cs="Arial" w:eastAsia="Arial" w:hAnsi="Arial"/>
          <w:sz w:val="22"/>
          <w:szCs w:val="22"/>
          <w:color w:val="auto"/>
        </w:rPr>
      </w:pPr>
      <w:r>
        <w:rPr>
          <w:rFonts w:ascii="Arial" w:cs="Arial" w:eastAsia="Arial" w:hAnsi="Arial"/>
          <w:sz w:val="22"/>
          <w:szCs w:val="22"/>
          <w:color w:val="auto"/>
        </w:rPr>
        <w:t>immediately after and giving effect to such release, no Default, Event of Default, Collateral Call Trigger Event, Mandatory Prepayment Event, or Adjustment Determination Period shall have occurred and be continuing or would result therefrom (after giving effect to any other Acceptable Collateral deposited in conjunction therewith); and</w:t>
      </w:r>
    </w:p>
    <w:p>
      <w:pPr>
        <w:spacing w:after="0" w:line="160" w:lineRule="exact"/>
        <w:rPr>
          <w:rFonts w:ascii="Arial" w:cs="Arial" w:eastAsia="Arial" w:hAnsi="Arial"/>
          <w:sz w:val="22"/>
          <w:szCs w:val="22"/>
          <w:color w:val="auto"/>
        </w:rPr>
      </w:pPr>
    </w:p>
    <w:p>
      <w:pPr>
        <w:jc w:val="both"/>
        <w:ind w:left="960" w:right="260" w:firstLine="1168"/>
        <w:spacing w:after="0" w:line="268" w:lineRule="auto"/>
        <w:tabs>
          <w:tab w:leader="none" w:pos="2770" w:val="left"/>
        </w:tabs>
        <w:numPr>
          <w:ilvl w:val="2"/>
          <w:numId w:val="57"/>
        </w:numPr>
        <w:rPr>
          <w:rFonts w:ascii="Arial" w:cs="Arial" w:eastAsia="Arial" w:hAnsi="Arial"/>
          <w:sz w:val="19"/>
          <w:szCs w:val="19"/>
          <w:color w:val="auto"/>
        </w:rPr>
      </w:pPr>
      <w:r>
        <w:rPr>
          <w:rFonts w:ascii="Arial" w:cs="Arial" w:eastAsia="Arial" w:hAnsi="Arial"/>
          <w:sz w:val="19"/>
          <w:szCs w:val="19"/>
          <w:color w:val="auto"/>
        </w:rPr>
        <w:t>each Borrower represents to Lenders that it is not in possession of Material Nonpublic Information with respect to the Issuer or the Shares being released at the time of such transaction and that the transaction otherwise complies with applicable Law and Transfer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0060"/>
          </w:cols>
          <w:pgMar w:left="1440" w:top="1440" w:right="399" w:bottom="1440" w:gutter="0" w:footer="0" w:header="0"/>
        </w:sectPr>
      </w:pPr>
    </w:p>
    <w:bookmarkStart w:id="99" w:name="page100"/>
    <w:bookmarkEnd w:id="99"/>
    <w:p>
      <w:pPr>
        <w:spacing w:after="0" w:line="200" w:lineRule="exact"/>
        <w:rPr>
          <w:sz w:val="20"/>
          <w:szCs w:val="20"/>
          <w:color w:val="auto"/>
        </w:rPr>
      </w:pPr>
    </w:p>
    <w:p>
      <w:pPr>
        <w:spacing w:after="0" w:line="234" w:lineRule="exact"/>
        <w:rPr>
          <w:sz w:val="20"/>
          <w:szCs w:val="20"/>
          <w:color w:val="auto"/>
        </w:rPr>
      </w:pPr>
    </w:p>
    <w:p>
      <w:pPr>
        <w:ind w:right="1000" w:firstLine="648"/>
        <w:spacing w:after="0" w:line="232" w:lineRule="auto"/>
        <w:rPr>
          <w:sz w:val="20"/>
          <w:szCs w:val="20"/>
          <w:color w:val="auto"/>
        </w:rPr>
      </w:pPr>
      <w:r>
        <w:rPr>
          <w:rFonts w:ascii="Arial" w:cs="Arial" w:eastAsia="Arial" w:hAnsi="Arial"/>
          <w:sz w:val="22"/>
          <w:szCs w:val="22"/>
          <w:color w:val="auto"/>
        </w:rPr>
        <w:t>For the avoidance of doubt, no Lender or any Affiliate of a Lender shall have any obligation to act as broker or underwriter in any Permitted Collateral Share Sales.</w:t>
      </w:r>
    </w:p>
    <w:p>
      <w:pPr>
        <w:spacing w:after="0" w:line="159" w:lineRule="exact"/>
        <w:rPr>
          <w:sz w:val="20"/>
          <w:szCs w:val="20"/>
          <w:color w:val="auto"/>
        </w:rPr>
      </w:pPr>
    </w:p>
    <w:p>
      <w:pPr>
        <w:ind w:firstLine="850"/>
        <w:spacing w:after="0" w:line="243" w:lineRule="auto"/>
        <w:tabs>
          <w:tab w:leader="none" w:pos="1284" w:val="left"/>
        </w:tabs>
        <w:numPr>
          <w:ilvl w:val="0"/>
          <w:numId w:val="58"/>
        </w:numPr>
        <w:rPr>
          <w:rFonts w:ascii="Arial" w:cs="Arial" w:eastAsia="Arial" w:hAnsi="Arial"/>
          <w:sz w:val="19"/>
          <w:szCs w:val="19"/>
          <w:color w:val="auto"/>
        </w:rPr>
      </w:pPr>
      <w:r>
        <w:rPr>
          <w:rFonts w:ascii="Arial" w:cs="Arial" w:eastAsia="Arial" w:hAnsi="Arial"/>
          <w:sz w:val="19"/>
          <w:szCs w:val="19"/>
          <w:color w:val="auto"/>
        </w:rPr>
        <w:t>Each Borrower shall use its commercially reasonable efforts to cause the Issuers to deposit into the Collateral Accounts, or, in the case of any property or assets other than Cash and securities entitlements, deliver to the Applicable Lenders (subject to its reasonable delivery instructions), on a Pro Rata Basis, any dividend or distribution paid or distributed on the Collateral Shares, or any securities or securities entitlements (x) exchanged for, or delivered upon conversion of, the Collateral Shares in a Merger Event or (y) delivered in respect of the Collateral Shares in connection with a spin-off, and if any such Cash, securities, securities entitlements or other property or assets are received by such Borrower or its Affiliate for any reason, such Borrower shall, or shall cause its Affiliate to, make such deposit or delivery as promptly as practicable and in any event no later than two (2) Business Days following such receipt (and pending such delivery, shall hold such property in trust for the Applicable Lenders), subject, in each case, to any subsequent release thereof in accordance with Section 2.08(d). Borrowers shall not tender any Collateral Shares in any exchange offer (including, without limitation, a split-off) without the consent of the Required Lenders (such consent not to be unreasonably withheld or delayed).</w:t>
      </w:r>
    </w:p>
    <w:p>
      <w:pPr>
        <w:spacing w:after="0" w:line="158" w:lineRule="exact"/>
        <w:rPr>
          <w:rFonts w:ascii="Arial" w:cs="Arial" w:eastAsia="Arial" w:hAnsi="Arial"/>
          <w:sz w:val="19"/>
          <w:szCs w:val="19"/>
          <w:color w:val="auto"/>
        </w:rPr>
      </w:pPr>
    </w:p>
    <w:p>
      <w:pPr>
        <w:ind w:firstLine="850"/>
        <w:spacing w:after="0"/>
        <w:tabs>
          <w:tab w:leader="none" w:pos="1288"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Borrowers may deposit, from time to time after the Closing Date and upon at least three (3) Business Days’ notice to Administrative Agent, Shares constituting Acceptable Collateral into the Collateral Accounts on a Pro Rata Basis,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(1) the Guarantee Agreement shall be amended (or a new Guarantee Agreement shall be issued) (i) to extend the Guarantee Termination Date to the date one year from the delivery of such Shares (or provide for such Guarantee Termination Date) and (ii) to delay (or provide that) the start date of any period during which the Guarantee Agreement will not be enforced pursuant to the proviso to Section 1.08 of the Guarantee Agreement to (or will be) the date six months from the delivery of such Shares and (2) the delivery of such Shares does not cause the aggregate number of Shares of any Share Type that are Collateral Shares to exceed the Maximum Share Number in respect of such Share Type. Any pledge of Additional Collateral Shares shall be deemed to constitute a representation by the Borrowers that each of the representations and warranties contained in Article 3, the Security Agreement and the Control Agreement shall be true and correct on and as of the date of such pledge, except to the extent that such representations and warranties specifically refer to an earlier date, in which case they shall be true and correct as of such earlier date. Administrative Agent and Lenders hereby agree to cooperate with and reasonably promptly respond to requests from Borrowers, Guarantor and Affiliates of Borrowers and Guarantor in connection with any deposit of Shares into the Collateral Accounts pursuant to this Section 2.08(f). Notwithstanding the foregoing, prior to any deposit of Shares being effected pursuant to this Section 2.08(f), the Administrative Agent, Lenders and Custodian shall have completed, if not completed in connection with the deposit of the Initial Collateral Shares, any and all applicable “know your customer” procedures and other account opening documentation in respect of the Affiliate(s) of a Borrower or of Guarantor making a deposit in connection with this Section 2.08(f).</w:t>
      </w:r>
    </w:p>
    <w:p>
      <w:pPr>
        <w:spacing w:after="0" w:line="39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179" w:lineRule="exact"/>
        <w:rPr>
          <w:sz w:val="20"/>
          <w:szCs w:val="20"/>
          <w:color w:val="auto"/>
        </w:rPr>
      </w:pPr>
    </w:p>
    <w:p>
      <w:pPr>
        <w:ind w:left="1300" w:hanging="450"/>
        <w:spacing w:after="0"/>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If any Change in Law shall:</w:t>
      </w:r>
    </w:p>
    <w:p>
      <w:pPr>
        <w:spacing w:after="0" w:line="179" w:lineRule="exact"/>
        <w:rPr>
          <w:rFonts w:ascii="Arial" w:cs="Arial" w:eastAsia="Arial" w:hAnsi="Arial"/>
          <w:sz w:val="22"/>
          <w:szCs w:val="22"/>
          <w:color w:val="auto"/>
        </w:rPr>
      </w:pPr>
    </w:p>
    <w:p>
      <w:pPr>
        <w:ind w:left="660" w:right="520" w:firstLine="968"/>
        <w:spacing w:after="0" w:line="232" w:lineRule="auto"/>
        <w:tabs>
          <w:tab w:leader="none" w:pos="1944" w:val="left"/>
        </w:tabs>
        <w:numPr>
          <w:ilvl w:val="1"/>
          <w:numId w:val="59"/>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or similar requirement (including any compulsory loan requirement, insurance charge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assessment) against assets of, deposits with or for the account of, or credit extended by, any Lender;</w:t>
      </w:r>
    </w:p>
    <w:p>
      <w:pPr>
        <w:spacing w:after="0" w:line="179" w:lineRule="exact"/>
        <w:rPr>
          <w:sz w:val="20"/>
          <w:szCs w:val="20"/>
          <w:color w:val="auto"/>
        </w:rPr>
      </w:pPr>
    </w:p>
    <w:p>
      <w:pPr>
        <w:ind w:left="660" w:right="320" w:firstLine="968"/>
        <w:spacing w:after="0" w:line="247" w:lineRule="auto"/>
        <w:tabs>
          <w:tab w:leader="none" w:pos="1950" w:val="left"/>
        </w:tabs>
        <w:numPr>
          <w:ilvl w:val="0"/>
          <w:numId w:val="60"/>
        </w:numPr>
        <w:rPr>
          <w:rFonts w:ascii="Arial" w:cs="Arial" w:eastAsia="Arial" w:hAnsi="Arial"/>
          <w:sz w:val="21"/>
          <w:szCs w:val="21"/>
          <w:color w:val="auto"/>
        </w:rPr>
      </w:pPr>
      <w:r>
        <w:rPr>
          <w:rFonts w:ascii="Arial" w:cs="Arial" w:eastAsia="Arial" w:hAnsi="Arial"/>
          <w:sz w:val="21"/>
          <w:szCs w:val="21"/>
          <w:color w:val="auto"/>
        </w:rPr>
        <w:t>impose on any Lender or the London interbank market any other condition, cost or expense (other than Taxes) affecting this Agreement or Advances made by such Lender or participation therein; or</w:t>
      </w:r>
    </w:p>
    <w:p>
      <w:pPr>
        <w:spacing w:after="0" w:line="178" w:lineRule="exact"/>
        <w:rPr>
          <w:sz w:val="20"/>
          <w:szCs w:val="20"/>
          <w:color w:val="auto"/>
        </w:rPr>
      </w:pPr>
    </w:p>
    <w:p>
      <w:pPr>
        <w:ind w:left="660" w:right="460" w:firstLine="972"/>
        <w:spacing w:after="0" w:line="268" w:lineRule="auto"/>
        <w:rPr>
          <w:sz w:val="20"/>
          <w:szCs w:val="20"/>
          <w:color w:val="auto"/>
        </w:rPr>
      </w:pPr>
      <w:r>
        <w:rPr>
          <w:rFonts w:ascii="Arial" w:cs="Arial" w:eastAsia="Arial" w:hAnsi="Arial"/>
          <w:sz w:val="19"/>
          <w:szCs w:val="19"/>
          <w:color w:val="auto"/>
        </w:rPr>
        <w:t>(iii)subject any Lender to any Taxes (other than (1) Indemnified Taxes, (2) Taxes described in clauses (b) through (d) of the definition of “Excluded Taxes” and (3) Connection Income Taxes) on its loans, loan principal, commitments, or other obligations, or its deposits, reserves, other liabilities or capital attributable thereto;</w:t>
      </w:r>
    </w:p>
    <w:p>
      <w:pPr>
        <w:spacing w:after="0" w:line="132" w:lineRule="exact"/>
        <w:rPr>
          <w:sz w:val="20"/>
          <w:szCs w:val="20"/>
          <w:color w:val="auto"/>
        </w:rPr>
      </w:pPr>
    </w:p>
    <w:p>
      <w:pPr>
        <w:jc w:val="both"/>
        <w:ind w:right="580"/>
        <w:spacing w:after="0" w:line="257" w:lineRule="auto"/>
        <w:rPr>
          <w:sz w:val="20"/>
          <w:szCs w:val="20"/>
          <w:color w:val="auto"/>
        </w:rPr>
      </w:pPr>
      <w:r>
        <w:rPr>
          <w:rFonts w:ascii="Arial" w:cs="Arial" w:eastAsia="Arial" w:hAnsi="Arial"/>
          <w:sz w:val="19"/>
          <w:szCs w:val="19"/>
          <w:color w:val="auto"/>
        </w:rPr>
        <w:t>and the result of any of the foregoing shall be to increase the cost to such Lender of making or maintaining the Advances hereunder (or of maintaining its Commitment) or to reduce the amount of any sum received or receivable by such Lender hereunder (whether of principal, interest or otherwise), then Borrowers will pay to such Lender, such additional amount or amounts as will compensate Lender for such reasonable additional costs incurred or reduction suffered.</w:t>
      </w:r>
    </w:p>
    <w:p>
      <w:pPr>
        <w:spacing w:after="0" w:line="144" w:lineRule="exact"/>
        <w:rPr>
          <w:sz w:val="20"/>
          <w:szCs w:val="20"/>
          <w:color w:val="auto"/>
        </w:rPr>
      </w:pPr>
    </w:p>
    <w:p>
      <w:pPr>
        <w:ind w:firstLine="850"/>
        <w:spacing w:after="0" w:line="244" w:lineRule="auto"/>
        <w:tabs>
          <w:tab w:leader="none" w:pos="1283" w:val="left"/>
        </w:tabs>
        <w:numPr>
          <w:ilvl w:val="1"/>
          <w:numId w:val="61"/>
        </w:numPr>
        <w:rPr>
          <w:rFonts w:ascii="Arial" w:cs="Arial" w:eastAsia="Arial" w:hAnsi="Arial"/>
          <w:sz w:val="19"/>
          <w:szCs w:val="19"/>
          <w:color w:val="auto"/>
        </w:rPr>
      </w:pPr>
      <w:r>
        <w:rPr>
          <w:rFonts w:ascii="Arial" w:cs="Arial" w:eastAsia="Arial" w:hAnsi="Arial"/>
          <w:sz w:val="19"/>
          <w:szCs w:val="19"/>
          <w:color w:val="auto"/>
        </w:rPr>
        <w:t xml:space="preserve">If any Lender determines that any Change in Law regarding capital or liquidity requirements has or would have the effect of reducing the rate of return on Lender’s capital or on the capital of such Lender’s holding company, if any, as a consequence of this Agreement or the Advances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upon written request from a Lender, Borrowers will pay to such Lender such additional amount or amounts as will compensate such Lender or such Lender’s holding company for any such reduction suffered;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Lender shall be entitled to obtain such compensation unless it is the general policy or practice of such Lender (as determined by such Lender) to request compensation for similar amounts from similar borrowers under comparable provisions of similar loan facilities (to the extent such Lender has the right to request such compensation thereunder).</w:t>
      </w:r>
    </w:p>
    <w:p>
      <w:pPr>
        <w:spacing w:after="0" w:line="154" w:lineRule="exact"/>
        <w:rPr>
          <w:rFonts w:ascii="Arial" w:cs="Arial" w:eastAsia="Arial" w:hAnsi="Arial"/>
          <w:sz w:val="19"/>
          <w:szCs w:val="19"/>
          <w:color w:val="auto"/>
        </w:rPr>
      </w:pPr>
    </w:p>
    <w:p>
      <w:pPr>
        <w:ind w:right="140" w:firstLine="850"/>
        <w:spacing w:after="0" w:line="243" w:lineRule="auto"/>
        <w:tabs>
          <w:tab w:leader="none" w:pos="1284" w:val="left"/>
        </w:tabs>
        <w:numPr>
          <w:ilvl w:val="1"/>
          <w:numId w:val="61"/>
        </w:numPr>
        <w:rPr>
          <w:rFonts w:ascii="Arial" w:cs="Arial" w:eastAsia="Arial" w:hAnsi="Arial"/>
          <w:sz w:val="19"/>
          <w:szCs w:val="19"/>
          <w:color w:val="auto"/>
        </w:rPr>
      </w:pPr>
      <w:r>
        <w:rPr>
          <w:rFonts w:ascii="Arial" w:cs="Arial" w:eastAsia="Arial" w:hAnsi="Arial"/>
          <w:sz w:val="19"/>
          <w:szCs w:val="19"/>
          <w:color w:val="auto"/>
        </w:rPr>
        <w:t>A certificate of the relevant Lender setting forth the amount or amounts necessary to compensate such Lender or its holding company, as the case may be, as specified in Section 2.09(a) or (b) shall be delivered to Borrowers and shall be conclusive absent manifest error. Borrowers shall pay such Lender the amount shown as due on any such certificate within ten</w:t>
      </w:r>
    </w:p>
    <w:p>
      <w:pPr>
        <w:spacing w:after="0" w:line="2" w:lineRule="exact"/>
        <w:rPr>
          <w:rFonts w:ascii="Arial" w:cs="Arial" w:eastAsia="Arial" w:hAnsi="Arial"/>
          <w:sz w:val="19"/>
          <w:szCs w:val="19"/>
          <w:color w:val="auto"/>
        </w:rPr>
      </w:pPr>
    </w:p>
    <w:p>
      <w:pPr>
        <w:ind w:left="420" w:hanging="412"/>
        <w:spacing w:after="0"/>
        <w:tabs>
          <w:tab w:leader="none" w:pos="4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days after receipt thereof.</w:t>
      </w:r>
    </w:p>
    <w:p>
      <w:pPr>
        <w:spacing w:after="0" w:line="161" w:lineRule="exact"/>
        <w:rPr>
          <w:rFonts w:ascii="Arial" w:cs="Arial" w:eastAsia="Arial" w:hAnsi="Arial"/>
          <w:sz w:val="22"/>
          <w:szCs w:val="22"/>
          <w:color w:val="auto"/>
        </w:rPr>
      </w:pPr>
    </w:p>
    <w:p>
      <w:pPr>
        <w:ind w:firstLine="850"/>
        <w:spacing w:after="0" w:line="212" w:lineRule="auto"/>
        <w:tabs>
          <w:tab w:leader="none" w:pos="1283" w:val="left"/>
        </w:tabs>
        <w:numPr>
          <w:ilvl w:val="1"/>
          <w:numId w:val="62"/>
        </w:numPr>
        <w:rPr>
          <w:rFonts w:ascii="Arial" w:cs="Arial" w:eastAsia="Arial" w:hAnsi="Arial"/>
          <w:sz w:val="22"/>
          <w:szCs w:val="22"/>
          <w:color w:val="auto"/>
        </w:rPr>
      </w:pPr>
      <w:r>
        <w:rPr>
          <w:rFonts w:ascii="Arial" w:cs="Arial" w:eastAsia="Arial" w:hAnsi="Arial"/>
          <w:sz w:val="22"/>
          <w:szCs w:val="22"/>
          <w:color w:val="auto"/>
        </w:rPr>
        <w:t xml:space="preserve">Failure or delay on the part of any Lender to demand compensation pursuant to this Section 2.09 shall not constitute a waiver of such Lender’s right to demand such compensation;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Borrowers shall not be required to compensate such Lender pursuant to this Section 2.09 for any increased costs or reductions incurred more than 270 days prior to the date that such Lender notifies Borrowers of the Change in Law giving rise to such increased costs or reductions and of such Lender’s intention to claim compensation therefor;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63" w:lineRule="exact"/>
        <w:rPr>
          <w:rFonts w:ascii="Arial" w:cs="Arial" w:eastAsia="Arial" w:hAnsi="Arial"/>
          <w:sz w:val="22"/>
          <w:szCs w:val="22"/>
          <w:color w:val="auto"/>
        </w:rPr>
      </w:pPr>
    </w:p>
    <w:p>
      <w:pPr>
        <w:ind w:right="580" w:firstLine="850"/>
        <w:spacing w:after="0" w:line="232" w:lineRule="auto"/>
        <w:tabs>
          <w:tab w:leader="none" w:pos="1284"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All of Borrowers’ obligations under this Section 2.09 shall survive termination of the Facility and repayment of all other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160"/>
          </w:cols>
          <w:pgMar w:left="320" w:top="1440" w:right="419" w:bottom="1440" w:gutter="0" w:footer="0" w:header="0"/>
        </w:sectPr>
      </w:pPr>
    </w:p>
    <w:bookmarkStart w:id="101" w:name="page102"/>
    <w:bookmarkEnd w:id="101"/>
    <w:p>
      <w:pPr>
        <w:spacing w:after="0" w:line="200" w:lineRule="exact"/>
        <w:rPr>
          <w:sz w:val="20"/>
          <w:szCs w:val="20"/>
          <w:color w:val="auto"/>
        </w:rPr>
      </w:pPr>
    </w:p>
    <w:p>
      <w:pPr>
        <w:spacing w:after="0" w:line="23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7"/>
          <w:szCs w:val="17"/>
          <w:i w:val="1"/>
          <w:iCs w:val="1"/>
          <w:color w:val="auto"/>
        </w:rPr>
        <w:t>Taxes</w:t>
      </w:r>
      <w:r>
        <w:rPr>
          <w:rFonts w:ascii="Arial" w:cs="Arial" w:eastAsia="Arial" w:hAnsi="Arial"/>
          <w:sz w:val="17"/>
          <w:szCs w:val="17"/>
          <w:color w:val="auto"/>
        </w:rPr>
        <w:t>.</w:t>
      </w:r>
    </w:p>
    <w:p>
      <w:pPr>
        <w:spacing w:after="0" w:line="179" w:lineRule="exact"/>
        <w:rPr>
          <w:sz w:val="20"/>
          <w:szCs w:val="20"/>
          <w:color w:val="auto"/>
        </w:rPr>
      </w:pPr>
    </w:p>
    <w:p>
      <w:pPr>
        <w:ind w:left="-20" w:right="140" w:firstLine="850"/>
        <w:spacing w:after="0" w:line="244" w:lineRule="auto"/>
        <w:tabs>
          <w:tab w:leader="none" w:pos="1264"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Any and all payments by or on account of any obligation of Borrowers, as applicable, under any Margin Loan Documentation shall be made without deduction or withholding for any Taxes, except as required by applicable law. If any applicable law (as determined in the good faith discretion of an applicable withholding agent) requires the deduction or withholding of any Tax from any such payment by such withholding agent, then such withholding agent shall be entitled to make such deduction or withholding and shall timely pay the full amount deducted or withheld to the relevant Governmental Authority in accordance with applicable law and, if such Tax is an Indemnified Tax, then the sum payable by Borrowers shall be increased as necessary so that after such deduction or withholding has been made (including such deductions and withholdings applicable to additional sums payable under this Section 2.10), each Lender receives an amount equal to the sum it would have received had no such deduction or withholding been made.</w:t>
      </w:r>
    </w:p>
    <w:p>
      <w:pPr>
        <w:spacing w:after="0" w:line="160" w:lineRule="exact"/>
        <w:rPr>
          <w:rFonts w:ascii="Arial" w:cs="Arial" w:eastAsia="Arial" w:hAnsi="Arial"/>
          <w:sz w:val="19"/>
          <w:szCs w:val="19"/>
          <w:color w:val="auto"/>
        </w:rPr>
      </w:pPr>
    </w:p>
    <w:p>
      <w:pPr>
        <w:ind w:left="-20" w:right="480" w:firstLine="850"/>
        <w:spacing w:after="0" w:line="298" w:lineRule="auto"/>
        <w:tabs>
          <w:tab w:leader="none" w:pos="1263"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Payment of Other Taxes by Borrowers</w:t>
      </w:r>
      <w:r>
        <w:rPr>
          <w:rFonts w:ascii="Arial" w:cs="Arial" w:eastAsia="Arial" w:hAnsi="Arial"/>
          <w:sz w:val="19"/>
          <w:szCs w:val="19"/>
          <w:color w:val="auto"/>
        </w:rPr>
        <w:t>. Borrowers shall timely pay to the relevant Governmental Authority in accordance with applicable law, or at the option of the relevant Lender timely reimburse it for, Other Taxes.</w:t>
      </w:r>
    </w:p>
    <w:p>
      <w:pPr>
        <w:spacing w:after="0" w:line="105" w:lineRule="exact"/>
        <w:rPr>
          <w:rFonts w:ascii="Arial" w:cs="Arial" w:eastAsia="Arial" w:hAnsi="Arial"/>
          <w:sz w:val="19"/>
          <w:szCs w:val="19"/>
          <w:color w:val="auto"/>
        </w:rPr>
      </w:pPr>
    </w:p>
    <w:p>
      <w:pPr>
        <w:ind w:left="-20" w:right="280" w:firstLine="850"/>
        <w:spacing w:after="0" w:line="218" w:lineRule="auto"/>
        <w:tabs>
          <w:tab w:leader="none" w:pos="1264"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Evidence of Payments</w:t>
      </w:r>
      <w:r>
        <w:rPr>
          <w:rFonts w:ascii="Arial" w:cs="Arial" w:eastAsia="Arial" w:hAnsi="Arial"/>
          <w:sz w:val="22"/>
          <w:szCs w:val="22"/>
          <w:color w:val="auto"/>
        </w:rPr>
        <w:t>. As soon as practicable after any payment of Taxes by a Borrower to a Governmental Authority pursuant to this Section 2.10, such Borrower shall deliver to the relevant Lender the original or a certified copy of a receipt issued by such Governmental Authority evidencing such payment, a copy of the return reporting such payment or other evidence of such payment reasonably satisfactory to such Lender.</w:t>
      </w:r>
    </w:p>
    <w:p>
      <w:pPr>
        <w:spacing w:after="0" w:line="160" w:lineRule="exact"/>
        <w:rPr>
          <w:rFonts w:ascii="Arial" w:cs="Arial" w:eastAsia="Arial" w:hAnsi="Arial"/>
          <w:sz w:val="22"/>
          <w:szCs w:val="22"/>
          <w:color w:val="auto"/>
        </w:rPr>
      </w:pPr>
    </w:p>
    <w:p>
      <w:pPr>
        <w:ind w:left="-20" w:firstLine="850"/>
        <w:spacing w:after="0" w:line="246" w:lineRule="auto"/>
        <w:tabs>
          <w:tab w:leader="none" w:pos="1263"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Indemnification by Borrowers</w:t>
      </w:r>
      <w:r>
        <w:rPr>
          <w:rFonts w:ascii="Arial" w:cs="Arial" w:eastAsia="Arial" w:hAnsi="Arial"/>
          <w:sz w:val="19"/>
          <w:szCs w:val="19"/>
          <w:color w:val="auto"/>
        </w:rPr>
        <w:t>. Borrowers shall indemnify any Lender, within thirty (30) days after demand therefor, for the full amount of any Indemnified Taxes (including Indemnified Taxes imposed or asserted on or attributable to amounts payable under this Section 2.10) payable or paid by such Lender or required to be withheld or deducted from a payment to such Lender and any reasonable expenses arising therefrom or with respect thereto, whether or not such Indemnified Taxes were correctly or legally imposed or asserted by the relevant Governmental Authority. A certificate as to the amount of such payment or liability delivered to Borrowers by such Lender prepared in good faith by such Lender or Administrative Agent (or by Administrative Agent on behalf of such Lender), accompanied by a written statement thereof setting forth in reasonable detail the basis and calculation of such amounts, shall be conclusive absent manifest error.</w:t>
      </w:r>
    </w:p>
    <w:p>
      <w:pPr>
        <w:spacing w:after="0" w:line="152" w:lineRule="exact"/>
        <w:rPr>
          <w:rFonts w:ascii="Arial" w:cs="Arial" w:eastAsia="Arial" w:hAnsi="Arial"/>
          <w:sz w:val="19"/>
          <w:szCs w:val="19"/>
          <w:color w:val="auto"/>
        </w:rPr>
      </w:pPr>
    </w:p>
    <w:p>
      <w:pPr>
        <w:ind w:left="1280" w:hanging="450"/>
        <w:spacing w:after="0"/>
        <w:tabs>
          <w:tab w:leader="none" w:pos="128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Status of Lender</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40" w:right="100" w:firstLine="968"/>
        <w:spacing w:after="0" w:line="244" w:lineRule="auto"/>
        <w:tabs>
          <w:tab w:leader="none" w:pos="1924" w:val="left"/>
        </w:tabs>
        <w:numPr>
          <w:ilvl w:val="1"/>
          <w:numId w:val="63"/>
        </w:numPr>
        <w:rPr>
          <w:rFonts w:ascii="Arial" w:cs="Arial" w:eastAsia="Arial" w:hAnsi="Arial"/>
          <w:sz w:val="19"/>
          <w:szCs w:val="19"/>
          <w:color w:val="auto"/>
        </w:rPr>
      </w:pPr>
      <w:r>
        <w:rPr>
          <w:rFonts w:ascii="Arial" w:cs="Arial" w:eastAsia="Arial" w:hAnsi="Arial"/>
          <w:sz w:val="19"/>
          <w:szCs w:val="19"/>
          <w:color w:val="auto"/>
        </w:rPr>
        <w:t>If any Lender is entitled to an exemption from or reduction of withholding Tax with respect to payments made under any Margin Loan Documentation, it shall deliver to Borrowers, at the time or times reasonably requested by Borrowers, such properly completed and executed documentation reasonably requested by Borrowers as will permit such payments to be made without withholding or at a reduced rate of withholding. In addition, such Lender, if reasonably requested by Borrowers, shall deliver such other documentation prescribed by applicable law or reasonably requested by Borrowers as will enable Borrowers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2.10(e) (ii)(A), (ii)(B) and (ii)(D) below) shall not be required if in such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20"/>
          </w:cols>
          <w:pgMar w:left="340" w:top="1440" w:right="339" w:bottom="1440" w:gutter="0" w:footer="0" w:header="0"/>
        </w:sectPr>
      </w:pPr>
    </w:p>
    <w:bookmarkStart w:id="102" w:name="page103"/>
    <w:bookmarkEnd w:id="102"/>
    <w:p>
      <w:pPr>
        <w:spacing w:after="0" w:line="200" w:lineRule="exact"/>
        <w:rPr>
          <w:sz w:val="20"/>
          <w:szCs w:val="20"/>
          <w:color w:val="auto"/>
        </w:rPr>
      </w:pPr>
    </w:p>
    <w:p>
      <w:pPr>
        <w:spacing w:after="0" w:line="234" w:lineRule="exact"/>
        <w:rPr>
          <w:sz w:val="20"/>
          <w:szCs w:val="20"/>
          <w:color w:val="auto"/>
        </w:rPr>
      </w:pPr>
    </w:p>
    <w:p>
      <w:pPr>
        <w:ind w:right="140"/>
        <w:spacing w:after="0" w:line="247" w:lineRule="auto"/>
        <w:rPr>
          <w:sz w:val="20"/>
          <w:szCs w:val="20"/>
          <w:color w:val="auto"/>
        </w:rPr>
      </w:pPr>
      <w:r>
        <w:rPr>
          <w:rFonts w:ascii="Arial" w:cs="Arial" w:eastAsia="Arial" w:hAnsi="Arial"/>
          <w:sz w:val="21"/>
          <w:szCs w:val="21"/>
          <w:color w:val="auto"/>
        </w:rPr>
        <w:t>reasonable judgment such completion, execution or submission would subject such Lender to any material unreimbursed cost or expense or would materially prejudice the legal or commercial position of such Lender.</w:t>
      </w:r>
    </w:p>
    <w:p>
      <w:pPr>
        <w:spacing w:after="0" w:line="151" w:lineRule="exact"/>
        <w:rPr>
          <w:sz w:val="20"/>
          <w:szCs w:val="20"/>
          <w:color w:val="auto"/>
        </w:rPr>
      </w:pPr>
    </w:p>
    <w:p>
      <w:pPr>
        <w:ind w:left="1280" w:hanging="312"/>
        <w:spacing w:after="0"/>
        <w:tabs>
          <w:tab w:leader="none" w:pos="12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179" w:lineRule="exact"/>
        <w:rPr>
          <w:rFonts w:ascii="Arial" w:cs="Arial" w:eastAsia="Arial" w:hAnsi="Arial"/>
          <w:sz w:val="22"/>
          <w:szCs w:val="22"/>
          <w:color w:val="auto"/>
        </w:rPr>
      </w:pPr>
    </w:p>
    <w:p>
      <w:pPr>
        <w:ind w:left="700" w:firstLine="1046"/>
        <w:spacing w:after="0" w:line="218" w:lineRule="auto"/>
        <w:tabs>
          <w:tab w:leader="none" w:pos="2576" w:val="left"/>
        </w:tabs>
        <w:numPr>
          <w:ilvl w:val="1"/>
          <w:numId w:val="64"/>
        </w:numPr>
        <w:rPr>
          <w:rFonts w:ascii="Arial" w:cs="Arial" w:eastAsia="Arial" w:hAnsi="Arial"/>
          <w:sz w:val="22"/>
          <w:szCs w:val="22"/>
          <w:color w:val="auto"/>
        </w:rPr>
      </w:pPr>
      <w:r>
        <w:rPr>
          <w:rFonts w:ascii="Arial" w:cs="Arial" w:eastAsia="Arial" w:hAnsi="Arial"/>
          <w:sz w:val="22"/>
          <w:szCs w:val="22"/>
          <w:color w:val="auto"/>
        </w:rPr>
        <w:t>if such Lender is a U.S. Person, it shall deliver to Borrowers on or prior to the date on which such Lender becomes a Lender under this Agreement (and from time to time thereafter upon the reasonable request of Borrowers), executed copies of IRS Form W-9 (or successor forms) certifying that such Lender is exempt from U.S. Federal backup withholding;</w:t>
      </w:r>
    </w:p>
    <w:p>
      <w:pPr>
        <w:spacing w:after="0" w:line="160" w:lineRule="exact"/>
        <w:rPr>
          <w:rFonts w:ascii="Arial" w:cs="Arial" w:eastAsia="Arial" w:hAnsi="Arial"/>
          <w:sz w:val="22"/>
          <w:szCs w:val="22"/>
          <w:color w:val="auto"/>
        </w:rPr>
      </w:pPr>
    </w:p>
    <w:p>
      <w:pPr>
        <w:ind w:left="700" w:right="400" w:firstLine="1046"/>
        <w:spacing w:after="0" w:line="229" w:lineRule="auto"/>
        <w:tabs>
          <w:tab w:leader="none" w:pos="2578" w:val="left"/>
        </w:tabs>
        <w:numPr>
          <w:ilvl w:val="1"/>
          <w:numId w:val="64"/>
        </w:numPr>
        <w:rPr>
          <w:rFonts w:ascii="Arial" w:cs="Arial" w:eastAsia="Arial" w:hAnsi="Arial"/>
          <w:sz w:val="21"/>
          <w:szCs w:val="21"/>
          <w:color w:val="auto"/>
        </w:rPr>
      </w:pPr>
      <w:r>
        <w:rPr>
          <w:rFonts w:ascii="Arial" w:cs="Arial" w:eastAsia="Arial" w:hAnsi="Arial"/>
          <w:sz w:val="21"/>
          <w:szCs w:val="21"/>
          <w:color w:val="auto"/>
        </w:rPr>
        <w:t>if such Lender is a Foreign Lender, it shall, to the extent it is legally entitled to do so, deliver to Borrowers (in such number of copies as shall be requested by Borrowers) on or prior to the date on which such Foreign Lender becomes Lender under this Agreement (and from time to time thereafter upon the reasonable request of Borrowers), whichever of the following is applicable:</w:t>
      </w:r>
    </w:p>
    <w:p>
      <w:pPr>
        <w:spacing w:after="0" w:line="158" w:lineRule="exact"/>
        <w:rPr>
          <w:rFonts w:ascii="Arial" w:cs="Arial" w:eastAsia="Arial" w:hAnsi="Arial"/>
          <w:sz w:val="21"/>
          <w:szCs w:val="21"/>
          <w:color w:val="auto"/>
        </w:rPr>
      </w:pPr>
    </w:p>
    <w:p>
      <w:pPr>
        <w:ind w:left="1420" w:right="60" w:firstLine="1168"/>
        <w:spacing w:after="0" w:line="211" w:lineRule="auto"/>
        <w:tabs>
          <w:tab w:leader="none" w:pos="3230" w:val="left"/>
        </w:tabs>
        <w:numPr>
          <w:ilvl w:val="2"/>
          <w:numId w:val="64"/>
        </w:numPr>
        <w:rPr>
          <w:rFonts w:ascii="Arial" w:cs="Arial" w:eastAsia="Arial" w:hAnsi="Arial"/>
          <w:sz w:val="22"/>
          <w:szCs w:val="22"/>
          <w:color w:val="auto"/>
        </w:rPr>
      </w:pPr>
      <w:r>
        <w:rPr>
          <w:rFonts w:ascii="Arial" w:cs="Arial" w:eastAsia="Arial" w:hAnsi="Arial"/>
          <w:sz w:val="22"/>
          <w:szCs w:val="22"/>
          <w:color w:val="auto"/>
        </w:rPr>
        <w:t>in the case of a Foreign Lender claiming the benefits of an income tax treaty to which the United States is a party (x) with respect to payments of interest under any Margin Loan Documentation, executed copies of IRS Form W-8BEN or W-8BEN-E (or successor forms) establishing an exemption from, or reduction of, U.S. Federal withholding Tax pursuant to the “interest” article of such tax treaty and (y) with respect to any other applicable payments under any Margin Loan Documentation, IRS Form W-8BEN or W-8BEN-E (or successor forms) establishing an exemption from, or reduction of, U.S. Federal withholding Tax pursuant to the “business profits” or “other income” article of such tax treaty;</w:t>
      </w:r>
    </w:p>
    <w:p>
      <w:pPr>
        <w:spacing w:after="0" w:line="164" w:lineRule="exact"/>
        <w:rPr>
          <w:rFonts w:ascii="Arial" w:cs="Arial" w:eastAsia="Arial" w:hAnsi="Arial"/>
          <w:sz w:val="22"/>
          <w:szCs w:val="22"/>
          <w:color w:val="auto"/>
        </w:rPr>
      </w:pPr>
    </w:p>
    <w:p>
      <w:pPr>
        <w:ind w:left="3240" w:hanging="652"/>
        <w:spacing w:after="0"/>
        <w:tabs>
          <w:tab w:leader="none" w:pos="3240" w:val="left"/>
        </w:tabs>
        <w:numPr>
          <w:ilvl w:val="2"/>
          <w:numId w:val="64"/>
        </w:numPr>
        <w:rPr>
          <w:rFonts w:ascii="Arial" w:cs="Arial" w:eastAsia="Arial" w:hAnsi="Arial"/>
          <w:sz w:val="22"/>
          <w:szCs w:val="22"/>
          <w:color w:val="auto"/>
        </w:rPr>
      </w:pPr>
      <w:r>
        <w:rPr>
          <w:rFonts w:ascii="Arial" w:cs="Arial" w:eastAsia="Arial" w:hAnsi="Arial"/>
          <w:sz w:val="22"/>
          <w:szCs w:val="22"/>
          <w:color w:val="auto"/>
        </w:rPr>
        <w:t>executed copies of IRS Form W-8ECI (or successor forms);</w:t>
      </w:r>
    </w:p>
    <w:p>
      <w:pPr>
        <w:spacing w:after="0" w:line="179" w:lineRule="exact"/>
        <w:rPr>
          <w:rFonts w:ascii="Arial" w:cs="Arial" w:eastAsia="Arial" w:hAnsi="Arial"/>
          <w:sz w:val="22"/>
          <w:szCs w:val="22"/>
          <w:color w:val="auto"/>
        </w:rPr>
      </w:pPr>
    </w:p>
    <w:p>
      <w:pPr>
        <w:ind w:left="1420" w:right="20" w:firstLine="1168"/>
        <w:spacing w:after="0" w:line="222" w:lineRule="auto"/>
        <w:tabs>
          <w:tab w:leader="none" w:pos="3230" w:val="left"/>
        </w:tabs>
        <w:numPr>
          <w:ilvl w:val="2"/>
          <w:numId w:val="64"/>
        </w:numPr>
        <w:rPr>
          <w:rFonts w:ascii="Arial" w:cs="Arial" w:eastAsia="Arial" w:hAnsi="Arial"/>
          <w:sz w:val="21"/>
          <w:szCs w:val="21"/>
          <w:color w:val="auto"/>
        </w:rPr>
      </w:pPr>
      <w:r>
        <w:rPr>
          <w:rFonts w:ascii="Arial" w:cs="Arial" w:eastAsia="Arial" w:hAnsi="Arial"/>
          <w:sz w:val="21"/>
          <w:szCs w:val="21"/>
          <w:color w:val="auto"/>
        </w:rPr>
        <w:t>in the case of a Foreign Lender claiming the benefits of the exemption for portfolio interest under Section 881(c) of the Code, (x) a certificate substantially in the form of Exhibit D-1 to the effect that such Foreign Lender is not a “bank” within the meaning of Section 881(c)(3)(A) of the Code, a “10 percent shareholder” of a Borrower within the meaning of Section 881(c)(3)(B) of the Code, or a “controlled foreign corporation” related to any Borrower as described in Section 881(c)(3)(C) of the Code (a “</w:t>
      </w:r>
      <w:r>
        <w:rPr>
          <w:rFonts w:ascii="Arial" w:cs="Arial" w:eastAsia="Arial" w:hAnsi="Arial"/>
          <w:sz w:val="21"/>
          <w:szCs w:val="21"/>
          <w:b w:val="1"/>
          <w:bCs w:val="1"/>
          <w:i w:val="1"/>
          <w:iCs w:val="1"/>
          <w:color w:val="auto"/>
        </w:rPr>
        <w:t>U.S. Tax Compliance Certificate</w:t>
      </w:r>
      <w:r>
        <w:rPr>
          <w:rFonts w:ascii="Arial" w:cs="Arial" w:eastAsia="Arial" w:hAnsi="Arial"/>
          <w:sz w:val="21"/>
          <w:szCs w:val="21"/>
          <w:color w:val="auto"/>
        </w:rPr>
        <w:t>”) and (y) executed copies of IRS Form W-8BEN or W-8BEN-E (or successor forms); or</w:t>
      </w:r>
    </w:p>
    <w:p>
      <w:pPr>
        <w:spacing w:after="0" w:line="164" w:lineRule="exact"/>
        <w:rPr>
          <w:rFonts w:ascii="Arial" w:cs="Arial" w:eastAsia="Arial" w:hAnsi="Arial"/>
          <w:sz w:val="21"/>
          <w:szCs w:val="21"/>
          <w:color w:val="auto"/>
        </w:rPr>
      </w:pPr>
    </w:p>
    <w:p>
      <w:pPr>
        <w:ind w:left="1420" w:right="40" w:firstLine="1168"/>
        <w:spacing w:after="0" w:line="216" w:lineRule="auto"/>
        <w:tabs>
          <w:tab w:leader="none" w:pos="3230" w:val="left"/>
        </w:tabs>
        <w:numPr>
          <w:ilvl w:val="2"/>
          <w:numId w:val="64"/>
        </w:numPr>
        <w:rPr>
          <w:rFonts w:ascii="Arial" w:cs="Arial" w:eastAsia="Arial" w:hAnsi="Arial"/>
          <w:sz w:val="22"/>
          <w:szCs w:val="22"/>
          <w:color w:val="auto"/>
        </w:rPr>
      </w:pPr>
      <w:r>
        <w:rPr>
          <w:rFonts w:ascii="Arial" w:cs="Arial" w:eastAsia="Arial" w:hAnsi="Arial"/>
          <w:sz w:val="22"/>
          <w:szCs w:val="22"/>
          <w:color w:val="auto"/>
        </w:rPr>
        <w:t>to the extent a Foreign Lender is not the beneficial owner, executed copies of IRS Form W-8IMY (or successor forms), accompanied by IRS Form W-8ECI, IRS Form W-8BEN or W-8BEN-E (or successor forms), a U.S. Tax Compliance Certificate substantially in the form of Exhibit D-2 or Exhibit D-3, IRS Form W-9 (or successor forms), and/or other certification documents from each beneficial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0580"/>
          </w:cols>
          <w:pgMar w:left="980" w:top="1440" w:right="339" w:bottom="1440" w:gutter="0" w:footer="0" w:header="0"/>
        </w:sectPr>
      </w:pPr>
    </w:p>
    <w:bookmarkStart w:id="103" w:name="page104"/>
    <w:bookmarkEnd w:id="103"/>
    <w:p>
      <w:pPr>
        <w:spacing w:after="0" w:line="200" w:lineRule="exact"/>
        <w:rPr>
          <w:sz w:val="20"/>
          <w:szCs w:val="20"/>
          <w:color w:val="auto"/>
        </w:rPr>
      </w:pPr>
    </w:p>
    <w:p>
      <w:pPr>
        <w:spacing w:after="0" w:line="234" w:lineRule="exact"/>
        <w:rPr>
          <w:sz w:val="20"/>
          <w:szCs w:val="20"/>
          <w:color w:val="auto"/>
        </w:rPr>
      </w:pPr>
    </w:p>
    <w:p>
      <w:pPr>
        <w:ind w:left="2080"/>
        <w:spacing w:after="0" w:line="218" w:lineRule="auto"/>
        <w:rPr>
          <w:sz w:val="20"/>
          <w:szCs w:val="20"/>
          <w:color w:val="auto"/>
        </w:rPr>
      </w:pPr>
      <w:r>
        <w:rPr>
          <w:rFonts w:ascii="Arial" w:cs="Arial" w:eastAsia="Arial" w:hAnsi="Arial"/>
          <w:sz w:val="22"/>
          <w:szCs w:val="22"/>
          <w:color w:val="auto"/>
        </w:rPr>
        <w:t xml:space="preserve">as applicable;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D-4 on behalf of each such direct and indirect partner;</w:t>
      </w:r>
    </w:p>
    <w:p>
      <w:pPr>
        <w:spacing w:after="0" w:line="161" w:lineRule="exact"/>
        <w:rPr>
          <w:sz w:val="20"/>
          <w:szCs w:val="20"/>
          <w:color w:val="auto"/>
        </w:rPr>
      </w:pPr>
    </w:p>
    <w:p>
      <w:pPr>
        <w:ind w:left="1360" w:firstLine="1046"/>
        <w:spacing w:after="0" w:line="222" w:lineRule="auto"/>
        <w:tabs>
          <w:tab w:leader="none" w:pos="3238" w:val="left"/>
        </w:tabs>
        <w:numPr>
          <w:ilvl w:val="0"/>
          <w:numId w:val="65"/>
        </w:numPr>
        <w:rPr>
          <w:rFonts w:ascii="Arial" w:cs="Arial" w:eastAsia="Arial" w:hAnsi="Arial"/>
          <w:sz w:val="21"/>
          <w:szCs w:val="21"/>
          <w:color w:val="auto"/>
        </w:rPr>
      </w:pPr>
      <w:r>
        <w:rPr>
          <w:rFonts w:ascii="Arial" w:cs="Arial" w:eastAsia="Arial" w:hAnsi="Arial"/>
          <w:sz w:val="21"/>
          <w:szCs w:val="21"/>
          <w:color w:val="auto"/>
        </w:rPr>
        <w:t>any Foreign Lender shall, to the extent it is legally entitled to do so, deliver to Borrowers (in such number of copies as shall be requested by Borrowers) on or prior to the date on which such Foreign Lender becomes a Lender under this Agreement (and from time to time thereafter upon the reasonable request of Borrowers), executed copies of any other form prescribed by applicable law as a basis for claiming exemption from or a reduction in U.S. Federal withholding Tax, duly completed, together with such supplementary documentation as may be prescribed by applicable law to permit Borrowers to determine the withholding or deduction required to be made; and</w:t>
      </w:r>
    </w:p>
    <w:p>
      <w:pPr>
        <w:spacing w:after="0" w:line="164" w:lineRule="exact"/>
        <w:rPr>
          <w:rFonts w:ascii="Arial" w:cs="Arial" w:eastAsia="Arial" w:hAnsi="Arial"/>
          <w:sz w:val="21"/>
          <w:szCs w:val="21"/>
          <w:color w:val="auto"/>
        </w:rPr>
      </w:pPr>
    </w:p>
    <w:p>
      <w:pPr>
        <w:ind w:left="1360" w:right="20" w:firstLine="1046"/>
        <w:spacing w:after="0" w:line="244" w:lineRule="auto"/>
        <w:tabs>
          <w:tab w:leader="none" w:pos="3236" w:val="left"/>
        </w:tabs>
        <w:numPr>
          <w:ilvl w:val="0"/>
          <w:numId w:val="65"/>
        </w:numPr>
        <w:rPr>
          <w:rFonts w:ascii="Arial" w:cs="Arial" w:eastAsia="Arial" w:hAnsi="Arial"/>
          <w:sz w:val="19"/>
          <w:szCs w:val="19"/>
          <w:color w:val="auto"/>
        </w:rPr>
      </w:pPr>
      <w:r>
        <w:rPr>
          <w:rFonts w:ascii="Arial" w:cs="Arial" w:eastAsia="Arial" w:hAnsi="Arial"/>
          <w:sz w:val="19"/>
          <w:szCs w:val="19"/>
          <w:color w:val="auto"/>
        </w:rPr>
        <w:t>if a payment made to any Lender under any Margin Loan Documentation would be subject to U.S. Federal withholding Tax imposed by FATCA if such Lender were to fail to comply with the applicable reporting requirements of FATCA (including those contained in Section 1471(b) or 1472(b) of the Code, as applicable), such Lender shall deliver to Borrowers at the time or times prescribed by law and at such time or times reasonably requested by Borrowers such documentation prescribed by applicable law (including as prescribed by Section 1471(b)(3)(C)(i) of the Code) and such additional documentation reasonably requested by Borrowers as may be necessary for Borrowers to comply with its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55" w:lineRule="exact"/>
        <w:rPr>
          <w:sz w:val="20"/>
          <w:szCs w:val="20"/>
          <w:color w:val="auto"/>
        </w:rPr>
      </w:pPr>
    </w:p>
    <w:p>
      <w:pPr>
        <w:ind w:right="20" w:firstLine="648"/>
        <w:spacing w:after="0" w:line="252" w:lineRule="auto"/>
        <w:rPr>
          <w:sz w:val="20"/>
          <w:szCs w:val="20"/>
          <w:color w:val="auto"/>
        </w:rPr>
      </w:pPr>
      <w:r>
        <w:rPr>
          <w:rFonts w:ascii="Arial" w:cs="Arial" w:eastAsia="Arial" w:hAnsi="Arial"/>
          <w:sz w:val="19"/>
          <w:szCs w:val="19"/>
          <w:color w:val="auto"/>
        </w:rPr>
        <w:t xml:space="preserve">If a Lender is a different entity than Administrative Agent, such Lender also agrees to share with Administrative Agent a copy of any Tax form or documentation it provided to Borrowers, and the requirements to deliver any Tax form or documentation to Borrowers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the delivery of such form of documentation to Administrative Agent. Each Lender agrees that if any form or certification it previously delivered expires or becomes obsolete or inaccurate in any respect, it shall update such form or certification or promptly notify Borrowers in writing of its legal inability to do so.</w:t>
      </w:r>
    </w:p>
    <w:p>
      <w:pPr>
        <w:spacing w:after="0" w:line="149" w:lineRule="exact"/>
        <w:rPr>
          <w:sz w:val="20"/>
          <w:szCs w:val="20"/>
          <w:color w:val="auto"/>
        </w:rPr>
      </w:pPr>
    </w:p>
    <w:p>
      <w:pPr>
        <w:ind w:right="40" w:firstLine="850"/>
        <w:spacing w:after="0" w:line="244" w:lineRule="auto"/>
        <w:tabs>
          <w:tab w:leader="none" w:pos="1288"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If any Lender determines, in its sole discretion exercised in good faith, that it has received a refund of any Taxes (including any Tax credit in lieu of refund) as to which it has been indemnified pursuant to this Section 2.10 (including by the payment of additional amounts pursuant to this Section 2.10), it shall pay to the indemnifying party an amount equal to such refund (but only to the extent of indemnity payments made under this Section 2.10 with respect to the Taxes giving rise to such refund), net of all out-of-pocket expenses (including Taxes) of such Lender and without interest (other than any interest paid by the relevant Governmental Authority with respect to such refund). Such indemnifying party, upon the request of such Lender, shall repay to such Lender the amount paid over pursuant to this paragraph (f) (plus any penalties, interest or other charges imposed by the relevant Governmental Authority) in the event that such Lender is required to repay such refund to such Governmental Authority. Notwithstanding anything to the contrary in this paragraph (f), in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0" w:lineRule="exact"/>
        <w:rPr>
          <w:sz w:val="20"/>
          <w:szCs w:val="20"/>
          <w:color w:val="auto"/>
        </w:rPr>
      </w:pPr>
    </w:p>
    <w:p>
      <w:pPr>
        <w:spacing w:after="0" w:line="234" w:lineRule="exact"/>
        <w:rPr>
          <w:sz w:val="20"/>
          <w:szCs w:val="20"/>
          <w:color w:val="auto"/>
        </w:rPr>
      </w:pPr>
    </w:p>
    <w:p>
      <w:pPr>
        <w:ind w:right="100"/>
        <w:spacing w:after="0" w:line="224" w:lineRule="auto"/>
        <w:rPr>
          <w:sz w:val="20"/>
          <w:szCs w:val="20"/>
          <w:color w:val="auto"/>
        </w:rPr>
      </w:pPr>
      <w:r>
        <w:rPr>
          <w:rFonts w:ascii="Arial" w:cs="Arial" w:eastAsia="Arial" w:hAnsi="Arial"/>
          <w:sz w:val="21"/>
          <w:szCs w:val="21"/>
          <w:color w:val="auto"/>
        </w:rPr>
        <w:t>event will such Lender be required to pay any amount to an indemnifying party pursuant to this paragraph (f) the payment of which would place such Lender in a less favorable net after-Tax position than such Lender would have been in if the Tax subject to indemnification and giving rise to such refund had not been deducted, withheld or otherwise imposed and the indemnification payments or additional amounts giving rise to such refund had never been paid. This paragraph shall not be construed to require any Lender to make available its Tax returns (or any other information relating to its Taxes that it deems confidential) to the indemnifying party or any other Person.</w:t>
      </w:r>
    </w:p>
    <w:p>
      <w:pPr>
        <w:spacing w:after="0" w:line="160" w:lineRule="exact"/>
        <w:rPr>
          <w:sz w:val="20"/>
          <w:szCs w:val="20"/>
          <w:color w:val="auto"/>
        </w:rPr>
      </w:pPr>
    </w:p>
    <w:p>
      <w:pPr>
        <w:ind w:right="80" w:firstLine="850"/>
        <w:spacing w:after="0" w:line="243" w:lineRule="auto"/>
        <w:tabs>
          <w:tab w:leader="none" w:pos="1283"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Each Lender shall severally indemnify the Administrative Agent, within ten (10) days after demand therefor, (i) for any Indemnified Taxes attributable to such Lender (but only to the extent that the Borrowers have not already indemnified the Administrative Agent for such Indemnified Taxes and without limiting the obligation of the Borrowers to do so), (ii) any Taxes attributable to such Lender’s failure to comply with the provisions of Section 9.07(c) relating to the maintenance of a Participant Register and (iii) any Excluded Taxes attributable to such Lender, in each case, in connection with any Margin Loan Documentation,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Margin Loan Documentation or otherwise payable by the Administrative Agent to the Lender from any other source against any amount due to the Administrative Agent under this Section 2.10(g).</w:t>
      </w:r>
    </w:p>
    <w:p>
      <w:pPr>
        <w:spacing w:after="0" w:line="158" w:lineRule="exact"/>
        <w:rPr>
          <w:rFonts w:ascii="Arial" w:cs="Arial" w:eastAsia="Arial" w:hAnsi="Arial"/>
          <w:sz w:val="19"/>
          <w:szCs w:val="19"/>
          <w:color w:val="auto"/>
        </w:rPr>
      </w:pPr>
    </w:p>
    <w:p>
      <w:pPr>
        <w:ind w:right="100" w:firstLine="850"/>
        <w:spacing w:after="0" w:line="223" w:lineRule="auto"/>
        <w:tabs>
          <w:tab w:leader="none" w:pos="1283"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Each party’s obligations under this Section 2.10 shall survive the assignment of rights by, or the replacement of, Lender, the termination of the Commitment and the repayment, satisfaction or discharge of all obligations under any Margin Loan Documentation.</w:t>
      </w:r>
    </w:p>
    <w:p>
      <w:pPr>
        <w:spacing w:after="0" w:line="158" w:lineRule="exact"/>
        <w:rPr>
          <w:rFonts w:ascii="Arial" w:cs="Arial" w:eastAsia="Arial" w:hAnsi="Arial"/>
          <w:sz w:val="22"/>
          <w:szCs w:val="22"/>
          <w:color w:val="auto"/>
        </w:rPr>
      </w:pPr>
    </w:p>
    <w:p>
      <w:pPr>
        <w:ind w:right="140" w:firstLine="850"/>
        <w:spacing w:after="0" w:line="218" w:lineRule="auto"/>
        <w:tabs>
          <w:tab w:leader="none" w:pos="1289"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Borrower Tax Forms</w:t>
      </w:r>
      <w:r>
        <w:rPr>
          <w:rFonts w:ascii="Arial" w:cs="Arial" w:eastAsia="Arial" w:hAnsi="Arial"/>
          <w:sz w:val="22"/>
          <w:szCs w:val="22"/>
          <w:color w:val="auto"/>
        </w:rPr>
        <w:t>. Each Borrower shall provide to Administrative Agent, upon reasonable request, an applicable IRS Form W-8 or W-9 indicating its U.S. tax status and/or any other Tax form or other documentation that will avoid or minimize any withholding Tax upon receipt of any payment from a foreclosure sale or other disposition of, or otherwise with respect to, any Collateral.</w:t>
      </w:r>
    </w:p>
    <w:p>
      <w:pPr>
        <w:spacing w:after="0" w:line="187" w:lineRule="exact"/>
        <w:rPr>
          <w:rFonts w:ascii="Arial" w:cs="Arial" w:eastAsia="Arial" w:hAnsi="Arial"/>
          <w:sz w:val="22"/>
          <w:szCs w:val="22"/>
          <w:color w:val="auto"/>
        </w:rPr>
      </w:pPr>
    </w:p>
    <w:p>
      <w:pPr>
        <w:ind w:right="120" w:firstLine="850"/>
        <w:spacing w:after="0" w:line="242" w:lineRule="auto"/>
        <w:tabs>
          <w:tab w:leader="none" w:pos="1289"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Administrative Agent Tax Forms</w:t>
      </w:r>
      <w:r>
        <w:rPr>
          <w:rFonts w:ascii="Arial" w:cs="Arial" w:eastAsia="Arial" w:hAnsi="Arial"/>
          <w:sz w:val="19"/>
          <w:szCs w:val="19"/>
          <w:color w:val="auto"/>
        </w:rPr>
        <w:t>. On or prior to the date on which the Administrative Agent becomes the Administrative Agent under this Agreement (and, to the extent it remains legally entitled to do so, from time to time thereafter upon the reasonable request of Borrowers), the Administrative Agent will deliver to Borrowers either (i) executed copies of IRS Form W-9 (or any successor form) certifying that Administrative Agent is exempt from U.S. federal backup withholding tax or</w:t>
      </w:r>
    </w:p>
    <w:p>
      <w:pPr>
        <w:ind w:firstLine="8"/>
        <w:spacing w:after="0" w:line="244" w:lineRule="auto"/>
        <w:tabs>
          <w:tab w:leader="none" w:pos="318" w:val="left"/>
        </w:tabs>
        <w:numPr>
          <w:ilvl w:val="0"/>
          <w:numId w:val="68"/>
        </w:numPr>
        <w:rPr>
          <w:rFonts w:ascii="Arial" w:cs="Arial" w:eastAsia="Arial" w:hAnsi="Arial"/>
          <w:sz w:val="19"/>
          <w:szCs w:val="19"/>
          <w:color w:val="auto"/>
        </w:rPr>
      </w:pPr>
      <w:r>
        <w:rPr>
          <w:rFonts w:ascii="Arial" w:cs="Arial" w:eastAsia="Arial" w:hAnsi="Arial"/>
          <w:sz w:val="19"/>
          <w:szCs w:val="19"/>
          <w:color w:val="auto"/>
        </w:rPr>
        <w:t>(x) with respect to any amounts received on its own account, an executed copy of an applicable IRS Form W-8 (or any successor form) and (y) with respect to any amounts received for or on account of any Lender, an executed copy of IRS Form W-8 IMY (or any successor form) certifying that it is a U.S. branch that has agreed to be treated as a U.S. person for U.S. federal tax purposes or a “qualified intermediary” and assuming primary withholding responsibility under Chapters 3 and 4 of the Code and primary IRS Form 1099 reporting and backup withholding responsibility with respect to payments received by it from Borrowers in its capacity as Administrative Agent, as applicable. Administrative Agent shall promptly notify Borrowers at any time that it determines that it is no longer in a position to provide the certification described in the immediately preceding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00"/>
          </w:cols>
          <w:pgMar w:left="320" w:top="1440" w:right="379" w:bottom="1440" w:gutter="0" w:footer="0" w:header="0"/>
        </w:sectPr>
      </w:pPr>
    </w:p>
    <w:bookmarkStart w:id="105" w:name="page106"/>
    <w:bookmarkEnd w:id="105"/>
    <w:p>
      <w:pPr>
        <w:spacing w:after="0" w:line="200" w:lineRule="exact"/>
        <w:rPr>
          <w:sz w:val="20"/>
          <w:szCs w:val="20"/>
          <w:color w:val="auto"/>
        </w:rPr>
      </w:pPr>
    </w:p>
    <w:p>
      <w:pPr>
        <w:spacing w:after="0" w:line="23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21"/>
          <w:szCs w:val="21"/>
          <w:i w:val="1"/>
          <w:iCs w:val="1"/>
          <w:color w:val="auto"/>
        </w:rPr>
        <w:t>Illegality.</w:t>
      </w:r>
    </w:p>
    <w:p>
      <w:pPr>
        <w:spacing w:after="0" w:line="179" w:lineRule="exact"/>
        <w:rPr>
          <w:sz w:val="20"/>
          <w:szCs w:val="20"/>
          <w:color w:val="auto"/>
        </w:rPr>
      </w:pPr>
    </w:p>
    <w:p>
      <w:pPr>
        <w:ind w:right="60" w:firstLine="850"/>
        <w:spacing w:after="0" w:line="249" w:lineRule="auto"/>
        <w:tabs>
          <w:tab w:leader="none" w:pos="1284" w:val="left"/>
        </w:tabs>
        <w:numPr>
          <w:ilvl w:val="0"/>
          <w:numId w:val="69"/>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if any Lender shall notify Borrowers that any Law makes it unlawful, or any Governmental Authority asserts that it is unlawful, for such Lender to perform its obligations to make or maintain Advances hereunder, the obligation of such Lender to make the Advances shall be terminated and all of such Lender’s Advances, all interest thereon and all other amounts payable under this Agreement to such Lender shall become due and payable either on the last day of the then current Interest Period, if such Lender may lawfully continue to maintain the Advances to such day, or immediately, if such Lender may not lawfully continue to maintain the Advances.</w:t>
      </w:r>
    </w:p>
    <w:p>
      <w:pPr>
        <w:spacing w:after="0" w:line="152"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If any Lender determines that any Law has made it unlawful, or that any Governmental Authority has asserted that it is unlawful, for any Lender or its applicable lending office to make, maintain or fund Advances whose interest is determined by reference to SOFR or Term SOFR, or to determine or charge interest rates based upon SOFR or Term SOFR, then, upon notice thereof by such Lender to the Borrowers (through the Administrative Agent) (such notice, an “Illegality Notice”), (a) any obligation of such Lender to make or continue SOFR Advances or to convert Base Rate Advances to SOFR Advances shall be suspended, and (b) if such notice asserts the illegality of such Lender making or maintaining Base Rate Advances the interest rate on which is determined by reference to the Term SOFR component of the Base Rate, the interest rate on which Base Rate Advances of such Lender shall, if necessary to avoid such illegality, be determined by the Administrative Agent without reference to the Term SOFR component of the Base Rate, in each case, until such Lender notifies the Administrative Agent and the Borrowers that the circumstances giving rise to such determination no longer exist.</w:t>
      </w:r>
    </w:p>
    <w:p>
      <w:pPr>
        <w:spacing w:after="0" w:line="182" w:lineRule="exact"/>
        <w:rPr>
          <w:sz w:val="20"/>
          <w:szCs w:val="20"/>
          <w:color w:val="auto"/>
        </w:rPr>
      </w:pPr>
    </w:p>
    <w:p>
      <w:pPr>
        <w:ind w:right="60"/>
        <w:spacing w:after="0" w:line="244" w:lineRule="auto"/>
        <w:rPr>
          <w:sz w:val="20"/>
          <w:szCs w:val="20"/>
          <w:color w:val="auto"/>
        </w:rPr>
      </w:pPr>
      <w:r>
        <w:rPr>
          <w:rFonts w:ascii="Arial" w:cs="Arial" w:eastAsia="Arial" w:hAnsi="Arial"/>
          <w:sz w:val="19"/>
          <w:szCs w:val="19"/>
          <w:color w:val="auto"/>
        </w:rPr>
        <w:t>Upon receipt of an Illegality Notice, the Borrowers shall prepay or, if applicable, convert all SOFR Advances to Base Rate Advances (the interest rate on which Base Rate Advances shall, if necessary to avoid such illegality, be determined by the Administrative Agent without reference to the Term SOFR component of the Base Rate), either on the last day of the Interest Period therefor, if all affected Lenders may lawfully continue to maintain such SOFR Advance to such day, or immediately, if all affected Lenders may not lawfully continue to maintain such SOFR Advance, in each case, until the Administrative Agent is advised in writing by each affected Lender that it is no longer illegal for such Lender to determine or charge interest rates based upon SOFR, the Term SOFR Reference Rate, Adjusted Term SOFR or Term SOFR. Upon any such prepayment or conversion following receipt of an Illegality Notice, the Borrower shall also pay accrued interest on the amount so prepaid or converted, together with any additional amounts required pursuant to Section 2.09.</w:t>
      </w:r>
    </w:p>
    <w:p>
      <w:pPr>
        <w:spacing w:after="0" w:line="188"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i w:val="1"/>
          <w:iCs w:val="1"/>
          <w:color w:val="auto"/>
        </w:rPr>
        <w:t>Break-Funding.</w:t>
      </w:r>
      <w:r>
        <w:rPr>
          <w:rFonts w:ascii="Arial" w:cs="Arial" w:eastAsia="Arial" w:hAnsi="Arial"/>
          <w:sz w:val="19"/>
          <w:szCs w:val="19"/>
          <w:color w:val="auto"/>
        </w:rPr>
        <w:t xml:space="preserve"> In the event of the payment of any principal of an Advance other than on the last day of an Interest Period applicable thereto (including as a result of an Event of Default), or the failure to borrow, continue or prepay any Advance on the date specified in any notice delivered pursuant hereto, then, in any such event, Borrowers shall upon demand compensate any Lender for the loss, cost and expense attributable to such event. In the case of an Advance, such loss, cost or expense to such Lender shall be deemed to include an amount determined by such Lender to be the excess, if any, of (i) the amount of interest which would have accrued on the principal amount of such Advance had such event not occurred, at the reference interest rate that would have been applicable to such Advance, for the period from the date of such event to the last day of the then current Interest Period therefor (or, in the case of a failure to borrow or continue, for the period that would have been the initial Interest Period for such Advance), over (ii) the amount of interest which would accrue on such principal amount for such period at the interest rate which such Lender would bid were it to bid, at the commencement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00"/>
          </w:cols>
          <w:pgMar w:left="320" w:top="1440" w:right="379" w:bottom="1440" w:gutter="0" w:footer="0" w:header="0"/>
        </w:sectPr>
      </w:pPr>
    </w:p>
    <w:bookmarkStart w:id="106" w:name="page107"/>
    <w:bookmarkEnd w:id="106"/>
    <w:p>
      <w:pPr>
        <w:spacing w:after="0" w:line="200" w:lineRule="exact"/>
        <w:rPr>
          <w:sz w:val="20"/>
          <w:szCs w:val="20"/>
          <w:color w:val="auto"/>
        </w:rPr>
      </w:pPr>
    </w:p>
    <w:p>
      <w:pPr>
        <w:spacing w:after="0" w:line="234" w:lineRule="exact"/>
        <w:rPr>
          <w:sz w:val="20"/>
          <w:szCs w:val="20"/>
          <w:color w:val="auto"/>
        </w:rPr>
      </w:pPr>
    </w:p>
    <w:p>
      <w:pPr>
        <w:ind w:right="120"/>
        <w:spacing w:after="0" w:line="229" w:lineRule="auto"/>
        <w:rPr>
          <w:sz w:val="20"/>
          <w:szCs w:val="20"/>
          <w:color w:val="auto"/>
        </w:rPr>
      </w:pPr>
      <w:r>
        <w:rPr>
          <w:rFonts w:ascii="Arial" w:cs="Arial" w:eastAsia="Arial" w:hAnsi="Arial"/>
          <w:sz w:val="21"/>
          <w:szCs w:val="21"/>
          <w:color w:val="auto"/>
        </w:rPr>
        <w:t>of such period, for dollar deposits of a comparable amount and period from other banks in the eurodollar market. A certificate of such Lender setting forth any amount or amounts that such Lender is entitled to receive pursuant to this Section 2.12 shall be delivered to Borrowers and shall be conclusive absent manifest error. All of Borrowers’ obligations under this Section 2.12 shall survive termination of the Facility or repayment of all other Obligations hereunder.</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i w:val="1"/>
          <w:iCs w:val="1"/>
          <w:color w:val="auto"/>
        </w:rPr>
        <w:t>Evidence Of Debt</w:t>
      </w:r>
      <w:r>
        <w:rPr>
          <w:rFonts w:ascii="Arial" w:cs="Arial" w:eastAsia="Arial" w:hAnsi="Arial"/>
          <w:sz w:val="19"/>
          <w:szCs w:val="19"/>
          <w:color w:val="auto"/>
        </w:rPr>
        <w:t>.</w:t>
      </w:r>
    </w:p>
    <w:p>
      <w:pPr>
        <w:spacing w:after="0" w:line="179" w:lineRule="exact"/>
        <w:rPr>
          <w:sz w:val="20"/>
          <w:szCs w:val="20"/>
          <w:color w:val="auto"/>
        </w:rPr>
      </w:pPr>
    </w:p>
    <w:p>
      <w:pPr>
        <w:ind w:firstLine="850"/>
        <w:spacing w:after="0" w:line="249" w:lineRule="auto"/>
        <w:tabs>
          <w:tab w:leader="none" w:pos="1284" w:val="left"/>
        </w:tabs>
        <w:numPr>
          <w:ilvl w:val="0"/>
          <w:numId w:val="70"/>
        </w:numPr>
        <w:rPr>
          <w:rFonts w:ascii="Arial" w:cs="Arial" w:eastAsia="Arial" w:hAnsi="Arial"/>
          <w:sz w:val="19"/>
          <w:szCs w:val="19"/>
          <w:color w:val="auto"/>
        </w:rPr>
      </w:pPr>
      <w:r>
        <w:rPr>
          <w:rFonts w:ascii="Arial" w:cs="Arial" w:eastAsia="Arial" w:hAnsi="Arial"/>
          <w:sz w:val="19"/>
          <w:szCs w:val="19"/>
          <w:color w:val="auto"/>
        </w:rPr>
        <w:t>Each Lender shall maintain in accordance with its usual practice an account or accounts evidencing the indebtedness of each Borrower to such Lender resulting from each Advance from time to time, including the amounts of principal and interest payable and paid to Lender from time to time hereunder. Administrative Agent shall also maintain accounts in which it will record (i) the amount of each Advance made hereunder, (ii) the amount of any principal or interest due and payable or to become due and payable from each Borrower to each Lender hereunder, and (iii) the amount of any sum received by Administrative Agent hereunder from each Borrower and each Lender’s Applicable Percentage thereof.</w:t>
      </w:r>
    </w:p>
    <w:p>
      <w:pPr>
        <w:spacing w:after="0" w:line="151" w:lineRule="exact"/>
        <w:rPr>
          <w:rFonts w:ascii="Arial" w:cs="Arial" w:eastAsia="Arial" w:hAnsi="Arial"/>
          <w:sz w:val="19"/>
          <w:szCs w:val="19"/>
          <w:color w:val="auto"/>
        </w:rPr>
      </w:pPr>
    </w:p>
    <w:p>
      <w:pPr>
        <w:ind w:right="80" w:firstLine="850"/>
        <w:spacing w:after="0" w:line="218" w:lineRule="auto"/>
        <w:tabs>
          <w:tab w:leader="none" w:pos="1283"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The entries maintained in the accounts maintained pursuant to Section 2.13(a) shall be prima facie evidence of the existence and amounts of the obligations therein recorded;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failure of any Lender or Administrative Agent to maintain such accounts or any error therein shall not in any manner affect the obligation of Borrowers to repay such obligations in accordance with their terms.</w:t>
      </w:r>
    </w:p>
    <w:p>
      <w:pPr>
        <w:spacing w:after="0" w:line="160" w:lineRule="exact"/>
        <w:rPr>
          <w:rFonts w:ascii="Arial" w:cs="Arial" w:eastAsia="Arial" w:hAnsi="Arial"/>
          <w:sz w:val="22"/>
          <w:szCs w:val="22"/>
          <w:color w:val="auto"/>
        </w:rPr>
      </w:pPr>
    </w:p>
    <w:p>
      <w:pPr>
        <w:ind w:right="160" w:firstLine="850"/>
        <w:spacing w:after="0" w:line="252" w:lineRule="auto"/>
        <w:tabs>
          <w:tab w:leader="none" w:pos="1284" w:val="left"/>
        </w:tabs>
        <w:numPr>
          <w:ilvl w:val="0"/>
          <w:numId w:val="70"/>
        </w:numPr>
        <w:rPr>
          <w:rFonts w:ascii="Arial" w:cs="Arial" w:eastAsia="Arial" w:hAnsi="Arial"/>
          <w:sz w:val="19"/>
          <w:szCs w:val="19"/>
          <w:color w:val="auto"/>
        </w:rPr>
      </w:pPr>
      <w:r>
        <w:rPr>
          <w:rFonts w:ascii="Arial" w:cs="Arial" w:eastAsia="Arial" w:hAnsi="Arial"/>
          <w:sz w:val="19"/>
          <w:szCs w:val="19"/>
          <w:color w:val="auto"/>
        </w:rPr>
        <w:t>No promissory note shall be required to evidence the Advances by any Lender to Borrowers. Upon the request of any Lender, Borrowers shall prepare, execute and deliver to such Lender a promissory note, payable to such Lender and its registered assigns and in a form approved by such Lender, which shall evidence the Advances to Borrowers by such Lender in addition to such records. Thereafter, the Advances evidenced by such promissory note and interest thereon shall at all times be represented by one or more promissory notes in such form payable to the payee named therein and its registered assigns.</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9"/>
          <w:szCs w:val="19"/>
          <w:i w:val="1"/>
          <w:iCs w:val="1"/>
          <w:color w:val="auto"/>
        </w:rPr>
        <w:t>Payments And Computations</w:t>
      </w:r>
      <w:r>
        <w:rPr>
          <w:rFonts w:ascii="Arial" w:cs="Arial" w:eastAsia="Arial" w:hAnsi="Arial"/>
          <w:sz w:val="19"/>
          <w:szCs w:val="19"/>
          <w:color w:val="auto"/>
        </w:rPr>
        <w:t>.</w:t>
      </w:r>
    </w:p>
    <w:p>
      <w:pPr>
        <w:spacing w:after="0" w:line="179" w:lineRule="exact"/>
        <w:rPr>
          <w:sz w:val="20"/>
          <w:szCs w:val="20"/>
          <w:color w:val="auto"/>
        </w:rPr>
      </w:pPr>
    </w:p>
    <w:p>
      <w:pPr>
        <w:ind w:right="180" w:firstLine="850"/>
        <w:spacing w:after="0" w:line="212" w:lineRule="auto"/>
        <w:tabs>
          <w:tab w:leader="none" w:pos="1284" w:val="left"/>
        </w:tabs>
        <w:numPr>
          <w:ilvl w:val="0"/>
          <w:numId w:val="71"/>
        </w:numPr>
        <w:rPr>
          <w:rFonts w:ascii="Arial" w:cs="Arial" w:eastAsia="Arial" w:hAnsi="Arial"/>
          <w:sz w:val="22"/>
          <w:szCs w:val="22"/>
          <w:color w:val="auto"/>
        </w:rPr>
      </w:pPr>
      <w:r>
        <w:rPr>
          <w:rFonts w:ascii="Arial" w:cs="Arial" w:eastAsia="Arial" w:hAnsi="Arial"/>
          <w:sz w:val="22"/>
          <w:szCs w:val="22"/>
          <w:color w:val="auto"/>
        </w:rPr>
        <w:t>All payments to be made by Borrowers shall be made without condition or deduction for any counterclaim, defense, recoupment or setoff. Borrowers shall make each payment hereunder not later than 11:00 a.m. New York City time on the day when due in Dollars to Administrative Agent in immediately available funds. Administrative Agent shall promptly distribute to each Lender its share, determined on a Pro Rata Basis (or other applicable basis as provided herein), of such payment in like funds as received by wire transfer to such Lender. All payments received by Administrative Agent after 11:00 a.m. New York City time shall be deemed received on the next succeeding Business Day and any applicable interest or fee shall continue to accrue.</w:t>
      </w:r>
    </w:p>
    <w:p>
      <w:pPr>
        <w:spacing w:after="0" w:line="163" w:lineRule="exact"/>
        <w:rPr>
          <w:rFonts w:ascii="Arial" w:cs="Arial" w:eastAsia="Arial" w:hAnsi="Arial"/>
          <w:sz w:val="22"/>
          <w:szCs w:val="22"/>
          <w:color w:val="auto"/>
        </w:rPr>
      </w:pPr>
    </w:p>
    <w:p>
      <w:pPr>
        <w:ind w:right="40" w:firstLine="850"/>
        <w:spacing w:after="0" w:line="268" w:lineRule="auto"/>
        <w:tabs>
          <w:tab w:leader="none" w:pos="1283" w:val="left"/>
        </w:tabs>
        <w:numPr>
          <w:ilvl w:val="0"/>
          <w:numId w:val="71"/>
        </w:numPr>
        <w:rPr>
          <w:rFonts w:ascii="Arial" w:cs="Arial" w:eastAsia="Arial" w:hAnsi="Arial"/>
          <w:sz w:val="19"/>
          <w:szCs w:val="19"/>
          <w:color w:val="auto"/>
        </w:rPr>
      </w:pPr>
      <w:r>
        <w:rPr>
          <w:rFonts w:ascii="Arial" w:cs="Arial" w:eastAsia="Arial" w:hAnsi="Arial"/>
          <w:sz w:val="19"/>
          <w:szCs w:val="19"/>
          <w:color w:val="auto"/>
        </w:rPr>
        <w:t>Whenever any payment hereunder would be due on a day other than a Business Day (except in the case of a payment made to cure a Collateral Call Trigger Event), such payment shall be extended to the next succeeding Business Day, and such extension of time shall in such case be included in the computation of payment of interest or any fees, as the case may be.</w:t>
      </w:r>
    </w:p>
    <w:p>
      <w:pPr>
        <w:spacing w:after="0" w:line="132" w:lineRule="exact"/>
        <w:rPr>
          <w:rFonts w:ascii="Arial" w:cs="Arial" w:eastAsia="Arial" w:hAnsi="Arial"/>
          <w:sz w:val="19"/>
          <w:szCs w:val="19"/>
          <w:color w:val="auto"/>
        </w:rPr>
      </w:pPr>
    </w:p>
    <w:p>
      <w:pPr>
        <w:ind w:right="220" w:firstLine="850"/>
        <w:spacing w:after="0" w:line="232" w:lineRule="auto"/>
        <w:tabs>
          <w:tab w:leader="none" w:pos="1284" w:val="left"/>
        </w:tabs>
        <w:numPr>
          <w:ilvl w:val="0"/>
          <w:numId w:val="71"/>
        </w:numPr>
        <w:rPr>
          <w:rFonts w:ascii="Arial" w:cs="Arial" w:eastAsia="Arial" w:hAnsi="Arial"/>
          <w:sz w:val="22"/>
          <w:szCs w:val="22"/>
          <w:color w:val="auto"/>
        </w:rPr>
      </w:pPr>
      <w:r>
        <w:rPr>
          <w:rFonts w:ascii="Arial" w:cs="Arial" w:eastAsia="Arial" w:hAnsi="Arial"/>
          <w:sz w:val="22"/>
          <w:szCs w:val="22"/>
          <w:color w:val="auto"/>
        </w:rPr>
        <w:t>All payments (including prepayments and any other amounts received hereunder in connection with the exercise of any Lender’s rights after an Event of Default) made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0" w:lineRule="exact"/>
        <w:rPr>
          <w:sz w:val="20"/>
          <w:szCs w:val="20"/>
          <w:color w:val="auto"/>
        </w:rPr>
      </w:pPr>
    </w:p>
    <w:p>
      <w:pPr>
        <w:spacing w:after="0" w:line="234"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auto"/>
        </w:rPr>
        <w:t>Borrowers to Administrative Agent under any Margin Loan Documentation shall be applied to amounts then due and payable, ratably in accordance with the percentage of any such amounts owed to each Lender, in the following order: (i) to any expenses and indemnities payable by Borrowers to Lenders or Agents under any Margin Loan Documentation; (ii) to any accrued and unpaid interest and fees due under this Agreement; (iii) to principal payments on the outstanding Advances; and (iv) to the extent of any excess, to the payment of all other Obligations under the Margin Loan Documentation.</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2.15</w:t>
      </w:r>
      <w:r>
        <w:rPr>
          <w:sz w:val="20"/>
          <w:szCs w:val="20"/>
          <w:color w:val="auto"/>
        </w:rPr>
        <w:tab/>
      </w:r>
      <w:r>
        <w:rPr>
          <w:rFonts w:ascii="Arial" w:cs="Arial" w:eastAsia="Arial" w:hAnsi="Arial"/>
          <w:sz w:val="19"/>
          <w:szCs w:val="19"/>
          <w:i w:val="1"/>
          <w:iCs w:val="1"/>
          <w:color w:val="auto"/>
        </w:rPr>
        <w:t>Accelerating Lenders</w:t>
      </w:r>
      <w:r>
        <w:rPr>
          <w:rFonts w:ascii="Arial" w:cs="Arial" w:eastAsia="Arial" w:hAnsi="Arial"/>
          <w:sz w:val="19"/>
          <w:szCs w:val="19"/>
          <w:color w:val="auto"/>
        </w:rPr>
        <w:t>.</w:t>
      </w:r>
    </w:p>
    <w:p>
      <w:pPr>
        <w:spacing w:after="0" w:line="179" w:lineRule="exact"/>
        <w:rPr>
          <w:sz w:val="20"/>
          <w:szCs w:val="20"/>
          <w:color w:val="auto"/>
        </w:rPr>
      </w:pPr>
    </w:p>
    <w:p>
      <w:pPr>
        <w:ind w:right="120" w:firstLine="850"/>
        <w:spacing w:after="0" w:line="232" w:lineRule="auto"/>
        <w:tabs>
          <w:tab w:leader="none" w:pos="1284" w:val="left"/>
        </w:tabs>
        <w:numPr>
          <w:ilvl w:val="0"/>
          <w:numId w:val="72"/>
        </w:numPr>
        <w:rPr>
          <w:rFonts w:ascii="Arial" w:cs="Arial" w:eastAsia="Arial" w:hAnsi="Arial"/>
          <w:sz w:val="22"/>
          <w:szCs w:val="22"/>
          <w:color w:val="auto"/>
        </w:rPr>
      </w:pPr>
      <w:r>
        <w:rPr>
          <w:rFonts w:ascii="Arial" w:cs="Arial" w:eastAsia="Arial" w:hAnsi="Arial"/>
          <w:sz w:val="22"/>
          <w:szCs w:val="22"/>
          <w:color w:val="auto"/>
        </w:rPr>
        <w:t>Notwithstanding anything to the contrary herein (but subject to clause (b) below), if one or more Lenders become Accelerating Lenders:</w:t>
      </w:r>
    </w:p>
    <w:p>
      <w:pPr>
        <w:spacing w:after="0" w:line="158" w:lineRule="exact"/>
        <w:rPr>
          <w:rFonts w:ascii="Arial" w:cs="Arial" w:eastAsia="Arial" w:hAnsi="Arial"/>
          <w:sz w:val="22"/>
          <w:szCs w:val="22"/>
          <w:color w:val="auto"/>
        </w:rPr>
      </w:pPr>
    </w:p>
    <w:p>
      <w:pPr>
        <w:ind w:left="660" w:right="80" w:firstLine="968"/>
        <w:spacing w:after="0" w:line="232" w:lineRule="auto"/>
        <w:tabs>
          <w:tab w:leader="none" w:pos="1944" w:val="left"/>
        </w:tabs>
        <w:numPr>
          <w:ilvl w:val="1"/>
          <w:numId w:val="72"/>
        </w:numPr>
        <w:rPr>
          <w:rFonts w:ascii="Arial" w:cs="Arial" w:eastAsia="Arial" w:hAnsi="Arial"/>
          <w:sz w:val="22"/>
          <w:szCs w:val="22"/>
          <w:color w:val="auto"/>
        </w:rPr>
      </w:pPr>
      <w:r>
        <w:rPr>
          <w:rFonts w:ascii="Arial" w:cs="Arial" w:eastAsia="Arial" w:hAnsi="Arial"/>
          <w:sz w:val="22"/>
          <w:szCs w:val="22"/>
          <w:color w:val="auto"/>
        </w:rPr>
        <w:t>each Accelerating Lender, solely for purposes of determining the rights and obligations of such Lender vis a vis Borrowers, shall be deemed to be:</w:t>
      </w:r>
    </w:p>
    <w:p>
      <w:pPr>
        <w:spacing w:after="0" w:line="382" w:lineRule="exact"/>
        <w:rPr>
          <w:rFonts w:ascii="Arial" w:cs="Arial" w:eastAsia="Arial" w:hAnsi="Arial"/>
          <w:sz w:val="22"/>
          <w:szCs w:val="22"/>
          <w:color w:val="auto"/>
        </w:rPr>
      </w:pPr>
    </w:p>
    <w:p>
      <w:pPr>
        <w:ind w:left="3240" w:hanging="834"/>
        <w:spacing w:after="0"/>
        <w:tabs>
          <w:tab w:leader="none" w:pos="3240" w:val="left"/>
        </w:tabs>
        <w:numPr>
          <w:ilvl w:val="2"/>
          <w:numId w:val="72"/>
        </w:numPr>
        <w:rPr>
          <w:rFonts w:ascii="Arial" w:cs="Arial" w:eastAsia="Arial" w:hAnsi="Arial"/>
          <w:sz w:val="22"/>
          <w:szCs w:val="22"/>
          <w:color w:val="auto"/>
        </w:rPr>
      </w:pPr>
      <w:r>
        <w:rPr>
          <w:rFonts w:ascii="Arial" w:cs="Arial" w:eastAsia="Arial" w:hAnsi="Arial"/>
          <w:sz w:val="22"/>
          <w:szCs w:val="22"/>
          <w:color w:val="auto"/>
        </w:rPr>
        <w:t>Administrative Agent and Calculation Agent hereunder; and</w:t>
      </w:r>
    </w:p>
    <w:p>
      <w:pPr>
        <w:ind w:left="1360" w:right="760" w:firstLine="1046"/>
        <w:spacing w:after="0" w:line="278" w:lineRule="auto"/>
        <w:tabs>
          <w:tab w:leader="none" w:pos="3238" w:val="left"/>
        </w:tabs>
        <w:numPr>
          <w:ilvl w:val="2"/>
          <w:numId w:val="72"/>
        </w:numPr>
        <w:rPr>
          <w:rFonts w:ascii="Arial" w:cs="Arial" w:eastAsia="Arial" w:hAnsi="Arial"/>
          <w:sz w:val="19"/>
          <w:szCs w:val="19"/>
          <w:color w:val="auto"/>
        </w:rPr>
      </w:pPr>
      <w:r>
        <w:rPr>
          <w:rFonts w:ascii="Arial" w:cs="Arial" w:eastAsia="Arial" w:hAnsi="Arial"/>
          <w:sz w:val="19"/>
          <w:szCs w:val="19"/>
          <w:color w:val="auto"/>
        </w:rPr>
        <w:t>the sole Lender hereunder for all purposes and, for the avoidance of doubt, no other Lender’s consent shall be necessary for any modification of such rights and obligations; and</w:t>
      </w:r>
    </w:p>
    <w:p>
      <w:pPr>
        <w:spacing w:after="0" w:line="123" w:lineRule="exact"/>
        <w:rPr>
          <w:rFonts w:ascii="Arial" w:cs="Arial" w:eastAsia="Arial" w:hAnsi="Arial"/>
          <w:sz w:val="19"/>
          <w:szCs w:val="19"/>
          <w:color w:val="auto"/>
        </w:rPr>
      </w:pPr>
    </w:p>
    <w:p>
      <w:pPr>
        <w:ind w:left="660" w:right="620" w:firstLine="968"/>
        <w:spacing w:after="0" w:line="232" w:lineRule="auto"/>
        <w:tabs>
          <w:tab w:leader="none" w:pos="1950" w:val="left"/>
        </w:tabs>
        <w:numPr>
          <w:ilvl w:val="1"/>
          <w:numId w:val="72"/>
        </w:numPr>
        <w:rPr>
          <w:rFonts w:ascii="Arial" w:cs="Arial" w:eastAsia="Arial" w:hAnsi="Arial"/>
          <w:sz w:val="22"/>
          <w:szCs w:val="22"/>
          <w:color w:val="auto"/>
        </w:rPr>
      </w:pPr>
      <w:r>
        <w:rPr>
          <w:rFonts w:ascii="Arial" w:cs="Arial" w:eastAsia="Arial" w:hAnsi="Arial"/>
          <w:sz w:val="22"/>
          <w:szCs w:val="22"/>
          <w:color w:val="auto"/>
        </w:rPr>
        <w:t>solely for purposes of determining the rights and obligations of all Lenders that are not Accelerating Lenders among themselves and vis a vis Borrowers:</w:t>
      </w:r>
    </w:p>
    <w:p>
      <w:pPr>
        <w:spacing w:after="0" w:line="158" w:lineRule="exact"/>
        <w:rPr>
          <w:rFonts w:ascii="Arial" w:cs="Arial" w:eastAsia="Arial" w:hAnsi="Arial"/>
          <w:sz w:val="22"/>
          <w:szCs w:val="22"/>
          <w:color w:val="auto"/>
        </w:rPr>
      </w:pPr>
    </w:p>
    <w:p>
      <w:pPr>
        <w:ind w:left="1360" w:firstLine="1046"/>
        <w:spacing w:after="0" w:line="223" w:lineRule="auto"/>
        <w:tabs>
          <w:tab w:leader="none" w:pos="3236" w:val="left"/>
        </w:tabs>
        <w:numPr>
          <w:ilvl w:val="2"/>
          <w:numId w:val="72"/>
        </w:numPr>
        <w:rPr>
          <w:rFonts w:ascii="Arial" w:cs="Arial" w:eastAsia="Arial" w:hAnsi="Arial"/>
          <w:sz w:val="22"/>
          <w:szCs w:val="22"/>
          <w:color w:val="auto"/>
        </w:rPr>
      </w:pPr>
      <w:r>
        <w:rPr>
          <w:rFonts w:ascii="Arial" w:cs="Arial" w:eastAsia="Arial" w:hAnsi="Arial"/>
          <w:sz w:val="22"/>
          <w:szCs w:val="22"/>
          <w:color w:val="auto"/>
        </w:rPr>
        <w:t>each Accelerating Lender shall be deemed to no longer be a Lender hereunder and, for the avoidance of doubt, such Accelerating Lender’s consent shall not be necessary for any modification of such rights and obligations; and</w:t>
      </w:r>
    </w:p>
    <w:p>
      <w:pPr>
        <w:spacing w:after="0" w:line="158" w:lineRule="exact"/>
        <w:rPr>
          <w:rFonts w:ascii="Arial" w:cs="Arial" w:eastAsia="Arial" w:hAnsi="Arial"/>
          <w:sz w:val="22"/>
          <w:szCs w:val="22"/>
          <w:color w:val="auto"/>
        </w:rPr>
      </w:pPr>
    </w:p>
    <w:p>
      <w:pPr>
        <w:ind w:left="1360" w:right="240" w:firstLine="1046"/>
        <w:spacing w:after="0" w:line="298" w:lineRule="auto"/>
        <w:tabs>
          <w:tab w:leader="none" w:pos="3238" w:val="left"/>
        </w:tabs>
        <w:numPr>
          <w:ilvl w:val="2"/>
          <w:numId w:val="72"/>
        </w:numPr>
        <w:rPr>
          <w:rFonts w:ascii="Arial" w:cs="Arial" w:eastAsia="Arial" w:hAnsi="Arial"/>
          <w:sz w:val="19"/>
          <w:szCs w:val="19"/>
          <w:color w:val="auto"/>
        </w:rPr>
      </w:pPr>
      <w:r>
        <w:rPr>
          <w:rFonts w:ascii="Arial" w:cs="Arial" w:eastAsia="Arial" w:hAnsi="Arial"/>
          <w:sz w:val="19"/>
          <w:szCs w:val="19"/>
          <w:color w:val="auto"/>
        </w:rPr>
        <w:t>if Administrative Agent or Calculation Agent is an Accelerating Lender, a replacement therefor shall be selected from among Lenders that are not Accelerating Lenders as if such Agent had resigned.</w:t>
      </w:r>
    </w:p>
    <w:p>
      <w:pPr>
        <w:spacing w:after="0" w:line="105" w:lineRule="exact"/>
        <w:rPr>
          <w:sz w:val="20"/>
          <w:szCs w:val="20"/>
          <w:color w:val="auto"/>
        </w:rPr>
      </w:pPr>
    </w:p>
    <w:p>
      <w:pPr>
        <w:ind w:right="20" w:firstLine="850"/>
        <w:spacing w:after="0" w:line="216" w:lineRule="auto"/>
        <w:tabs>
          <w:tab w:leader="none" w:pos="1284" w:val="left"/>
        </w:tabs>
        <w:numPr>
          <w:ilvl w:val="0"/>
          <w:numId w:val="73"/>
        </w:numPr>
        <w:rPr>
          <w:rFonts w:ascii="Arial" w:cs="Arial" w:eastAsia="Arial" w:hAnsi="Arial"/>
          <w:sz w:val="22"/>
          <w:szCs w:val="22"/>
          <w:color w:val="auto"/>
        </w:rPr>
      </w:pPr>
      <w:r>
        <w:rPr>
          <w:rFonts w:ascii="Arial" w:cs="Arial" w:eastAsia="Arial" w:hAnsi="Arial"/>
          <w:sz w:val="22"/>
          <w:szCs w:val="22"/>
          <w:color w:val="auto"/>
        </w:rPr>
        <w:t>Notwithstanding the foregoing, following one or more Lenders becoming Accelerating Lenders, no Borrower, for the avoidance of doubt, shall make any payments of its Obligations or post any Collateral except on a Pro Rata Basis (without regard to Section 2.15(a)). For the avoidance of doubt, the application of proceeds received by an Applicable Lender in respect of an exercise of its remedies under the Margin Loan Documentation shall not be considered a payment by Borrowers for purposes of this Section 2.15(b).</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2.16</w:t>
      </w:r>
      <w:r>
        <w:rPr>
          <w:sz w:val="20"/>
          <w:szCs w:val="20"/>
          <w:color w:val="auto"/>
        </w:rPr>
        <w:tab/>
      </w:r>
      <w:r>
        <w:rPr>
          <w:rFonts w:ascii="Arial" w:cs="Arial" w:eastAsia="Arial" w:hAnsi="Arial"/>
          <w:sz w:val="19"/>
          <w:szCs w:val="19"/>
          <w:i w:val="1"/>
          <w:iCs w:val="1"/>
          <w:color w:val="auto"/>
        </w:rPr>
        <w:t>Periodic Rebalancing</w:t>
      </w:r>
      <w:r>
        <w:rPr>
          <w:rFonts w:ascii="Arial" w:cs="Arial" w:eastAsia="Arial" w:hAnsi="Arial"/>
          <w:sz w:val="19"/>
          <w:szCs w:val="19"/>
          <w:color w:val="auto"/>
        </w:rPr>
        <w:t>.</w:t>
      </w:r>
    </w:p>
    <w:p>
      <w:pPr>
        <w:spacing w:after="0" w:line="179" w:lineRule="exact"/>
        <w:rPr>
          <w:sz w:val="20"/>
          <w:szCs w:val="20"/>
          <w:color w:val="auto"/>
        </w:rPr>
      </w:pPr>
    </w:p>
    <w:p>
      <w:pPr>
        <w:ind w:firstLine="850"/>
        <w:spacing w:after="0" w:line="214" w:lineRule="auto"/>
        <w:tabs>
          <w:tab w:leader="none" w:pos="1284" w:val="left"/>
        </w:tabs>
        <w:numPr>
          <w:ilvl w:val="0"/>
          <w:numId w:val="74"/>
        </w:numPr>
        <w:rPr>
          <w:rFonts w:ascii="Arial" w:cs="Arial" w:eastAsia="Arial" w:hAnsi="Arial"/>
          <w:sz w:val="22"/>
          <w:szCs w:val="22"/>
          <w:color w:val="auto"/>
        </w:rPr>
      </w:pPr>
      <w:r>
        <w:rPr>
          <w:rFonts w:ascii="Arial" w:cs="Arial" w:eastAsia="Arial" w:hAnsi="Arial"/>
          <w:sz w:val="22"/>
          <w:szCs w:val="22"/>
          <w:color w:val="auto"/>
        </w:rPr>
        <w:t>Subject to Section 2.15, if as of any Interest Payment Date, following the making of any Advance or following any repayment or prepayment of any Advance, the Collateral is not held on a Pro Rata Basis for any reason, then on, or as promptly as practicable following, such Interest Payment Date, the making of such Advance or such repayment or prepayment, the Applicable Lenders shall cause any transfers of Collateral from the Collateral Accounts that they control to Collateral Accounts controlled by other Applicable Lenders as may be necessary, as determined by Administrative Agent, to ensure that the Collateral is held on a Pro Rata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200" w:lineRule="exact"/>
        <w:rPr>
          <w:sz w:val="20"/>
          <w:szCs w:val="20"/>
          <w:color w:val="auto"/>
        </w:rPr>
      </w:pPr>
    </w:p>
    <w:p>
      <w:pPr>
        <w:spacing w:after="0" w:line="234" w:lineRule="exact"/>
        <w:rPr>
          <w:sz w:val="20"/>
          <w:szCs w:val="20"/>
          <w:color w:val="auto"/>
        </w:rPr>
      </w:pPr>
    </w:p>
    <w:p>
      <w:pPr>
        <w:spacing w:after="0" w:line="229" w:lineRule="auto"/>
        <w:rPr>
          <w:sz w:val="20"/>
          <w:szCs w:val="20"/>
          <w:color w:val="auto"/>
        </w:rPr>
      </w:pPr>
      <w:r>
        <w:rPr>
          <w:rFonts w:ascii="Arial" w:cs="Arial" w:eastAsia="Arial" w:hAnsi="Arial"/>
          <w:sz w:val="21"/>
          <w:szCs w:val="21"/>
          <w:color w:val="auto"/>
        </w:rPr>
        <w:t>Each Applicable Lender agrees to cooperate in good faith with Administrative Agent to effect such rebalancing, including, for the avoidance of doubt, by submitting written instructions to each Custodian to effect such transfers. Each Borrower hereby consents to such transfers. For the avoidance of doubt, any rebalancing pursuant to this Section 2.16 shall not occur with respect to Incremental Commitments until Advances in respect of such Incremental Commitments are made.</w:t>
      </w:r>
    </w:p>
    <w:p>
      <w:pPr>
        <w:spacing w:after="0" w:line="158" w:lineRule="exact"/>
        <w:rPr>
          <w:sz w:val="20"/>
          <w:szCs w:val="20"/>
          <w:color w:val="auto"/>
        </w:rPr>
      </w:pPr>
    </w:p>
    <w:p>
      <w:pPr>
        <w:ind w:right="80" w:firstLine="850"/>
        <w:spacing w:after="0" w:line="252" w:lineRule="auto"/>
        <w:tabs>
          <w:tab w:leader="none" w:pos="1283"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 connection with the extension of any new Advances under Section 2.01 or any transfer of Collateral Shares to a Collateral Account pursuant to this Section 2.16 or otherwise, Borrowers shall comply and use reasonable efforts to cause each Custodian to comply, with any request of the Applicable Lender that controls such Collateral Account or is making such new Advances, as the case may be, to transfer such Collateral Shares or any Collateral Shares securing such new Advances, as the case may be, to a separate sub-account under the relevant Collateral Account controlled by such Applicable Lender.</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2.17</w:t>
      </w:r>
      <w:r>
        <w:rPr>
          <w:sz w:val="20"/>
          <w:szCs w:val="20"/>
          <w:color w:val="auto"/>
        </w:rPr>
        <w:tab/>
      </w:r>
      <w:r>
        <w:rPr>
          <w:rFonts w:ascii="Arial" w:cs="Arial" w:eastAsia="Arial" w:hAnsi="Arial"/>
          <w:sz w:val="19"/>
          <w:szCs w:val="19"/>
          <w:i w:val="1"/>
          <w:iCs w:val="1"/>
          <w:color w:val="auto"/>
        </w:rPr>
        <w:t>Increase in Commitments.</w:t>
      </w:r>
    </w:p>
    <w:p>
      <w:pPr>
        <w:spacing w:after="0" w:line="179" w:lineRule="exact"/>
        <w:rPr>
          <w:sz w:val="20"/>
          <w:szCs w:val="20"/>
          <w:color w:val="auto"/>
        </w:rPr>
      </w:pPr>
    </w:p>
    <w:p>
      <w:pPr>
        <w:ind w:firstLine="850"/>
        <w:spacing w:after="0"/>
        <w:tabs>
          <w:tab w:leader="none" w:pos="1284"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Borrowers Request</w:t>
      </w:r>
      <w:r>
        <w:rPr>
          <w:rFonts w:ascii="Arial" w:cs="Arial" w:eastAsia="Arial" w:hAnsi="Arial"/>
          <w:sz w:val="19"/>
          <w:szCs w:val="19"/>
          <w:color w:val="auto"/>
        </w:rPr>
        <w:t>. Subject to the terms and conditions of this Agreement, Borrowers may, during the Availability Period, on one or more occasions, by written notice to Administrative Agent (which shall promptly notify each Lender), elect to enter into an Incremental Facility Amendment and request additional commitments to make Advances hereunder in an amount not in excess of the Incremental Cap (such requested additional commitments, “</w:t>
      </w:r>
      <w:r>
        <w:rPr>
          <w:rFonts w:ascii="Arial" w:cs="Arial" w:eastAsia="Arial" w:hAnsi="Arial"/>
          <w:sz w:val="19"/>
          <w:szCs w:val="19"/>
          <w:b w:val="1"/>
          <w:bCs w:val="1"/>
          <w:i w:val="1"/>
          <w:iCs w:val="1"/>
          <w:color w:val="auto"/>
        </w:rPr>
        <w:t>Proposed Incremental Commitments</w:t>
      </w:r>
      <w:r>
        <w:rPr>
          <w:rFonts w:ascii="Arial" w:cs="Arial" w:eastAsia="Arial" w:hAnsi="Arial"/>
          <w:sz w:val="19"/>
          <w:szCs w:val="19"/>
          <w:color w:val="auto"/>
        </w:rPr>
        <w:t xml:space="preserve">”). Except as Borrowers and any Lender may separately agree, no Lender shall be obligated to provide any Proposed Incremental Commitment, and the determination to provide any Proposed Incremental Commitment shall be within the sole and absolute discretion of each Lender and shall be binding on any Lender only upon execution of the relevant Incremental Facility Amendment. Borrowers shall be obligated to offer the opportunity to each existing Lender to participate in any Proposed Incremental Commitment, in an amount up to each such existing Lender’s Incremental Commitment Percentage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the amount of such Proposed Incremental Commitment, before making any offer to any prospective Additional Lender to participate in such Proposed Incremental Commitment, and to hold such offer to each existing Lender open for a period of ten (10) Business Days. If Lenders decline to participate in such Proposed Incremental Commitment sufficient in the aggregate to achieve the full amount of such Proposed Incremental Commitment (it being understood that Lenders may elect to participate in only a portion of such Proposed Incremental Commitment), then Borrowers may establish Commitments for new Lenders in an amount up to the Proposed Incremental Commitment after taking into account any portion of the Proposed Incremental Commitment in which Lenders elected to participate,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new Lender (1) is (a) an Approved Lender, (b) an Affiliate of any Lender (other than a special purpose vehicle, securitization vehicle or other similar Person) or (c) an Approved Fund of any Lender, (2) is not a natural person, a Borrower or an of Affiliate of a Borrower and (3) makes the Purchaser Representations for the benefit of each existing Lender (any such new Lender, an “</w:t>
      </w:r>
      <w:r>
        <w:rPr>
          <w:rFonts w:ascii="Arial" w:cs="Arial" w:eastAsia="Arial" w:hAnsi="Arial"/>
          <w:sz w:val="19"/>
          <w:szCs w:val="19"/>
          <w:b w:val="1"/>
          <w:bCs w:val="1"/>
          <w:i w:val="1"/>
          <w:iCs w:val="1"/>
          <w:color w:val="auto"/>
        </w:rPr>
        <w:t>Additional Lender</w:t>
      </w:r>
      <w:r>
        <w:rPr>
          <w:rFonts w:ascii="Arial" w:cs="Arial" w:eastAsia="Arial" w:hAnsi="Arial"/>
          <w:sz w:val="19"/>
          <w:szCs w:val="19"/>
          <w:color w:val="auto"/>
        </w:rPr>
        <w:t>”). Each existing Lender or Additional Lender providing a portion of any Incremental Commitment shall execute and deliver to Administrative Agent and Borrowers all such documentation (including the relevant Incremental Facility Amendment) as may be reasonably required by Administrative Agent to evidence and effectuate such Incremental Commitment, and Administrative Agent shall update Schedule I hereto to that effect. On the effective date of such Incremental Commitment, the Additional Lenders shall become Lenders for all purposes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0" w:lineRule="exact"/>
        <w:rPr>
          <w:sz w:val="20"/>
          <w:szCs w:val="20"/>
          <w:color w:val="auto"/>
        </w:rPr>
      </w:pPr>
    </w:p>
    <w:p>
      <w:pPr>
        <w:spacing w:after="0" w:line="234" w:lineRule="exact"/>
        <w:rPr>
          <w:sz w:val="20"/>
          <w:szCs w:val="20"/>
          <w:color w:val="auto"/>
        </w:rPr>
      </w:pPr>
    </w:p>
    <w:p>
      <w:pPr>
        <w:ind w:firstLine="850"/>
        <w:spacing w:after="0" w:line="241" w:lineRule="auto"/>
        <w:tabs>
          <w:tab w:leader="none" w:pos="1283"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Terms of Incremental Facility Amendment</w:t>
      </w:r>
      <w:r>
        <w:rPr>
          <w:rFonts w:ascii="Arial" w:cs="Arial" w:eastAsia="Arial" w:hAnsi="Arial"/>
          <w:sz w:val="19"/>
          <w:szCs w:val="19"/>
          <w:color w:val="auto"/>
        </w:rPr>
        <w:t xml:space="preserve">. The terms and provisions of Incremental Commitments shall be as set forth in the applicable Incremental Facility Amendment and shall be substantially identical to the terms and conditions of the other Commitments and the other analogous Margin Loan Documentation;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Spread with respect to Incremental Commitments may be lower. Lenders hereby irrevocably authorize Administrative Agent to enter into any Incremental Facility Amendment and/or any amendment to any other Margin Loan Documentation as may be necessary in order to establish classes or sub-classes in respect of the Advances or commitments pursuant to this Section 2.17 and such technical amendments as may be necessary or appropriate in the reasonable opinion of Administrative Agent and Borrowers (i) in connection with the establishment of such classes or sub-classes, in each case, on terms consistent with this Section 2.17 and (ii) to ensure, at the option of the Borrowers, that any Advances pursuant to Incremental Commitments are “fungible” with other Advances. Lenders further hereby irrevocably authorize Administrative Agent to enter into any Incremental Facility Amendment and/or any other Margin Loan Documentation to effect the provisions of this Section 2.17, including (i) the pledge of the Collateral to secure Borrowers’ obligations in connection with such Incremental Facility Amendment or (ii) the establishment of one or more separate Collateral Accounts with the Custodian, and will cooperate in transferring the Collateral to any such accounts to ensure that the Collateral is held on a Pro Rata Basis. For the avoidance of doubt, any transfer of the Collateral shall not occur with respect to Incremental Commitments until Advances in respect of such Incremental Commitments are made.</w:t>
      </w:r>
    </w:p>
    <w:p>
      <w:pPr>
        <w:spacing w:after="0" w:line="165" w:lineRule="exact"/>
        <w:rPr>
          <w:sz w:val="20"/>
          <w:szCs w:val="20"/>
          <w:color w:val="auto"/>
        </w:rPr>
      </w:pPr>
    </w:p>
    <w:p>
      <w:pPr>
        <w:ind w:right="60" w:firstLine="648"/>
        <w:spacing w:after="0" w:line="216" w:lineRule="auto"/>
        <w:rPr>
          <w:sz w:val="20"/>
          <w:szCs w:val="20"/>
          <w:color w:val="auto"/>
        </w:rPr>
      </w:pPr>
      <w:r>
        <w:rPr>
          <w:rFonts w:ascii="Arial" w:cs="Arial" w:eastAsia="Arial" w:hAnsi="Arial"/>
          <w:sz w:val="22"/>
          <w:szCs w:val="22"/>
          <w:color w:val="auto"/>
        </w:rPr>
        <w:t>Subject to the terms and conditions set forth in this Agreement and any applicable Incremental Facility Amendment, each existing Lender and any Additional Lender with an Incremental Commitment agrees to make Advances in Dollars to Borrowers up to the amount of such existing Lender’s Incremental Commitment and Additional Lender’s Incremental Commitment, respectively, as set forth in such Incremental Facility Amendment, by making immediately available funds available to Administrative Agent on the date of such Advance.</w:t>
      </w:r>
    </w:p>
    <w:p>
      <w:pPr>
        <w:spacing w:after="0" w:line="15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9"/>
          <w:szCs w:val="19"/>
          <w:color w:val="auto"/>
        </w:rPr>
        <w:t>Borrowers shall notify the Lenders in writing of any proposed Incremental Facility Amendment at least five (5) Business Days prior to its execution, and each Lender shall notify Borrowers within two (2) Business Days of confirmed receipt by such Lender of such written notice whether such Lender deems such proposed Incremental Facility Amendment to be a material amendment adversely affecting the rights of such Lender in the Collateral (a “</w:t>
      </w:r>
      <w:r>
        <w:rPr>
          <w:rFonts w:ascii="Arial" w:cs="Arial" w:eastAsia="Arial" w:hAnsi="Arial"/>
          <w:sz w:val="19"/>
          <w:szCs w:val="19"/>
          <w:b w:val="1"/>
          <w:bCs w:val="1"/>
          <w:i w:val="1"/>
          <w:iCs w:val="1"/>
          <w:color w:val="auto"/>
        </w:rPr>
        <w:t>Material Amendment</w:t>
      </w:r>
      <w:r>
        <w:rPr>
          <w:rFonts w:ascii="Arial" w:cs="Arial" w:eastAsia="Arial" w:hAnsi="Arial"/>
          <w:sz w:val="19"/>
          <w:szCs w:val="19"/>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Section 2.17(b) shall supersede any provision in Section 9.01 to the contrary.</w:t>
      </w:r>
    </w:p>
    <w:p>
      <w:pPr>
        <w:spacing w:after="0" w:line="179" w:lineRule="exact"/>
        <w:rPr>
          <w:sz w:val="20"/>
          <w:szCs w:val="20"/>
          <w:color w:val="auto"/>
        </w:rPr>
      </w:pPr>
    </w:p>
    <w:p>
      <w:pPr>
        <w:ind w:right="260" w:firstLine="850"/>
        <w:spacing w:after="0" w:line="249" w:lineRule="auto"/>
        <w:tabs>
          <w:tab w:leader="none" w:pos="1284"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Equal and Ratable Benefit</w:t>
      </w:r>
      <w:r>
        <w:rPr>
          <w:rFonts w:ascii="Arial" w:cs="Arial" w:eastAsia="Arial" w:hAnsi="Arial"/>
          <w:sz w:val="19"/>
          <w:szCs w:val="19"/>
          <w:color w:val="auto"/>
        </w:rPr>
        <w:t>. The Incremental Commitments established pursuant to this Section 2.17 shall constitute loans and Commitments under, and shall be entitled to all the benefits afforded by, the Margin Loan Documentation, and shall, without limiting the foregoing, benefit equally and ratably from the security interests created by the relevant Margin Loan Documentation. The Borrowers shall take any actions reasonably required by Administrative Agent to ensure and/or demonstrate that the Lien and security interests granted by the relevant Margin Loan Documentation continue to be perfected under the UCC or otherwise after giving effect to the establishment of any Incremental Commitments.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2.18 </w:t>
      </w:r>
      <w:r>
        <w:rPr>
          <w:rFonts w:ascii="Arial" w:cs="Arial" w:eastAsia="Arial" w:hAnsi="Arial"/>
          <w:sz w:val="22"/>
          <w:szCs w:val="22"/>
          <w:i w:val="1"/>
          <w:iCs w:val="1"/>
          <w:color w:val="auto"/>
        </w:rPr>
        <w:t>Benchmark Replacement Setting.</w:t>
      </w:r>
    </w:p>
    <w:p>
      <w:pPr>
        <w:spacing w:after="0" w:line="206" w:lineRule="exact"/>
        <w:rPr>
          <w:sz w:val="20"/>
          <w:szCs w:val="20"/>
          <w:color w:val="auto"/>
        </w:rPr>
      </w:pPr>
    </w:p>
    <w:p>
      <w:pPr>
        <w:ind w:right="1320" w:firstLine="656"/>
        <w:spacing w:after="0" w:line="232" w:lineRule="auto"/>
        <w:tabs>
          <w:tab w:leader="none" w:pos="942"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Benchmark Replacement</w:t>
      </w:r>
      <w:r>
        <w:rPr>
          <w:rFonts w:ascii="Arial" w:cs="Arial" w:eastAsia="Arial" w:hAnsi="Arial"/>
          <w:sz w:val="22"/>
          <w:szCs w:val="22"/>
          <w:color w:val="auto"/>
        </w:rPr>
        <w:t>. Notwithstanding anything to the contrary herein or in any other Margin Loan Documentation, if a Benchmark Transition Event and its related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200" w:lineRule="exact"/>
        <w:rPr>
          <w:sz w:val="20"/>
          <w:szCs w:val="20"/>
          <w:color w:val="auto"/>
        </w:rPr>
      </w:pPr>
    </w:p>
    <w:p>
      <w:pPr>
        <w:spacing w:after="0" w:line="234" w:lineRule="exact"/>
        <w:rPr>
          <w:sz w:val="20"/>
          <w:szCs w:val="20"/>
          <w:color w:val="auto"/>
        </w:rPr>
      </w:pPr>
    </w:p>
    <w:p>
      <w:pPr>
        <w:ind w:right="80"/>
        <w:spacing w:after="0" w:line="219" w:lineRule="auto"/>
        <w:rPr>
          <w:sz w:val="20"/>
          <w:szCs w:val="20"/>
          <w:color w:val="auto"/>
        </w:rPr>
      </w:pPr>
      <w:r>
        <w:rPr>
          <w:rFonts w:ascii="Arial" w:cs="Arial" w:eastAsia="Arial" w:hAnsi="Arial"/>
          <w:sz w:val="21"/>
          <w:szCs w:val="21"/>
          <w:color w:val="auto"/>
        </w:rPr>
        <w:t>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Margin Loan Documentation in respect of such Benchmark setting and subsequent Benchmark settings without any amendment to, or further action or consent of any other party to, this Agreement or any other Margin Loan Documentation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Margin Loan Documentation so long as the Administrative Agent has not received, by such time, written notice of objection to such Benchmark Replacement from Lenders comprising the Required Lenders. If the Benchmark Replacement is Adjusted Daily Simple SOFR, all interest payments will be payable on a quarterly basis.</w:t>
      </w:r>
    </w:p>
    <w:p>
      <w:pPr>
        <w:spacing w:after="0" w:line="186" w:lineRule="exact"/>
        <w:rPr>
          <w:sz w:val="20"/>
          <w:szCs w:val="20"/>
          <w:color w:val="auto"/>
        </w:rPr>
      </w:pPr>
    </w:p>
    <w:p>
      <w:pPr>
        <w:ind w:right="140" w:firstLine="656"/>
        <w:spacing w:after="0" w:line="216" w:lineRule="auto"/>
        <w:tabs>
          <w:tab w:leader="none" w:pos="954"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Benchmark Replacement Conforming Changes</w:t>
      </w:r>
      <w:r>
        <w:rPr>
          <w:rFonts w:ascii="Arial" w:cs="Arial" w:eastAsia="Arial" w:hAnsi="Arial"/>
          <w:sz w:val="22"/>
          <w:szCs w:val="22"/>
          <w:color w:val="auto"/>
        </w:rPr>
        <w:t>. In connection with the use, administration, adoption or implementation of a Benchmark Replacement, the Administrative Agent will have the right to make Conforming Changes from time to time and, notwithstanding anything to the contrary herein or in any other Margin Loan Documentation, any amendments implementing such Conforming Changes will become effective without any further action or consent of any other party to this Agreement or any other Margin Loan Documentation.</w:t>
      </w:r>
    </w:p>
    <w:p>
      <w:pPr>
        <w:spacing w:after="0" w:line="184" w:lineRule="exact"/>
        <w:rPr>
          <w:rFonts w:ascii="Arial" w:cs="Arial" w:eastAsia="Arial" w:hAnsi="Arial"/>
          <w:sz w:val="22"/>
          <w:szCs w:val="22"/>
          <w:color w:val="auto"/>
        </w:rPr>
      </w:pPr>
    </w:p>
    <w:p>
      <w:pPr>
        <w:ind w:firstLine="656"/>
        <w:spacing w:after="0" w:line="244" w:lineRule="auto"/>
        <w:tabs>
          <w:tab w:leader="none" w:pos="942"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The Administrative Agent will promptly notify the Borrowers and the Lenders of (i) the implementation of any Benchmark Replacement and (ii) the effectiveness of any Benchmark Replacement Conforming Changes in connection with the use, administration, adoption or implementation of a Benchmark Replacement. The Administrative Agent will promptly notify the Borrowers of (x) the removal or reinstatement of any tenor of a Benchmark pursuant to Section 2.18(d) and (y) the commencement of any Benchmark Unavailability Period. Any determination, decision or election that may be made by the Administrative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Margin Loan Documentation, except, in each case, as expressly required pursuant to this Section 2.18.</w:t>
      </w:r>
    </w:p>
    <w:p>
      <w:pPr>
        <w:spacing w:after="0" w:line="181" w:lineRule="exact"/>
        <w:rPr>
          <w:rFonts w:ascii="Arial" w:cs="Arial" w:eastAsia="Arial" w:hAnsi="Arial"/>
          <w:sz w:val="19"/>
          <w:szCs w:val="19"/>
          <w:color w:val="auto"/>
        </w:rPr>
      </w:pPr>
    </w:p>
    <w:p>
      <w:pPr>
        <w:ind w:right="80" w:firstLine="656"/>
        <w:spacing w:after="0" w:line="247" w:lineRule="auto"/>
        <w:tabs>
          <w:tab w:leader="none" w:pos="954"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Unavailability of Tenor of Benchmark</w:t>
      </w:r>
      <w:r>
        <w:rPr>
          <w:rFonts w:ascii="Arial" w:cs="Arial" w:eastAsia="Arial" w:hAnsi="Arial"/>
          <w:sz w:val="19"/>
          <w:szCs w:val="19"/>
          <w:color w:val="auto"/>
        </w:rPr>
        <w:t>. Notwithstanding anything to the contrary herein or in any other Margin Loan Documentation,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then the Administrative Agent may modify the definition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p>
    <w:p>
      <w:pPr>
        <w:spacing w:after="0" w:line="234" w:lineRule="exact"/>
        <w:rPr>
          <w:sz w:val="20"/>
          <w:szCs w:val="20"/>
          <w:color w:val="auto"/>
        </w:rPr>
      </w:pPr>
    </w:p>
    <w:p>
      <w:pPr>
        <w:spacing w:after="0" w:line="214" w:lineRule="auto"/>
        <w:rPr>
          <w:sz w:val="20"/>
          <w:szCs w:val="20"/>
          <w:color w:val="auto"/>
        </w:rPr>
      </w:pPr>
      <w:r>
        <w:rPr>
          <w:rFonts w:ascii="Arial" w:cs="Arial" w:eastAsia="Arial" w:hAnsi="Arial"/>
          <w:sz w:val="22"/>
          <w:szCs w:val="22"/>
          <w:color w:val="auto"/>
        </w:rPr>
        <w:t>“Interest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then the Administrative Agent may modify the definition of “Interest Period” (or any similar or analogous definition) for all Benchmark settings at or after such time to reinstate such previously removed tenor.</w:t>
      </w:r>
    </w:p>
    <w:p>
      <w:pPr>
        <w:spacing w:after="0" w:line="186" w:lineRule="exact"/>
        <w:rPr>
          <w:sz w:val="20"/>
          <w:szCs w:val="20"/>
          <w:color w:val="auto"/>
        </w:rPr>
      </w:pPr>
    </w:p>
    <w:p>
      <w:pPr>
        <w:ind w:right="80" w:firstLine="656"/>
        <w:spacing w:after="0" w:line="217" w:lineRule="auto"/>
        <w:tabs>
          <w:tab w:leader="none" w:pos="942" w:val="left"/>
        </w:tabs>
        <w:numPr>
          <w:ilvl w:val="0"/>
          <w:numId w:val="81"/>
        </w:numPr>
        <w:rPr>
          <w:rFonts w:ascii="Arial" w:cs="Arial" w:eastAsia="Arial" w:hAnsi="Arial"/>
          <w:sz w:val="21"/>
          <w:szCs w:val="21"/>
          <w:color w:val="auto"/>
        </w:rPr>
      </w:pPr>
      <w:r>
        <w:rPr>
          <w:rFonts w:ascii="Arial" w:cs="Arial" w:eastAsia="Arial" w:hAnsi="Arial"/>
          <w:sz w:val="21"/>
          <w:szCs w:val="21"/>
          <w:color w:val="auto"/>
        </w:rPr>
        <w:t>Benchmark Unavailability Period. Upon the Borrowers’ receipt of notice of the commencement of a Benchmark Unavailability Period, the Borrowers may revoke any request for a SOFR Advance of, conversion to or continuation of SOFR Advances to be made, converted or continued during any Benchmark Unavailability Period and, failing that, the Borrowers will be deemed to have converted any such request into a request for the borrowings of or conversion to Base Rate Advances. During any Benchmark Unavailability Period or at any time that a tenor for the then-current Benchmark is not an Available Tenor, the component of Base Rate based upon the then-current Benchmark or such tenor for such Benchmark, as applicable, will not beused in any determination of Base Rate.</w:t>
      </w:r>
    </w:p>
    <w:p>
      <w:pPr>
        <w:spacing w:after="0" w:line="1"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 xml:space="preserve">Section 2.19  </w:t>
      </w:r>
      <w:r>
        <w:rPr>
          <w:rFonts w:ascii="Arial" w:cs="Arial" w:eastAsia="Arial" w:hAnsi="Arial"/>
          <w:sz w:val="22"/>
          <w:szCs w:val="22"/>
          <w:i w:val="1"/>
          <w:iCs w:val="1"/>
          <w:color w:val="auto"/>
        </w:rPr>
        <w:t>Erroneous Payments.</w:t>
      </w:r>
    </w:p>
    <w:p>
      <w:pPr>
        <w:spacing w:after="0" w:line="161" w:lineRule="exact"/>
        <w:rPr>
          <w:rFonts w:ascii="Arial" w:cs="Arial" w:eastAsia="Arial" w:hAnsi="Arial"/>
          <w:sz w:val="21"/>
          <w:szCs w:val="21"/>
          <w:color w:val="auto"/>
        </w:rPr>
      </w:pPr>
    </w:p>
    <w:p>
      <w:pPr>
        <w:ind w:firstLine="850"/>
        <w:spacing w:after="0" w:line="241" w:lineRule="auto"/>
        <w:tabs>
          <w:tab w:leader="none" w:pos="1284" w:val="left"/>
        </w:tabs>
        <w:numPr>
          <w:ilvl w:val="1"/>
          <w:numId w:val="81"/>
        </w:numPr>
        <w:rPr>
          <w:rFonts w:ascii="Arial" w:cs="Arial" w:eastAsia="Arial" w:hAnsi="Arial"/>
          <w:sz w:val="19"/>
          <w:szCs w:val="19"/>
          <w:color w:val="auto"/>
        </w:rPr>
      </w:pPr>
      <w:r>
        <w:rPr>
          <w:rFonts w:ascii="Arial" w:cs="Arial" w:eastAsia="Arial" w:hAnsi="Arial"/>
          <w:sz w:val="19"/>
          <w:szCs w:val="19"/>
          <w:color w:val="auto"/>
        </w:rPr>
        <w:t>If the Administrative Agent notifies a Lender or any Person who has received funds on behalf of a Lender (any such Lender or other recipient, a “</w:t>
      </w:r>
      <w:r>
        <w:rPr>
          <w:rFonts w:ascii="Arial" w:cs="Arial" w:eastAsia="Arial" w:hAnsi="Arial"/>
          <w:sz w:val="19"/>
          <w:szCs w:val="19"/>
          <w:b w:val="1"/>
          <w:bCs w:val="1"/>
          <w:color w:val="auto"/>
        </w:rPr>
        <w:t>Payment Recipient</w:t>
      </w:r>
      <w:r>
        <w:rPr>
          <w:rFonts w:ascii="Arial" w:cs="Arial" w:eastAsia="Arial" w:hAnsi="Arial"/>
          <w:sz w:val="19"/>
          <w:szCs w:val="19"/>
          <w:color w:val="auto"/>
        </w:rPr>
        <w:t xml:space="preserve">”) that the Administrative Agent has determined in its sole discretion (whether or not after receipt of any notice under immediately succeeding </w:t>
      </w:r>
      <w:r>
        <w:rPr>
          <w:rFonts w:ascii="Arial" w:cs="Arial" w:eastAsia="Arial" w:hAnsi="Arial"/>
          <w:sz w:val="19"/>
          <w:szCs w:val="19"/>
          <w:u w:val="single" w:color="auto"/>
          <w:color w:val="auto"/>
        </w:rPr>
        <w:t>clause (b)</w:t>
      </w:r>
      <w:r>
        <w:rPr>
          <w:rFonts w:ascii="Arial" w:cs="Arial" w:eastAsia="Arial" w:hAnsi="Arial"/>
          <w:sz w:val="19"/>
          <w:szCs w:val="19"/>
          <w:color w:val="auto"/>
        </w:rPr>
        <w:t>) that any funds received by such Payment Recipient from the Administrative Agent or any of its Affiliates were erroneously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Arial" w:cs="Arial" w:eastAsia="Arial" w:hAnsi="Arial"/>
          <w:sz w:val="19"/>
          <w:szCs w:val="19"/>
          <w:b w:val="1"/>
          <w:bCs w:val="1"/>
          <w:color w:val="auto"/>
        </w:rPr>
        <w:t>Erroneous Payment</w:t>
      </w:r>
      <w:r>
        <w:rPr>
          <w:rFonts w:ascii="Arial" w:cs="Arial" w:eastAsia="Arial" w:hAnsi="Arial"/>
          <w:sz w:val="19"/>
          <w:szCs w:val="19"/>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shall be conclusive, absent manifest error.</w:t>
      </w:r>
    </w:p>
    <w:p>
      <w:pPr>
        <w:spacing w:after="0" w:line="377" w:lineRule="exact"/>
        <w:rPr>
          <w:rFonts w:ascii="Arial" w:cs="Arial" w:eastAsia="Arial" w:hAnsi="Arial"/>
          <w:sz w:val="19"/>
          <w:szCs w:val="19"/>
          <w:color w:val="auto"/>
        </w:rPr>
      </w:pPr>
    </w:p>
    <w:p>
      <w:pPr>
        <w:ind w:right="20" w:firstLine="850"/>
        <w:spacing w:after="0" w:line="249" w:lineRule="auto"/>
        <w:tabs>
          <w:tab w:leader="none" w:pos="1283" w:val="left"/>
        </w:tabs>
        <w:numPr>
          <w:ilvl w:val="1"/>
          <w:numId w:val="81"/>
        </w:numPr>
        <w:rPr>
          <w:rFonts w:ascii="Arial" w:cs="Arial" w:eastAsia="Arial" w:hAnsi="Arial"/>
          <w:sz w:val="19"/>
          <w:szCs w:val="19"/>
          <w:color w:val="auto"/>
        </w:rPr>
      </w:pPr>
      <w:r>
        <w:rPr>
          <w:rFonts w:ascii="Arial" w:cs="Arial" w:eastAsia="Arial" w:hAnsi="Arial"/>
          <w:sz w:val="19"/>
          <w:szCs w:val="19"/>
          <w:color w:val="auto"/>
        </w:rPr>
        <w:t xml:space="preserve">Without limiting the immediately preceding </w:t>
      </w:r>
      <w:r>
        <w:rPr>
          <w:rFonts w:ascii="Arial" w:cs="Arial" w:eastAsia="Arial" w:hAnsi="Arial"/>
          <w:sz w:val="19"/>
          <w:szCs w:val="19"/>
          <w:u w:val="single" w:color="auto"/>
          <w:color w:val="auto"/>
        </w:rPr>
        <w:t>clause (a)</w:t>
      </w:r>
      <w:r>
        <w:rPr>
          <w:rFonts w:ascii="Arial" w:cs="Arial" w:eastAsia="Arial" w:hAnsi="Arial"/>
          <w:sz w:val="19"/>
          <w:szCs w:val="19"/>
          <w:color w:val="auto"/>
        </w:rPr>
        <w:t>, each Lender or any Person who has received funds on behalf of a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200" w:lineRule="exact"/>
        <w:rPr>
          <w:sz w:val="20"/>
          <w:szCs w:val="20"/>
          <w:color w:val="auto"/>
        </w:rPr>
      </w:pPr>
    </w:p>
    <w:p>
      <w:pPr>
        <w:spacing w:after="0" w:line="234" w:lineRule="exact"/>
        <w:rPr>
          <w:sz w:val="20"/>
          <w:szCs w:val="20"/>
          <w:color w:val="auto"/>
        </w:rPr>
      </w:pPr>
    </w:p>
    <w:p>
      <w:pPr>
        <w:ind w:right="120"/>
        <w:spacing w:after="0" w:line="232" w:lineRule="auto"/>
        <w:rPr>
          <w:sz w:val="20"/>
          <w:szCs w:val="20"/>
          <w:color w:val="auto"/>
        </w:rPr>
      </w:pPr>
      <w:r>
        <w:rPr>
          <w:rFonts w:ascii="Arial" w:cs="Arial" w:eastAsia="Arial" w:hAnsi="Arial"/>
          <w:sz w:val="22"/>
          <w:szCs w:val="22"/>
          <w:color w:val="auto"/>
        </w:rPr>
        <w:t>(or any of its Affiliates), or (z) that such Lender, or other such recipient, otherwise becomes aware was transmitted, or received, in error or by mistake (in whole or in part) in each case:</w:t>
      </w:r>
    </w:p>
    <w:p>
      <w:pPr>
        <w:spacing w:after="0" w:line="159" w:lineRule="exact"/>
        <w:rPr>
          <w:sz w:val="20"/>
          <w:szCs w:val="20"/>
          <w:color w:val="auto"/>
        </w:rPr>
      </w:pPr>
    </w:p>
    <w:p>
      <w:pPr>
        <w:jc w:val="both"/>
        <w:ind w:left="660" w:right="40" w:firstLine="968"/>
        <w:spacing w:after="0" w:line="268" w:lineRule="auto"/>
        <w:tabs>
          <w:tab w:leader="none" w:pos="1944" w:val="left"/>
        </w:tabs>
        <w:numPr>
          <w:ilvl w:val="1"/>
          <w:numId w:val="82"/>
        </w:numPr>
        <w:rPr>
          <w:rFonts w:ascii="Arial" w:cs="Arial" w:eastAsia="Arial" w:hAnsi="Arial"/>
          <w:sz w:val="19"/>
          <w:szCs w:val="19"/>
          <w:color w:val="auto"/>
        </w:rPr>
      </w:pPr>
      <w:r>
        <w:rPr>
          <w:rFonts w:ascii="Arial" w:cs="Arial" w:eastAsia="Arial" w:hAnsi="Arial"/>
          <w:sz w:val="19"/>
          <w:szCs w:val="19"/>
          <w:color w:val="auto"/>
        </w:rPr>
        <w:t xml:space="preserve">(A) in the case of immediately preceding </w:t>
      </w:r>
      <w:r>
        <w:rPr>
          <w:rFonts w:ascii="Arial" w:cs="Arial" w:eastAsia="Arial" w:hAnsi="Arial"/>
          <w:sz w:val="19"/>
          <w:szCs w:val="19"/>
          <w:u w:val="single" w:color="auto"/>
          <w:color w:val="auto"/>
        </w:rPr>
        <w:t>clauses (x)</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(y)</w:t>
      </w:r>
      <w:r>
        <w:rPr>
          <w:rFonts w:ascii="Arial" w:cs="Arial" w:eastAsia="Arial" w:hAnsi="Arial"/>
          <w:sz w:val="19"/>
          <w:szCs w:val="19"/>
          <w:color w:val="auto"/>
        </w:rPr>
        <w:t xml:space="preserve">, an error shall be presumed to have been made (absent written confirmation from the Administrative Agent to the contrary) or (B) an error has been made (in the case of immediately preceding </w:t>
      </w:r>
      <w:r>
        <w:rPr>
          <w:rFonts w:ascii="Arial" w:cs="Arial" w:eastAsia="Arial" w:hAnsi="Arial"/>
          <w:sz w:val="19"/>
          <w:szCs w:val="19"/>
          <w:u w:val="single" w:color="auto"/>
          <w:color w:val="auto"/>
        </w:rPr>
        <w:t>clause (z)</w:t>
      </w:r>
      <w:r>
        <w:rPr>
          <w:rFonts w:ascii="Arial" w:cs="Arial" w:eastAsia="Arial" w:hAnsi="Arial"/>
          <w:sz w:val="19"/>
          <w:szCs w:val="19"/>
          <w:color w:val="auto"/>
        </w:rPr>
        <w:t>), in each case, with respect to such payment, prepayment or repayment; and</w:t>
      </w:r>
    </w:p>
    <w:p>
      <w:pPr>
        <w:spacing w:after="0" w:line="132" w:lineRule="exact"/>
        <w:rPr>
          <w:rFonts w:ascii="Arial" w:cs="Arial" w:eastAsia="Arial" w:hAnsi="Arial"/>
          <w:sz w:val="19"/>
          <w:szCs w:val="19"/>
          <w:color w:val="auto"/>
        </w:rPr>
      </w:pPr>
    </w:p>
    <w:p>
      <w:pPr>
        <w:ind w:left="660" w:right="80" w:firstLine="968"/>
        <w:spacing w:after="0" w:line="218" w:lineRule="auto"/>
        <w:tabs>
          <w:tab w:leader="none" w:pos="1950" w:val="left"/>
        </w:tabs>
        <w:numPr>
          <w:ilvl w:val="1"/>
          <w:numId w:val="82"/>
        </w:numPr>
        <w:rPr>
          <w:rFonts w:ascii="Arial" w:cs="Arial" w:eastAsia="Arial" w:hAnsi="Arial"/>
          <w:sz w:val="22"/>
          <w:szCs w:val="22"/>
          <w:color w:val="auto"/>
        </w:rPr>
      </w:pPr>
      <w:r>
        <w:rPr>
          <w:rFonts w:ascii="Arial" w:cs="Arial" w:eastAsia="Arial" w:hAnsi="Arial"/>
          <w:sz w:val="22"/>
          <w:szCs w:val="22"/>
          <w:color w:val="auto"/>
        </w:rPr>
        <w:t>such Lender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2.19(b).</w:t>
      </w:r>
    </w:p>
    <w:p>
      <w:pPr>
        <w:spacing w:after="0" w:line="160" w:lineRule="exact"/>
        <w:rPr>
          <w:rFonts w:ascii="Arial" w:cs="Arial" w:eastAsia="Arial" w:hAnsi="Arial"/>
          <w:sz w:val="22"/>
          <w:szCs w:val="22"/>
          <w:color w:val="auto"/>
        </w:rPr>
      </w:pPr>
    </w:p>
    <w:p>
      <w:pPr>
        <w:jc w:val="both"/>
        <w:ind w:firstLine="850"/>
        <w:spacing w:after="0" w:line="229" w:lineRule="auto"/>
        <w:tabs>
          <w:tab w:leader="none" w:pos="1284"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Each Lender hereby authorizes the Administrative Agent to set off, net and apply any and all amounts at any time owing to such Lender under any Margin Loan Documentation, or otherwise payable or distributable by the Administrative Agent to such Lender from any source, against any amount due to the Administrative Agent under immediately preceding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or under the indemnification provisions of this Agreement.</w:t>
      </w:r>
    </w:p>
    <w:p>
      <w:pPr>
        <w:spacing w:after="0" w:line="158" w:lineRule="exact"/>
        <w:rPr>
          <w:rFonts w:ascii="Arial" w:cs="Arial" w:eastAsia="Arial" w:hAnsi="Arial"/>
          <w:sz w:val="21"/>
          <w:szCs w:val="21"/>
          <w:color w:val="auto"/>
        </w:rPr>
      </w:pPr>
    </w:p>
    <w:p>
      <w:pPr>
        <w:ind w:right="60" w:firstLine="850"/>
        <w:spacing w:after="0"/>
        <w:tabs>
          <w:tab w:leader="none" w:pos="1283"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In the event that an Erroneous Payment (or portion thereof) is not recovered by the Administrative Agent for any reason, after demand therefor by the Administrative Agent in accordance with immediately preceding </w:t>
      </w:r>
      <w:r>
        <w:rPr>
          <w:rFonts w:ascii="Arial" w:cs="Arial" w:eastAsia="Arial" w:hAnsi="Arial"/>
          <w:sz w:val="19"/>
          <w:szCs w:val="19"/>
          <w:u w:val="single" w:color="auto"/>
          <w:color w:val="auto"/>
        </w:rPr>
        <w:t>clause (a)</w:t>
      </w:r>
      <w:r>
        <w:rPr>
          <w:rFonts w:ascii="Arial" w:cs="Arial" w:eastAsia="Arial" w:hAnsi="Arial"/>
          <w:sz w:val="19"/>
          <w:szCs w:val="19"/>
          <w:color w:val="auto"/>
        </w:rPr>
        <w:t>, from any Lender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9"/>
          <w:szCs w:val="19"/>
          <w:b w:val="1"/>
          <w:bCs w:val="1"/>
          <w:color w:val="auto"/>
        </w:rPr>
        <w:t>Erroneous Payment Return</w:t>
      </w:r>
      <w:r>
        <w:rPr>
          <w:rFonts w:ascii="Arial" w:cs="Arial" w:eastAsia="Arial" w:hAnsi="Arial"/>
          <w:sz w:val="19"/>
          <w:szCs w:val="19"/>
          <w:color w:val="auto"/>
        </w:rPr>
        <w:t xml:space="preserve"> </w:t>
      </w:r>
      <w:r>
        <w:rPr>
          <w:rFonts w:ascii="Arial" w:cs="Arial" w:eastAsia="Arial" w:hAnsi="Arial"/>
          <w:sz w:val="19"/>
          <w:szCs w:val="19"/>
          <w:b w:val="1"/>
          <w:bCs w:val="1"/>
          <w:color w:val="auto"/>
        </w:rPr>
        <w:t>Deficiency</w:t>
      </w:r>
      <w:r>
        <w:rPr>
          <w:rFonts w:ascii="Arial" w:cs="Arial" w:eastAsia="Arial" w:hAnsi="Arial"/>
          <w:sz w:val="19"/>
          <w:szCs w:val="19"/>
          <w:color w:val="auto"/>
        </w:rPr>
        <w:t>”), upon the Administrative Agent’s notice to such Lender at any time, (i) such Lender shall be deemed to have</w:t>
      </w:r>
      <w:r>
        <w:rPr>
          <w:rFonts w:ascii="Arial" w:cs="Arial" w:eastAsia="Arial" w:hAnsi="Arial"/>
          <w:sz w:val="19"/>
          <w:szCs w:val="19"/>
          <w:b w:val="1"/>
          <w:bCs w:val="1"/>
          <w:color w:val="auto"/>
        </w:rPr>
        <w:t xml:space="preserve"> </w:t>
      </w:r>
      <w:r>
        <w:rPr>
          <w:rFonts w:ascii="Arial" w:cs="Arial" w:eastAsia="Arial" w:hAnsi="Arial"/>
          <w:sz w:val="19"/>
          <w:szCs w:val="19"/>
          <w:color w:val="auto"/>
        </w:rPr>
        <w:t>assigned its Advances (but not its Commitments) of the relevant class with respect to which such Erroneous Payment was made (the “</w:t>
      </w:r>
      <w:r>
        <w:rPr>
          <w:rFonts w:ascii="Arial" w:cs="Arial" w:eastAsia="Arial" w:hAnsi="Arial"/>
          <w:sz w:val="19"/>
          <w:szCs w:val="19"/>
          <w:b w:val="1"/>
          <w:bCs w:val="1"/>
          <w:color w:val="auto"/>
        </w:rPr>
        <w:t>Erroneous Payment Impacted Class</w:t>
      </w:r>
      <w:r>
        <w:rPr>
          <w:rFonts w:ascii="Arial" w:cs="Arial" w:eastAsia="Arial" w:hAnsi="Arial"/>
          <w:sz w:val="19"/>
          <w:szCs w:val="19"/>
          <w:color w:val="auto"/>
        </w:rPr>
        <w:t>”) in an amount equal to the Erroneous Payment Return Deficiency (or such lesser amount as the Administrative Agent may specify) (such assignment of the Advances (but not Commitments) of the Erroneous Payment Impacted Class, the “</w:t>
      </w:r>
      <w:r>
        <w:rPr>
          <w:rFonts w:ascii="Arial" w:cs="Arial" w:eastAsia="Arial" w:hAnsi="Arial"/>
          <w:sz w:val="19"/>
          <w:szCs w:val="19"/>
          <w:b w:val="1"/>
          <w:bCs w:val="1"/>
          <w:color w:val="auto"/>
        </w:rPr>
        <w:t>Erroneous Payment Deficiency Assignment</w:t>
      </w:r>
      <w:r>
        <w:rPr>
          <w:rFonts w:ascii="Arial" w:cs="Arial" w:eastAsia="Arial" w:hAnsi="Arial"/>
          <w:sz w:val="19"/>
          <w:szCs w:val="19"/>
          <w:color w:val="auto"/>
        </w:rPr>
        <w:t>”) at par plus any accrued and unpaid interest (with the assignment fee to be waived by the Administrative Agent in such instance), and is hereby (together with the Borrowers) deemed to execute and deliver an agreement necessary to effectuate such assignment (or, to the extent applicable, an agreement incorporating such assignment by reference pursuant to an electronic platform as to which the Administrative Agent and such parties are participants) with respect to such Erroneous Payment Deficiency Assignment, (ii) the Administrative Agent as the assignee Lender shall be deemed to acquire the Erroneous Payment Deficiency Assignment,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Commitments which shall survive as to such assigning Lender and (iv) the Administrative Agent may reflect in the Register its ownership interest in the Advances subject to the Erroneous Payment Deficiency Assignment. The Administrative Agent may, in its discretion, sell any Advances acquired pursuant to an Erroneous Payment Deficiency Assignment and upon receipt of the proceeds of such sale, the Erroneous Payment Return Deficiency owing by the applicable Lender shall be reduced by the net proceeds of the sale of such Advance (or portion thereof), and the Administrative Agent shall retain all other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160"/>
          </w:cols>
          <w:pgMar w:left="320" w:top="1440" w:right="419" w:bottom="1440" w:gutter="0" w:footer="0" w:header="0"/>
        </w:sectPr>
      </w:pPr>
    </w:p>
    <w:bookmarkStart w:id="113" w:name="page114"/>
    <w:bookmarkEnd w:id="113"/>
    <w:p>
      <w:pPr>
        <w:spacing w:after="0" w:line="200" w:lineRule="exact"/>
        <w:rPr>
          <w:sz w:val="20"/>
          <w:szCs w:val="20"/>
          <w:color w:val="auto"/>
        </w:rPr>
      </w:pPr>
    </w:p>
    <w:p>
      <w:pPr>
        <w:spacing w:after="0" w:line="234" w:lineRule="exact"/>
        <w:rPr>
          <w:sz w:val="20"/>
          <w:szCs w:val="20"/>
          <w:color w:val="auto"/>
        </w:rPr>
      </w:pPr>
    </w:p>
    <w:p>
      <w:pPr>
        <w:ind w:right="200"/>
        <w:spacing w:after="0" w:line="221" w:lineRule="auto"/>
        <w:rPr>
          <w:sz w:val="20"/>
          <w:szCs w:val="20"/>
          <w:color w:val="auto"/>
        </w:rPr>
      </w:pPr>
      <w:r>
        <w:rPr>
          <w:rFonts w:ascii="Arial" w:cs="Arial" w:eastAsia="Arial" w:hAnsi="Arial"/>
          <w:sz w:val="21"/>
          <w:szCs w:val="21"/>
          <w:color w:val="auto"/>
        </w:rPr>
        <w:t>remedies and claims against such Lender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an Advance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Secured Party under any Margin Loan Documentation with respect to each Erroneous Payment Return Deficiency (the “</w:t>
      </w:r>
      <w:r>
        <w:rPr>
          <w:rFonts w:ascii="Arial" w:cs="Arial" w:eastAsia="Arial" w:hAnsi="Arial"/>
          <w:sz w:val="21"/>
          <w:szCs w:val="21"/>
          <w:b w:val="1"/>
          <w:bCs w:val="1"/>
          <w:color w:val="auto"/>
        </w:rPr>
        <w:t>Erroneous Payment</w:t>
      </w:r>
      <w:r>
        <w:rPr>
          <w:rFonts w:ascii="Arial" w:cs="Arial" w:eastAsia="Arial" w:hAnsi="Arial"/>
          <w:sz w:val="21"/>
          <w:szCs w:val="21"/>
          <w:color w:val="auto"/>
        </w:rPr>
        <w:t xml:space="preserve"> </w:t>
      </w:r>
      <w:r>
        <w:rPr>
          <w:rFonts w:ascii="Arial" w:cs="Arial" w:eastAsia="Arial" w:hAnsi="Arial"/>
          <w:sz w:val="21"/>
          <w:szCs w:val="21"/>
          <w:b w:val="1"/>
          <w:bCs w:val="1"/>
          <w:color w:val="auto"/>
        </w:rPr>
        <w:t>Subrogation Rights</w:t>
      </w:r>
      <w:r>
        <w:rPr>
          <w:rFonts w:ascii="Arial" w:cs="Arial" w:eastAsia="Arial" w:hAnsi="Arial"/>
          <w:sz w:val="21"/>
          <w:szCs w:val="21"/>
          <w:color w:val="auto"/>
        </w:rPr>
        <w:t>”).</w:t>
      </w:r>
    </w:p>
    <w:p>
      <w:pPr>
        <w:spacing w:after="0" w:line="165" w:lineRule="exact"/>
        <w:rPr>
          <w:sz w:val="20"/>
          <w:szCs w:val="20"/>
          <w:color w:val="auto"/>
        </w:rPr>
      </w:pPr>
    </w:p>
    <w:p>
      <w:pPr>
        <w:jc w:val="both"/>
        <w:ind w:right="20" w:firstLine="850"/>
        <w:spacing w:after="0" w:line="249" w:lineRule="auto"/>
        <w:tabs>
          <w:tab w:leader="none" w:pos="1284"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parties hereto agree that an Erroneous Payment shall not pay, prepay, repay, discharge or otherwise satisfy any Obligations owed by the Borrowers, except, in each case, to the extent that such Erroneous Payment is, and solely with respect to the amount of such Erroneous Payment that is, comprised of funds received by the Administrative Agent from the Borrowers for the purpose of making such Erroneous Payment (“</w:t>
      </w:r>
      <w:r>
        <w:rPr>
          <w:rFonts w:ascii="Arial" w:cs="Arial" w:eastAsia="Arial" w:hAnsi="Arial"/>
          <w:sz w:val="19"/>
          <w:szCs w:val="19"/>
          <w:b w:val="1"/>
          <w:bCs w:val="1"/>
          <w:color w:val="auto"/>
        </w:rPr>
        <w:t>Loan Party Funds</w:t>
      </w:r>
      <w:r>
        <w:rPr>
          <w:rFonts w:ascii="Arial" w:cs="Arial" w:eastAsia="Arial" w:hAnsi="Arial"/>
          <w:sz w:val="19"/>
          <w:szCs w:val="19"/>
          <w:color w:val="auto"/>
        </w:rPr>
        <w:t>”) unless the Borrowers elect in their sole discretion (which election evidenced by a written notice delivered to the Administrative Agent) that such Loan Party Funds are deemed not to have been applied to discharge all or any portion of the Erroneous Payment.</w:t>
      </w:r>
    </w:p>
    <w:p>
      <w:pPr>
        <w:spacing w:after="0" w:line="151" w:lineRule="exact"/>
        <w:rPr>
          <w:rFonts w:ascii="Arial" w:cs="Arial" w:eastAsia="Arial" w:hAnsi="Arial"/>
          <w:sz w:val="19"/>
          <w:szCs w:val="19"/>
          <w:color w:val="auto"/>
        </w:rPr>
      </w:pPr>
    </w:p>
    <w:p>
      <w:pPr>
        <w:jc w:val="both"/>
        <w:ind w:right="320" w:firstLine="850"/>
        <w:spacing w:after="0" w:line="257" w:lineRule="auto"/>
        <w:tabs>
          <w:tab w:leader="none" w:pos="1288" w:val="left"/>
        </w:tabs>
        <w:numPr>
          <w:ilvl w:val="0"/>
          <w:numId w:val="84"/>
        </w:numPr>
        <w:rPr>
          <w:rFonts w:ascii="Arial" w:cs="Arial" w:eastAsia="Arial" w:hAnsi="Arial"/>
          <w:sz w:val="19"/>
          <w:szCs w:val="19"/>
          <w:color w:val="auto"/>
        </w:rPr>
      </w:pPr>
      <w:r>
        <w:rPr>
          <w:rFonts w:ascii="Arial" w:cs="Arial" w:eastAsia="Arial" w:hAnsi="Arial"/>
          <w:sz w:val="19"/>
          <w:szCs w:val="19"/>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44" w:lineRule="exact"/>
        <w:rPr>
          <w:rFonts w:ascii="Arial" w:cs="Arial" w:eastAsia="Arial" w:hAnsi="Arial"/>
          <w:sz w:val="19"/>
          <w:szCs w:val="19"/>
          <w:color w:val="auto"/>
        </w:rPr>
      </w:pPr>
    </w:p>
    <w:p>
      <w:pPr>
        <w:ind w:right="40" w:firstLine="850"/>
        <w:spacing w:after="0" w:line="212" w:lineRule="auto"/>
        <w:tabs>
          <w:tab w:leader="none" w:pos="1283" w:val="left"/>
        </w:tabs>
        <w:numPr>
          <w:ilvl w:val="0"/>
          <w:numId w:val="84"/>
        </w:numPr>
        <w:rPr>
          <w:rFonts w:ascii="Arial" w:cs="Arial" w:eastAsia="Arial" w:hAnsi="Arial"/>
          <w:sz w:val="22"/>
          <w:szCs w:val="22"/>
          <w:color w:val="auto"/>
        </w:rPr>
      </w:pPr>
      <w:r>
        <w:rPr>
          <w:rFonts w:ascii="Arial" w:cs="Arial" w:eastAsia="Arial" w:hAnsi="Arial"/>
          <w:sz w:val="22"/>
          <w:szCs w:val="22"/>
          <w:color w:val="auto"/>
        </w:rPr>
        <w:t>Each Lender, other Payment Recipient, the Administrative Agent and each Borrower hereby agrees that, if an Erroneous Payment has been made with Loan Party Funds, then no Default, Event of Default or Mandatory Prepayment Event shall have occurred or be continuing as a result of any delay in any payment that is required under any Margin Loan Documentation solely to the extent arising as a result of the Erroneous Payment until the Erroneous Payment made with Loan Party Funds is remitted to all correct recipients thereof as intended by the Borrowers (in which case such corrected payment shall be deemed to cure any Default, Event of Default or Mandatory Prepayment Event arising as a result of such Erroneous Payment made with Loan Party Funds).</w:t>
      </w:r>
    </w:p>
    <w:p>
      <w:pPr>
        <w:spacing w:after="0" w:line="163" w:lineRule="exact"/>
        <w:rPr>
          <w:rFonts w:ascii="Arial" w:cs="Arial" w:eastAsia="Arial" w:hAnsi="Arial"/>
          <w:sz w:val="22"/>
          <w:szCs w:val="22"/>
          <w:color w:val="auto"/>
        </w:rPr>
      </w:pPr>
    </w:p>
    <w:p>
      <w:pPr>
        <w:ind w:right="60" w:firstLine="850"/>
        <w:spacing w:after="0" w:line="218" w:lineRule="auto"/>
        <w:tabs>
          <w:tab w:leader="none" w:pos="1283" w:val="left"/>
        </w:tabs>
        <w:numPr>
          <w:ilvl w:val="0"/>
          <w:numId w:val="84"/>
        </w:numPr>
        <w:rPr>
          <w:rFonts w:ascii="Arial" w:cs="Arial" w:eastAsia="Arial" w:hAnsi="Arial"/>
          <w:sz w:val="22"/>
          <w:szCs w:val="22"/>
          <w:color w:val="auto"/>
        </w:rPr>
      </w:pPr>
      <w:r>
        <w:rPr>
          <w:rFonts w:ascii="Arial" w:cs="Arial" w:eastAsia="Arial" w:hAnsi="Arial"/>
          <w:sz w:val="22"/>
          <w:szCs w:val="22"/>
          <w:color w:val="auto"/>
        </w:rPr>
        <w:t>Each party’s obligations, agreements and waivers under this Section 2.19 shall survive the resignation or replacement of the Administrative Agent, any transfer of rights or obligations by, or the replacement of, a Lender the termination of the Commitments and/or the repayment, satisfaction or discharge of all Obligations (or any portion thereof) under any Margin Loan Documentation.</w:t>
      </w:r>
    </w:p>
    <w:p>
      <w:pPr>
        <w:spacing w:after="0" w:line="250"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3</w:t>
      </w:r>
    </w:p>
    <w:p>
      <w:pPr>
        <w:ind w:left="4220"/>
        <w:spacing w:after="0"/>
        <w:rPr>
          <w:sz w:val="20"/>
          <w:szCs w:val="20"/>
          <w:color w:val="auto"/>
        </w:rPr>
      </w:pPr>
      <w:r>
        <w:rPr>
          <w:rFonts w:ascii="Arial" w:cs="Arial" w:eastAsia="Arial" w:hAnsi="Arial"/>
          <w:sz w:val="22"/>
          <w:szCs w:val="22"/>
          <w:color w:val="auto"/>
        </w:rPr>
        <w:t>Representations And Warranties</w:t>
      </w:r>
    </w:p>
    <w:p>
      <w:pPr>
        <w:spacing w:after="0" w:line="161" w:lineRule="exact"/>
        <w:rPr>
          <w:sz w:val="20"/>
          <w:szCs w:val="20"/>
          <w:color w:val="auto"/>
        </w:rPr>
      </w:pPr>
    </w:p>
    <w:p>
      <w:pPr>
        <w:ind w:firstLine="648"/>
        <w:spacing w:after="0" w:line="268" w:lineRule="auto"/>
        <w:rPr>
          <w:sz w:val="20"/>
          <w:szCs w:val="20"/>
          <w:color w:val="auto"/>
        </w:rPr>
      </w:pPr>
      <w:r>
        <w:rPr>
          <w:rFonts w:ascii="Arial" w:cs="Arial" w:eastAsia="Arial" w:hAnsi="Arial"/>
          <w:sz w:val="19"/>
          <w:szCs w:val="19"/>
          <w:color w:val="auto"/>
        </w:rPr>
        <w:t>Each Borrower represents and warrants to each Agent and each Lender that, on the date hereof, the Closing Date, the First Increase Effective Date, the Second Increase Effective Date, the Third Amendment Effective Date, the Fourth Amendment Effective Date, the date of each Advance and any date on which a Borrower pledges any Additional Collateral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200" w:lineRule="exact"/>
        <w:rPr>
          <w:sz w:val="20"/>
          <w:szCs w:val="20"/>
          <w:color w:val="auto"/>
        </w:rPr>
      </w:pPr>
    </w:p>
    <w:p>
      <w:pPr>
        <w:spacing w:after="0" w:line="234" w:lineRule="exact"/>
        <w:rPr>
          <w:sz w:val="20"/>
          <w:szCs w:val="20"/>
          <w:color w:val="auto"/>
        </w:rPr>
      </w:pPr>
    </w:p>
    <w:p>
      <w:pPr>
        <w:ind w:right="60" w:firstLine="648"/>
        <w:spacing w:after="0" w:line="221"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i w:val="1"/>
          <w:iCs w:val="1"/>
          <w:color w:val="auto"/>
        </w:rPr>
        <w:t>Organization; Powers.</w:t>
      </w:r>
      <w:r>
        <w:rPr>
          <w:rFonts w:ascii="Arial" w:cs="Arial" w:eastAsia="Arial" w:hAnsi="Arial"/>
          <w:sz w:val="21"/>
          <w:szCs w:val="21"/>
          <w:color w:val="auto"/>
        </w:rPr>
        <w:t xml:space="preserve"> Each of the Borrowers and the Guarantor (a) is duly organized, validly existing and in good standing under the laws of the jurisdiction of its organization, (b) has all requisite power and authority to enter into, and perform its obligations under, the Margin Loan Documentation to which it is a party, consummate the Transactions, and, in case of Borrowers, collectively, to hold Shares and (c) is qualified to do business in, and is in good standing in, every jurisdiction where such qualification is required. All licenses, permits, approvals, concessions or other authorizations necessary for (i) the consummation of the Transactions and (ii) the conduct of the business of the Borrowers and Guarantor have been obtained and are in full force and effect except where the failure to obtain and maintain any of the foregoing would not reasonably be expected to result in a Material Adverse Effect.</w:t>
      </w:r>
    </w:p>
    <w:p>
      <w:pPr>
        <w:spacing w:after="0" w:line="165" w:lineRule="exact"/>
        <w:rPr>
          <w:sz w:val="20"/>
          <w:szCs w:val="20"/>
          <w:color w:val="auto"/>
        </w:rPr>
      </w:pPr>
    </w:p>
    <w:p>
      <w:pPr>
        <w:ind w:right="80" w:firstLine="648"/>
        <w:spacing w:after="0" w:line="249"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i w:val="1"/>
          <w:iCs w:val="1"/>
          <w:color w:val="auto"/>
        </w:rPr>
        <w:t>Authorization; Enforceability.</w:t>
      </w:r>
      <w:r>
        <w:rPr>
          <w:rFonts w:ascii="Arial" w:cs="Arial" w:eastAsia="Arial" w:hAnsi="Arial"/>
          <w:sz w:val="19"/>
          <w:szCs w:val="19"/>
          <w:color w:val="auto"/>
        </w:rPr>
        <w:t xml:space="preserve"> The Transactions are within the powers of, and have been duly authorized by all necessary action by the Borrowers and Guarantor. The Margin Loan Documentation to which a Borrower or Guarantor is a party has been duly executed and delivered by such Borrower or Guarantor, as applicable, and constitutes the legal, valid and binding obligation of such Borrower or Guarantor, as applicable,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52" w:lineRule="exact"/>
        <w:rPr>
          <w:sz w:val="20"/>
          <w:szCs w:val="20"/>
          <w:color w:val="auto"/>
        </w:rPr>
      </w:pPr>
    </w:p>
    <w:p>
      <w:pPr>
        <w:ind w:right="140" w:firstLine="648"/>
        <w:spacing w:after="0" w:line="243"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i w:val="1"/>
          <w:iCs w:val="1"/>
          <w:color w:val="auto"/>
        </w:rPr>
        <w:t>Governmental Approvals; No Conflicts.</w:t>
      </w:r>
      <w:r>
        <w:rPr>
          <w:rFonts w:ascii="Arial" w:cs="Arial" w:eastAsia="Arial" w:hAnsi="Arial"/>
          <w:sz w:val="19"/>
          <w:szCs w:val="19"/>
          <w:color w:val="auto"/>
        </w:rPr>
        <w:t xml:space="preserve"> The Transactions (i) do not require any consent or approval of, registration or filing with, or any other action by, any Governmental Authority, except such as have been obtained or made and are in full force and effect and except for filings necessary to perfect Liens created pursuant to the Margin Loan Documentation,</w:t>
      </w:r>
    </w:p>
    <w:p>
      <w:pPr>
        <w:spacing w:after="0" w:line="2" w:lineRule="exact"/>
        <w:rPr>
          <w:sz w:val="20"/>
          <w:szCs w:val="20"/>
          <w:color w:val="auto"/>
        </w:rPr>
      </w:pPr>
    </w:p>
    <w:p>
      <w:pPr>
        <w:ind w:firstLine="8"/>
        <w:spacing w:after="0" w:line="242" w:lineRule="auto"/>
        <w:tabs>
          <w:tab w:leader="none" w:pos="318" w:val="left"/>
        </w:tabs>
        <w:numPr>
          <w:ilvl w:val="0"/>
          <w:numId w:val="85"/>
        </w:numPr>
        <w:rPr>
          <w:rFonts w:ascii="Arial" w:cs="Arial" w:eastAsia="Arial" w:hAnsi="Arial"/>
          <w:sz w:val="19"/>
          <w:szCs w:val="19"/>
          <w:color w:val="auto"/>
        </w:rPr>
      </w:pPr>
      <w:r>
        <w:rPr>
          <w:rFonts w:ascii="Arial" w:cs="Arial" w:eastAsia="Arial" w:hAnsi="Arial"/>
          <w:sz w:val="19"/>
          <w:szCs w:val="19"/>
          <w:color w:val="auto"/>
        </w:rPr>
        <w:t>will not violate any Law (except where such violation would not reasonably be expected to result in a Material Adverse Effect) or corporate policy of Issuers applicable to any Borrower, any Issuer or any Affiliate of the foregoing or the Organization Documents of the Issuers or Borrowers, (iii) will not (A) violate or result in a default under the DNB Voting Agreement, the DNB Stock Purchase Agreement, the DNB Lock-Up Agreement, the DNB Registration Rights Agreement, the CDAY Registration Rights Agreement, or any other indenture, agreement or other instrument binding upon any Borrower, the assets of any Borrower, any Issuer or any Affiliate of the foregoing or (B) give rise to a right thereunder to accelerate or to require any payment to be made by the Borrowers, and (iv) will not result in the creation or imposition of any Lien on any asset of the Borrowers, except Liens created pursuant to the Margin Loan Documentation, or, in the case of assets not constituting Collateral, such as would not reasonably be expected to result in a Material Adverse Effect.</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i w:val="1"/>
          <w:iCs w:val="1"/>
          <w:color w:val="auto"/>
        </w:rPr>
        <w:t>Financial Condition; No Material Adverse Change</w:t>
      </w:r>
      <w:r>
        <w:rPr>
          <w:rFonts w:ascii="Arial" w:cs="Arial" w:eastAsia="Arial" w:hAnsi="Arial"/>
          <w:sz w:val="19"/>
          <w:szCs w:val="19"/>
          <w:color w:val="auto"/>
        </w:rPr>
        <w:t>.</w:t>
      </w:r>
    </w:p>
    <w:p>
      <w:pPr>
        <w:spacing w:after="0" w:line="179" w:lineRule="exact"/>
        <w:rPr>
          <w:sz w:val="20"/>
          <w:szCs w:val="20"/>
          <w:color w:val="auto"/>
        </w:rPr>
      </w:pPr>
    </w:p>
    <w:p>
      <w:pPr>
        <w:jc w:val="both"/>
        <w:ind w:right="240" w:firstLine="850"/>
        <w:spacing w:after="0" w:line="257" w:lineRule="auto"/>
        <w:tabs>
          <w:tab w:leader="none" w:pos="1284" w:val="left"/>
        </w:tabs>
        <w:numPr>
          <w:ilvl w:val="0"/>
          <w:numId w:val="86"/>
        </w:numPr>
        <w:rPr>
          <w:rFonts w:ascii="Arial" w:cs="Arial" w:eastAsia="Arial" w:hAnsi="Arial"/>
          <w:sz w:val="19"/>
          <w:szCs w:val="19"/>
          <w:color w:val="auto"/>
        </w:rPr>
      </w:pPr>
      <w:r>
        <w:rPr>
          <w:rFonts w:ascii="Arial" w:cs="Arial" w:eastAsia="Arial" w:hAnsi="Arial"/>
          <w:sz w:val="19"/>
          <w:szCs w:val="19"/>
          <w:color w:val="auto"/>
        </w:rPr>
        <w:t>Borrowers have heretofore furnished to Administrative Agent the CHI Financial Statements. The CHI Financial Statements present fairly, in all material respects, the financial position and results of operations and cash flows of CHI and its consolidated Subsidiaries, as of the dates and periods stated to be covered thereby, all in accordance with GAAP, subject, in the case of quarterly financial statements, to year-end audit adjustments and the absence of footnotes.</w:t>
      </w:r>
    </w:p>
    <w:p>
      <w:pPr>
        <w:spacing w:after="0" w:line="144" w:lineRule="exact"/>
        <w:rPr>
          <w:rFonts w:ascii="Arial" w:cs="Arial" w:eastAsia="Arial" w:hAnsi="Arial"/>
          <w:sz w:val="19"/>
          <w:szCs w:val="19"/>
          <w:color w:val="auto"/>
        </w:rPr>
      </w:pPr>
    </w:p>
    <w:p>
      <w:pPr>
        <w:ind w:right="180" w:firstLine="850"/>
        <w:spacing w:after="0" w:line="268" w:lineRule="auto"/>
        <w:tabs>
          <w:tab w:leader="none" w:pos="1283" w:val="left"/>
        </w:tabs>
        <w:numPr>
          <w:ilvl w:val="0"/>
          <w:numId w:val="86"/>
        </w:numPr>
        <w:rPr>
          <w:rFonts w:ascii="Arial" w:cs="Arial" w:eastAsia="Arial" w:hAnsi="Arial"/>
          <w:sz w:val="19"/>
          <w:szCs w:val="19"/>
          <w:color w:val="auto"/>
        </w:rPr>
      </w:pPr>
      <w:r>
        <w:rPr>
          <w:rFonts w:ascii="Arial" w:cs="Arial" w:eastAsia="Arial" w:hAnsi="Arial"/>
          <w:sz w:val="19"/>
          <w:szCs w:val="19"/>
          <w:color w:val="auto"/>
        </w:rPr>
        <w:t>No event, change or condition has occurred that has had, or would reasonably be expected to have, a Material Adverse Effect, on the financial position and results of operations and cash flows of CHI and its consolidated Subsidiaries since the closing date of the most recent financial quarter with respect to which CHI’s financial statements are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00" w:lineRule="exact"/>
        <w:rPr>
          <w:sz w:val="20"/>
          <w:szCs w:val="20"/>
          <w:color w:val="auto"/>
        </w:rPr>
      </w:pPr>
    </w:p>
    <w:p>
      <w:pPr>
        <w:spacing w:after="0" w:line="23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i w:val="1"/>
          <w:iCs w:val="1"/>
          <w:color w:val="auto"/>
        </w:rPr>
        <w:t>Share Transactions.</w:t>
      </w:r>
      <w:r>
        <w:rPr>
          <w:rFonts w:ascii="Arial" w:cs="Arial" w:eastAsia="Arial" w:hAnsi="Arial"/>
          <w:sz w:val="19"/>
          <w:szCs w:val="19"/>
          <w:color w:val="auto"/>
        </w:rPr>
        <w:t xml:space="preserve"> None of the Borrowers or Affiliates of the Borrowers have created, granted, incurred, or permitted to exist, any Lien on any Shares owned by the Borrowers or such Affiliates, other than, with respect to the Collateral Shares, Permitted Liens. None of the Borrowers or Affiliates of the Borrowers is party to a Prohibited Transaction.</w:t>
      </w:r>
    </w:p>
    <w:p>
      <w:pPr>
        <w:spacing w:after="0" w:line="132" w:lineRule="exact"/>
        <w:rPr>
          <w:sz w:val="20"/>
          <w:szCs w:val="20"/>
          <w:color w:val="auto"/>
        </w:rPr>
      </w:pPr>
    </w:p>
    <w:p>
      <w:pPr>
        <w:ind w:right="60" w:firstLine="648"/>
        <w:spacing w:after="0" w:line="214"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i w:val="1"/>
          <w:iCs w:val="1"/>
          <w:color w:val="auto"/>
        </w:rPr>
        <w:t>Litigation Matters.</w:t>
      </w:r>
      <w:r>
        <w:rPr>
          <w:rFonts w:ascii="Arial" w:cs="Arial" w:eastAsia="Arial" w:hAnsi="Arial"/>
          <w:sz w:val="22"/>
          <w:szCs w:val="22"/>
          <w:color w:val="auto"/>
        </w:rPr>
        <w:t xml:space="preserve"> There are no actions, suits or proceedings by or before any arbitrator or Governmental Authority pending against or, to the knowledge of a Borrower or the Guarantor, threatened against or affecting such Borrower. In addition, there are no actions, suits or proceedings by or before any arbitrator or Governmental Authority pending against or, to the knowledge of a Borrower or the Guarantor, threatened against or affecting any Affiliates of such Borrower that (x) would reasonably be expected, individually or in the aggregate, to result in a Material Adverse Effect or (y) involve the Margin Loan Documentation or the Transactions.</w:t>
      </w:r>
    </w:p>
    <w:p>
      <w:pPr>
        <w:spacing w:after="0" w:line="159"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 xml:space="preserve">Section 3.07 </w:t>
      </w:r>
      <w:r>
        <w:rPr>
          <w:rFonts w:ascii="Arial" w:cs="Arial" w:eastAsia="Arial" w:hAnsi="Arial"/>
          <w:sz w:val="21"/>
          <w:szCs w:val="21"/>
          <w:i w:val="1"/>
          <w:iCs w:val="1"/>
          <w:color w:val="auto"/>
        </w:rPr>
        <w:t>Compliance With Laws And Agreements.</w:t>
      </w:r>
      <w:r>
        <w:rPr>
          <w:rFonts w:ascii="Arial" w:cs="Arial" w:eastAsia="Arial" w:hAnsi="Arial"/>
          <w:sz w:val="21"/>
          <w:szCs w:val="21"/>
          <w:color w:val="auto"/>
        </w:rPr>
        <w:t xml:space="preserve"> Each of the Borrowers and Guarantor is in compliance with the requirements of all Laws and all orders, writs, injunctions and decrees applicable to it or to its properties, except in such instances in which (i) such requirement of Law or order, writ, injunction or decree is being contested in good faith by appropriate proceedings diligently conducted or (ii) the failure to comply therewith, either individually or in the aggregate, would not reasonably be expected to have a Material Adverse Effect. Each of the Borrowers and Affiliates of the Borrowers is in compliance with its reporting obligations under Sections 13 and 16 of the Exchange Act with respect to the Collateral Shares, including in respect of the transactions contemplated hereunder.</w:t>
      </w:r>
    </w:p>
    <w:p>
      <w:pPr>
        <w:spacing w:after="0" w:line="164" w:lineRule="exact"/>
        <w:rPr>
          <w:sz w:val="20"/>
          <w:szCs w:val="20"/>
          <w:color w:val="auto"/>
        </w:rPr>
      </w:pPr>
    </w:p>
    <w:p>
      <w:pPr>
        <w:ind w:right="160" w:firstLine="648"/>
        <w:spacing w:after="0" w:line="223" w:lineRule="auto"/>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i w:val="1"/>
          <w:iCs w:val="1"/>
          <w:color w:val="auto"/>
        </w:rPr>
        <w:t>No Default</w:t>
      </w:r>
      <w:r>
        <w:rPr>
          <w:rFonts w:ascii="Arial" w:cs="Arial" w:eastAsia="Arial" w:hAnsi="Arial"/>
          <w:sz w:val="22"/>
          <w:szCs w:val="22"/>
          <w:color w:val="auto"/>
        </w:rPr>
        <w:t>. No Default or Event of Default has occurred and is continuing or would result from the consummation of the Transactions, and no Mandatory Prepayment Event or Adjustment Determination Period has occurred and is continuing or would result from the consummation of the Transactions.</w:t>
      </w:r>
    </w:p>
    <w:p>
      <w:pPr>
        <w:spacing w:after="0" w:line="186" w:lineRule="exact"/>
        <w:rPr>
          <w:sz w:val="20"/>
          <w:szCs w:val="20"/>
          <w:color w:val="auto"/>
        </w:rPr>
      </w:pPr>
    </w:p>
    <w:p>
      <w:pPr>
        <w:ind w:right="120" w:firstLine="648"/>
        <w:spacing w:after="0" w:line="223" w:lineRule="auto"/>
        <w:rPr>
          <w:sz w:val="20"/>
          <w:szCs w:val="20"/>
          <w:color w:val="auto"/>
        </w:rPr>
      </w:pPr>
      <w:r>
        <w:rPr>
          <w:rFonts w:ascii="Arial" w:cs="Arial" w:eastAsia="Arial" w:hAnsi="Arial"/>
          <w:sz w:val="22"/>
          <w:szCs w:val="22"/>
          <w:color w:val="auto"/>
        </w:rPr>
        <w:t xml:space="preserve">Section 3.09 </w:t>
      </w:r>
      <w:r>
        <w:rPr>
          <w:rFonts w:ascii="Arial" w:cs="Arial" w:eastAsia="Arial" w:hAnsi="Arial"/>
          <w:sz w:val="22"/>
          <w:szCs w:val="22"/>
          <w:i w:val="1"/>
          <w:iCs w:val="1"/>
          <w:color w:val="auto"/>
        </w:rPr>
        <w:t>Investment Company Status.</w:t>
      </w:r>
      <w:r>
        <w:rPr>
          <w:rFonts w:ascii="Arial" w:cs="Arial" w:eastAsia="Arial" w:hAnsi="Arial"/>
          <w:sz w:val="22"/>
          <w:szCs w:val="22"/>
          <w:color w:val="auto"/>
        </w:rPr>
        <w:t xml:space="preserve"> Each of the Borrowers and the Guarantor is not, and after giving effect to the Transactions will not be, required to register as an “investment company” and is not a Person “controlled by” an “investment company,” as such terms are defined in the Investment Company Act.</w:t>
      </w:r>
    </w:p>
    <w:p>
      <w:pPr>
        <w:spacing w:after="0" w:line="159" w:lineRule="exact"/>
        <w:rPr>
          <w:sz w:val="20"/>
          <w:szCs w:val="20"/>
          <w:color w:val="auto"/>
        </w:rPr>
      </w:pPr>
    </w:p>
    <w:p>
      <w:pPr>
        <w:ind w:right="40" w:firstLine="648"/>
        <w:spacing w:after="0" w:line="242"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i w:val="1"/>
          <w:iCs w:val="1"/>
          <w:color w:val="auto"/>
        </w:rPr>
        <w:t>Taxes.</w:t>
      </w:r>
      <w:r>
        <w:rPr>
          <w:rFonts w:ascii="Arial" w:cs="Arial" w:eastAsia="Arial" w:hAnsi="Arial"/>
          <w:sz w:val="19"/>
          <w:szCs w:val="19"/>
          <w:color w:val="auto"/>
        </w:rPr>
        <w:t xml:space="preserve"> The Borrowers and Guarantor have timely filed all U.S. federal income Tax returns and other material Tax returns which are required to be filed by them in all jurisdictions and have paid all Taxes, assessments, claims, governmental charges or levies imposed on them or their properties, except for Taxes contested in good faith by appropriate proceedings diligently conducted and as to which adequate reserves have been provided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1" w:lineRule="exact"/>
        <w:rPr>
          <w:sz w:val="20"/>
          <w:szCs w:val="20"/>
          <w:color w:val="auto"/>
        </w:rPr>
      </w:pPr>
    </w:p>
    <w:p>
      <w:pPr>
        <w:jc w:val="both"/>
        <w:ind w:right="160" w:firstLine="8"/>
        <w:spacing w:after="0" w:line="237" w:lineRule="auto"/>
        <w:tabs>
          <w:tab w:leader="none" w:pos="258"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relevant Taxes, assessments, claims, charges or levies would not result in aggregate liabilities in excess of the Threshold Amount and (ii) the contest, if adversely determined, would not reasonably be expected to subject the Collateral to forfeiture or loss or otherwise have a Material Adverse Effect. There is no proposed Tax assessment asserted in writing against Borrowers or Guarantor. Each Borrower is treated as an entity disregarded as separate from its owner for U.S. federal income tax purposes.</w:t>
      </w:r>
    </w:p>
    <w:p>
      <w:pPr>
        <w:ind w:right="40"/>
        <w:spacing w:after="0" w:line="224" w:lineRule="auto"/>
        <w:rPr>
          <w:rFonts w:ascii="Arial" w:cs="Arial" w:eastAsia="Arial" w:hAnsi="Arial"/>
          <w:sz w:val="19"/>
          <w:szCs w:val="19"/>
          <w:color w:val="auto"/>
        </w:rPr>
      </w:pPr>
      <w:r>
        <w:rPr>
          <w:rFonts w:ascii="Arial" w:cs="Arial" w:eastAsia="Arial" w:hAnsi="Arial"/>
          <w:sz w:val="22"/>
          <w:szCs w:val="22"/>
          <w:color w:val="auto"/>
        </w:rPr>
        <w:t>Each Borrower’s regarded owner for U.S. federal income tax purposes is CHI (or an Affiliate of CHI), which is a U.S. Person for U.S. federal income tax purposes.</w:t>
      </w:r>
    </w:p>
    <w:p>
      <w:pPr>
        <w:spacing w:after="0" w:line="158" w:lineRule="exact"/>
        <w:rPr>
          <w:sz w:val="20"/>
          <w:szCs w:val="20"/>
          <w:color w:val="auto"/>
        </w:rPr>
      </w:pPr>
    </w:p>
    <w:p>
      <w:pPr>
        <w:ind w:right="20" w:firstLine="648"/>
        <w:spacing w:after="0" w:line="268"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i w:val="1"/>
          <w:iCs w:val="1"/>
          <w:color w:val="auto"/>
        </w:rPr>
        <w:t>Disclosure.</w:t>
      </w:r>
      <w:r>
        <w:rPr>
          <w:rFonts w:ascii="Arial" w:cs="Arial" w:eastAsia="Arial" w:hAnsi="Arial"/>
          <w:sz w:val="19"/>
          <w:szCs w:val="19"/>
          <w:color w:val="auto"/>
        </w:rPr>
        <w:t xml:space="preserve"> None of the Borrowers or the Guarantor is a party to any agreement that is prohibited under Section 6.14. All information provided with respect to a Borrower or Guarantor by or on behalf of such Borrower or Guarantor to any Agent or Lender in connection with the negotiation, execution and delivery of this Agreement and the other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200" w:lineRule="exact"/>
        <w:rPr>
          <w:sz w:val="20"/>
          <w:szCs w:val="20"/>
          <w:color w:val="auto"/>
        </w:rPr>
      </w:pPr>
    </w:p>
    <w:p>
      <w:pPr>
        <w:spacing w:after="0" w:line="234" w:lineRule="exact"/>
        <w:rPr>
          <w:sz w:val="20"/>
          <w:szCs w:val="20"/>
          <w:color w:val="auto"/>
        </w:rPr>
      </w:pPr>
    </w:p>
    <w:p>
      <w:pPr>
        <w:ind w:right="40"/>
        <w:spacing w:after="0" w:line="229" w:lineRule="auto"/>
        <w:rPr>
          <w:sz w:val="20"/>
          <w:szCs w:val="20"/>
          <w:color w:val="auto"/>
        </w:rPr>
      </w:pPr>
      <w:r>
        <w:rPr>
          <w:rFonts w:ascii="Arial" w:cs="Arial" w:eastAsia="Arial" w:hAnsi="Arial"/>
          <w:sz w:val="21"/>
          <w:szCs w:val="21"/>
          <w:color w:val="auto"/>
        </w:rPr>
        <w:t>Loan Documentation or the transactions contemplated hereby and thereby, was or will be, on or as of the applicable date of provision thereof or as otherwise stated therein, complete and correct in all material respects and did not (or will not) contain any material misstatement of fact or omit to state a material fact necessary to make the statements contained therein not misleading in light of the circumstances under which such statements were made.</w:t>
      </w:r>
    </w:p>
    <w:p>
      <w:pPr>
        <w:spacing w:after="0" w:line="158"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 xml:space="preserve">Section 3.12 </w:t>
      </w:r>
      <w:r>
        <w:rPr>
          <w:rFonts w:ascii="Arial" w:cs="Arial" w:eastAsia="Arial" w:hAnsi="Arial"/>
          <w:sz w:val="19"/>
          <w:szCs w:val="19"/>
          <w:i w:val="1"/>
          <w:iCs w:val="1"/>
          <w:color w:val="auto"/>
        </w:rPr>
        <w:t>Material Agreements.</w:t>
      </w:r>
      <w:r>
        <w:rPr>
          <w:rFonts w:ascii="Arial" w:cs="Arial" w:eastAsia="Arial" w:hAnsi="Arial"/>
          <w:sz w:val="19"/>
          <w:szCs w:val="19"/>
          <w:color w:val="auto"/>
        </w:rPr>
        <w:t xml:space="preserve"> Each of the Borrowers and CHI is not in default under any provision of the DNB Voting Agreement, the DNB Stock Purchase Agreement, the DNB Registration Rights Agreement, the DNB Lockup Agreement, the CDAY Registration Rights Agreement, any other agreement with any DNB THL Entity or CDAY THL Entity or any other indenture, mortgage, deed of trust, credit agreement, loan agreement or any other material agreement or instrument, in each case, to which such Person is a party or by which such Person or any of its properties or assets is bound other than any such default that could not reasonably be expected to result in a Material Adverse Effect.</w:t>
      </w:r>
    </w:p>
    <w:p>
      <w:pPr>
        <w:spacing w:after="0" w:line="152"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i w:val="1"/>
          <w:iCs w:val="1"/>
          <w:color w:val="auto"/>
        </w:rPr>
        <w:t>Solvency.</w:t>
      </w:r>
      <w:r>
        <w:rPr>
          <w:rFonts w:ascii="Arial" w:cs="Arial" w:eastAsia="Arial" w:hAnsi="Arial"/>
          <w:sz w:val="19"/>
          <w:szCs w:val="19"/>
          <w:color w:val="auto"/>
        </w:rPr>
        <w:t xml:space="preserve"> (i) The present fair market value of the Guarantor’s assets exceeds the total amount of its liabilities (including contingent liabilities), (ii) the present fair market value of the Borrowers’ assets, taken as a whole, exceeds the total amount of the Borrowers’ liabilities (including contingent liabilities), taken as a whole, (iii) the Guarantor has capital and assets sufficient to carry on its business, (iv) the Borrowers, taken as a whole, have capital and assets sufficient to carry on their businesses, taken as a whole, (v) the Guarantor is not engaged in, and is not about to engage in, a business or transaction for which its remaining assets are unreasonably small in relation to such business or transaction, (vi) the Borrowers, taken as a whole, are not engaged in, and are not about to engage in, a business or transaction for which the remaining assets of the Borrowers, taken as a whole, are unreasonably small in relation to such business or transaction, (vii) Guarantor does not intend to incur, or believe that it will incur, debts beyond its ability to pay such debts as they become due and (viii) Borrowers, taken as a whole, do not intend to incur, or believe that Borrowers, taken as a whole, will incur, debts beyond the ability of Borrowers, taken as a whole, to pay such debts as they become due. Each of the Guarantor and the Borrowers, taken as a whole, will not be rendered insolvent by the consummation of the Transactions.</w:t>
      </w:r>
    </w:p>
    <w:p>
      <w:pPr>
        <w:spacing w:after="0" w:line="3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3.14</w:t>
      </w:r>
      <w:r>
        <w:rPr>
          <w:sz w:val="20"/>
          <w:szCs w:val="20"/>
          <w:color w:val="auto"/>
        </w:rPr>
        <w:tab/>
      </w:r>
      <w:r>
        <w:rPr>
          <w:rFonts w:ascii="Arial" w:cs="Arial" w:eastAsia="Arial" w:hAnsi="Arial"/>
          <w:sz w:val="19"/>
          <w:szCs w:val="19"/>
          <w:i w:val="1"/>
          <w:iCs w:val="1"/>
          <w:color w:val="auto"/>
        </w:rPr>
        <w:t>Trading And Other Restrictions</w:t>
      </w:r>
      <w:r>
        <w:rPr>
          <w:rFonts w:ascii="Arial" w:cs="Arial" w:eastAsia="Arial" w:hAnsi="Arial"/>
          <w:sz w:val="19"/>
          <w:szCs w:val="19"/>
          <w:color w:val="auto"/>
        </w:rPr>
        <w:t>.</w:t>
      </w:r>
    </w:p>
    <w:p>
      <w:pPr>
        <w:spacing w:after="0" w:line="179" w:lineRule="exact"/>
        <w:rPr>
          <w:sz w:val="20"/>
          <w:szCs w:val="20"/>
          <w:color w:val="auto"/>
        </w:rPr>
      </w:pPr>
    </w:p>
    <w:p>
      <w:pPr>
        <w:ind w:right="160" w:firstLine="850"/>
        <w:spacing w:after="0" w:line="216" w:lineRule="auto"/>
        <w:tabs>
          <w:tab w:leader="none" w:pos="1284" w:val="left"/>
        </w:tabs>
        <w:numPr>
          <w:ilvl w:val="0"/>
          <w:numId w:val="88"/>
        </w:numPr>
        <w:rPr>
          <w:rFonts w:ascii="Arial" w:cs="Arial" w:eastAsia="Arial" w:hAnsi="Arial"/>
          <w:sz w:val="22"/>
          <w:szCs w:val="22"/>
          <w:color w:val="auto"/>
        </w:rPr>
      </w:pPr>
      <w:r>
        <w:rPr>
          <w:rFonts w:ascii="Arial" w:cs="Arial" w:eastAsia="Arial" w:hAnsi="Arial"/>
          <w:sz w:val="22"/>
          <w:szCs w:val="22"/>
          <w:color w:val="auto"/>
        </w:rPr>
        <w:t>Borrowers collectively own all Collateral free and clear of Liens, other than Permitted Liens. Borrowers have not made nor consented to, nor are Borrowers aware of, any registrations, filings or recordations in any jurisdiction evidencing a security interest in the Collateral or any other assets of Borrowers, including the filing of a register of mortgages, charges and other encumbrances or filings of UCC-1 financing statements, other than with respect to Liens granted to Applicable Lenders under the Margin Loan Documentation.</w:t>
      </w:r>
    </w:p>
    <w:p>
      <w:pPr>
        <w:spacing w:after="0" w:line="157" w:lineRule="exact"/>
        <w:rPr>
          <w:rFonts w:ascii="Arial" w:cs="Arial" w:eastAsia="Arial" w:hAnsi="Arial"/>
          <w:sz w:val="22"/>
          <w:szCs w:val="22"/>
          <w:color w:val="auto"/>
        </w:rPr>
      </w:pPr>
    </w:p>
    <w:p>
      <w:pPr>
        <w:ind w:firstLine="850"/>
        <w:spacing w:after="0" w:line="221" w:lineRule="auto"/>
        <w:tabs>
          <w:tab w:leader="none" w:pos="1283" w:val="left"/>
        </w:tabs>
        <w:numPr>
          <w:ilvl w:val="0"/>
          <w:numId w:val="88"/>
        </w:numPr>
        <w:rPr>
          <w:rFonts w:ascii="Arial" w:cs="Arial" w:eastAsia="Arial" w:hAnsi="Arial"/>
          <w:sz w:val="21"/>
          <w:szCs w:val="21"/>
          <w:color w:val="auto"/>
        </w:rPr>
      </w:pPr>
      <w:r>
        <w:rPr>
          <w:rFonts w:ascii="Arial" w:cs="Arial" w:eastAsia="Arial" w:hAnsi="Arial"/>
          <w:sz w:val="21"/>
          <w:szCs w:val="21"/>
          <w:color w:val="auto"/>
        </w:rPr>
        <w:t>Borrower 1 (or its Affiliates) acquired and paid the full purchase price for the CDAY Shares which are Collateral Shares on or before April 30, 2018 and has continuously owned such Collateral Shares since it acquired them and the holding period (as determined in accordance with Rule 144) of such Borrower as to such Collateral Shares (in the hands of such Borrower and in the hands of any Applicable Lender exercising its remedies under the Margin Loan Documentation) began on (i) such date or (ii) solely with respect to such Collateral Shares in the hands of an Applicable Lender and solely (A) at any time during which the Guarantee Agreement will not be enforced pursuant to the proviso to Section 1.08 of the Guarantee Agreement or (B) after the Guarantee Termination Date, the Closing Date. Borrower 2 (or its Affiliates) acquired and paid the full purchase price for the DNB Shares which are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0" w:lineRule="exact"/>
        <w:rPr>
          <w:sz w:val="20"/>
          <w:szCs w:val="20"/>
          <w:color w:val="auto"/>
        </w:rPr>
      </w:pPr>
    </w:p>
    <w:p>
      <w:pPr>
        <w:spacing w:after="0" w:line="234" w:lineRule="exact"/>
        <w:rPr>
          <w:sz w:val="20"/>
          <w:szCs w:val="20"/>
          <w:color w:val="auto"/>
        </w:rPr>
      </w:pPr>
    </w:p>
    <w:p>
      <w:pPr>
        <w:spacing w:after="0" w:line="224" w:lineRule="auto"/>
        <w:rPr>
          <w:sz w:val="20"/>
          <w:szCs w:val="20"/>
          <w:color w:val="auto"/>
        </w:rPr>
      </w:pPr>
      <w:r>
        <w:rPr>
          <w:rFonts w:ascii="Arial" w:cs="Arial" w:eastAsia="Arial" w:hAnsi="Arial"/>
          <w:sz w:val="21"/>
          <w:szCs w:val="21"/>
          <w:color w:val="auto"/>
        </w:rPr>
        <w:t>Shares on or before July 31, 2019 and has continuously owned such Collateral Shares since it acquired them and the holding period (as determined in accordance with Rule 144) of such Borrower as to such Collateral Shares (in the hands of such Borrower and in the hands of any Applicable Lender exercising its remedies under the Margin Loan Documentation) began on (x) such date or (y) solely with respect to such Collateral Shares in the hands of an Applicable Lender and solely (A) at any time during which the Guarantee Agreement will not be enforced pursuant to the proviso to Section 1.08 of the Guarantee Agreement or (B) after the Guarantee Termination Date, the Closing Date.</w:t>
      </w:r>
    </w:p>
    <w:p>
      <w:pPr>
        <w:spacing w:after="0" w:line="160" w:lineRule="exact"/>
        <w:rPr>
          <w:sz w:val="20"/>
          <w:szCs w:val="20"/>
          <w:color w:val="auto"/>
        </w:rPr>
      </w:pPr>
    </w:p>
    <w:p>
      <w:pPr>
        <w:ind w:right="300" w:firstLine="850"/>
        <w:spacing w:after="0" w:line="247" w:lineRule="auto"/>
        <w:tabs>
          <w:tab w:leader="none" w:pos="1284"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Collateral Shares (i) are not subject to any Transfer Restrictions, other than CDAY Existing Transfer Restrictions and the DNB Existing Transfer Restrictions, (ii) do not contain any legends on the certificates therefor or other similar types of restrictions on such Collateral Shares, and do not require any opinions from Issuers’ counsel or other documentation or the removal of any “stop transfer order” prior to the sale of such Collateral Shares and (iii) are not subject to any shareholders agreement, investor rights agreements or any other similar agreements or any voting or other contractual restrictions other than the DNB Voting Agreement, the DNB Lock-Up Agreement, the DNB Stock Purchase Agreement, the DNB Registration Rights Agreement and the CDAY Registration Rights Agreement.</w:t>
      </w:r>
    </w:p>
    <w:p>
      <w:pPr>
        <w:spacing w:after="0" w:line="153" w:lineRule="exact"/>
        <w:rPr>
          <w:rFonts w:ascii="Arial" w:cs="Arial" w:eastAsia="Arial" w:hAnsi="Arial"/>
          <w:sz w:val="19"/>
          <w:szCs w:val="19"/>
          <w:color w:val="auto"/>
        </w:rPr>
      </w:pPr>
    </w:p>
    <w:p>
      <w:pPr>
        <w:ind w:right="60" w:firstLine="850"/>
        <w:spacing w:after="0" w:line="212" w:lineRule="auto"/>
        <w:tabs>
          <w:tab w:leader="none" w:pos="1283" w:val="left"/>
        </w:tabs>
        <w:numPr>
          <w:ilvl w:val="0"/>
          <w:numId w:val="89"/>
        </w:numPr>
        <w:rPr>
          <w:rFonts w:ascii="Arial" w:cs="Arial" w:eastAsia="Arial" w:hAnsi="Arial"/>
          <w:sz w:val="22"/>
          <w:szCs w:val="22"/>
          <w:color w:val="auto"/>
        </w:rPr>
      </w:pPr>
      <w:r>
        <w:rPr>
          <w:rFonts w:ascii="Arial" w:cs="Arial" w:eastAsia="Arial" w:hAnsi="Arial"/>
          <w:sz w:val="22"/>
          <w:szCs w:val="22"/>
          <w:color w:val="auto"/>
        </w:rPr>
        <w:t>Each Advance contemplated hereunder is entered into by Borrowers in good faith and at arm’s length and is a bona fide loan. Such Advance is not entered into with an expectation that any Borrower would default in its obligations thereunder. The Lien created under the Margin Loan Documentation (including without limitation, the pledge of the Collateral Shares) is a bona fide pledge to secure Borrowers’ obligations under the Margin Loan Documentation, which obligations provide for full recourse to Guarantor under the Guarantee Agreement in accordance with the terms of the Guarantee Agreement. Such Margin Loan Documentation is not entered into by Borrowers with the intent of facilitating a disposition of the Shares subject to the Margin Loan Documentation.</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19"/>
          <w:szCs w:val="19"/>
          <w:i w:val="1"/>
          <w:iCs w:val="1"/>
          <w:color w:val="auto"/>
        </w:rPr>
        <w:t xml:space="preserve">No Subsidiaries. </w:t>
      </w:r>
      <w:r>
        <w:rPr>
          <w:rFonts w:ascii="Arial" w:cs="Arial" w:eastAsia="Arial" w:hAnsi="Arial"/>
          <w:sz w:val="19"/>
          <w:szCs w:val="19"/>
          <w:color w:val="auto"/>
        </w:rPr>
        <w:t>Each Borrower has no Subsidiaries.</w:t>
      </w:r>
    </w:p>
    <w:p>
      <w:pPr>
        <w:spacing w:after="0" w:line="179" w:lineRule="exact"/>
        <w:rPr>
          <w:sz w:val="20"/>
          <w:szCs w:val="20"/>
          <w:color w:val="auto"/>
        </w:rPr>
      </w:pPr>
    </w:p>
    <w:p>
      <w:pPr>
        <w:ind w:right="20" w:firstLine="648"/>
        <w:spacing w:after="0" w:line="221" w:lineRule="auto"/>
        <w:rPr>
          <w:sz w:val="20"/>
          <w:szCs w:val="20"/>
          <w:color w:val="auto"/>
        </w:rPr>
      </w:pPr>
      <w:r>
        <w:rPr>
          <w:rFonts w:ascii="Arial" w:cs="Arial" w:eastAsia="Arial" w:hAnsi="Arial"/>
          <w:sz w:val="21"/>
          <w:szCs w:val="21"/>
          <w:color w:val="auto"/>
        </w:rPr>
        <w:t xml:space="preserve">Section 3.16 </w:t>
      </w:r>
      <w:r>
        <w:rPr>
          <w:rFonts w:ascii="Arial" w:cs="Arial" w:eastAsia="Arial" w:hAnsi="Arial"/>
          <w:sz w:val="21"/>
          <w:szCs w:val="21"/>
          <w:i w:val="1"/>
          <w:iCs w:val="1"/>
          <w:color w:val="auto"/>
        </w:rPr>
        <w:t>Anti-Corruption Laws and Sanctions.</w:t>
      </w:r>
      <w:r>
        <w:rPr>
          <w:rFonts w:ascii="Arial" w:cs="Arial" w:eastAsia="Arial" w:hAnsi="Arial"/>
          <w:sz w:val="21"/>
          <w:szCs w:val="21"/>
          <w:color w:val="auto"/>
        </w:rPr>
        <w:t xml:space="preserve"> Each of the Borrowers and the Guarantor has implemented and maintains in effect policies and procedures designed to facilitate compliance by such Person and its managers, officers, employees and agents with Anti-Corruption Laws and applicable Sanctions, and each such Person and its managers, officers and employees and to its knowledge, its agents, are in compliance with Anti-Corruption Laws and applicable Sanctions in all material respects. None of (a) each of the Borrowers, the Guarantor or any of such person’s managers, Responsible Officers or employees or (b) to the knowledge of each of the Borrowers and the Guarantor, any agent of any such Person that will act in any capacity in connection with or benefit from the Facility, is a Sanctioned Person. No Advance, use of proceeds or other Transaction will violate Anti-Corruption Laws or applicable Sanctions.</w:t>
      </w:r>
    </w:p>
    <w:p>
      <w:pPr>
        <w:spacing w:after="0" w:line="165" w:lineRule="exact"/>
        <w:rPr>
          <w:sz w:val="20"/>
          <w:szCs w:val="20"/>
          <w:color w:val="auto"/>
        </w:rPr>
      </w:pPr>
    </w:p>
    <w:p>
      <w:pPr>
        <w:ind w:right="60" w:firstLine="648"/>
        <w:spacing w:after="0" w:line="216" w:lineRule="auto"/>
        <w:rPr>
          <w:sz w:val="20"/>
          <w:szCs w:val="20"/>
          <w:color w:val="auto"/>
        </w:rPr>
      </w:pPr>
      <w:r>
        <w:rPr>
          <w:rFonts w:ascii="Arial" w:cs="Arial" w:eastAsia="Arial" w:hAnsi="Arial"/>
          <w:sz w:val="22"/>
          <w:szCs w:val="22"/>
          <w:color w:val="auto"/>
        </w:rPr>
        <w:t xml:space="preserve">Section 3.17 </w:t>
      </w:r>
      <w:r>
        <w:rPr>
          <w:rFonts w:ascii="Arial" w:cs="Arial" w:eastAsia="Arial" w:hAnsi="Arial"/>
          <w:sz w:val="22"/>
          <w:szCs w:val="22"/>
          <w:i w:val="1"/>
          <w:iCs w:val="1"/>
          <w:color w:val="auto"/>
        </w:rPr>
        <w:t>Material Nonpublic Information.</w:t>
      </w:r>
      <w:r>
        <w:rPr>
          <w:rFonts w:ascii="Arial" w:cs="Arial" w:eastAsia="Arial" w:hAnsi="Arial"/>
          <w:sz w:val="22"/>
          <w:szCs w:val="22"/>
          <w:color w:val="auto"/>
        </w:rPr>
        <w:t xml:space="preserve"> As of the date hereof, the Closing Date, the First Increase Effective Date, the Second Increase Effective Date, the Third Amendment Effective Date, the Fourth Amendment Effective Date, and any date on which a Borrower delivers a Borrowing Notice, none of the Borrowers or their Affiliates is in possession of any Material Nonpublic Information with respect to an Issuer or the Shares of such Issuer that could have a material adverse effect on such Issuer or such Shares.</w:t>
      </w:r>
    </w:p>
    <w:p>
      <w:pPr>
        <w:spacing w:after="0" w:line="158"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 xml:space="preserve">Section 3.18 </w:t>
      </w:r>
      <w:r>
        <w:rPr>
          <w:rFonts w:ascii="Arial" w:cs="Arial" w:eastAsia="Arial" w:hAnsi="Arial"/>
          <w:sz w:val="22"/>
          <w:szCs w:val="22"/>
          <w:i w:val="1"/>
          <w:iCs w:val="1"/>
          <w:color w:val="auto"/>
        </w:rPr>
        <w:t>Conduct of Business.</w:t>
      </w:r>
      <w:r>
        <w:rPr>
          <w:rFonts w:ascii="Arial" w:cs="Arial" w:eastAsia="Arial" w:hAnsi="Arial"/>
          <w:sz w:val="22"/>
          <w:szCs w:val="22"/>
          <w:color w:val="auto"/>
        </w:rPr>
        <w:t xml:space="preserve"> Each Borrower has not conducted transactions or otherwise engaged in, or committed to conduct, transact or otherwise engage in, any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00" w:lineRule="exact"/>
        <w:rPr>
          <w:sz w:val="20"/>
          <w:szCs w:val="20"/>
          <w:color w:val="auto"/>
        </w:rPr>
      </w:pPr>
    </w:p>
    <w:p>
      <w:pPr>
        <w:spacing w:after="0" w:line="234" w:lineRule="exact"/>
        <w:rPr>
          <w:sz w:val="20"/>
          <w:szCs w:val="20"/>
          <w:color w:val="auto"/>
        </w:rPr>
      </w:pPr>
    </w:p>
    <w:p>
      <w:pPr>
        <w:ind w:right="260"/>
        <w:spacing w:after="0" w:line="223" w:lineRule="auto"/>
        <w:rPr>
          <w:sz w:val="20"/>
          <w:szCs w:val="20"/>
          <w:color w:val="auto"/>
        </w:rPr>
      </w:pPr>
      <w:r>
        <w:rPr>
          <w:rFonts w:ascii="Arial" w:cs="Arial" w:eastAsia="Arial" w:hAnsi="Arial"/>
          <w:sz w:val="22"/>
          <w:szCs w:val="22"/>
          <w:color w:val="auto"/>
        </w:rPr>
        <w:t>other than (a) holding Shares, Cash and Cash Equivalents and ministerial activities incidental thereto, (b) performing its obligations under the Margin Loan Documentation and the Transactions and (c) paying taxes and administrative fees necessary for compliance with this Agreement and incidental to its existence.</w:t>
      </w:r>
    </w:p>
    <w:p>
      <w:pPr>
        <w:spacing w:after="0" w:line="159" w:lineRule="exact"/>
        <w:rPr>
          <w:sz w:val="20"/>
          <w:szCs w:val="20"/>
          <w:color w:val="auto"/>
        </w:rPr>
      </w:pPr>
    </w:p>
    <w:p>
      <w:pPr>
        <w:ind w:right="60" w:firstLine="648"/>
        <w:spacing w:after="0" w:line="218" w:lineRule="auto"/>
        <w:rPr>
          <w:sz w:val="20"/>
          <w:szCs w:val="20"/>
          <w:color w:val="auto"/>
        </w:rPr>
      </w:pPr>
      <w:r>
        <w:rPr>
          <w:rFonts w:ascii="Arial" w:cs="Arial" w:eastAsia="Arial" w:hAnsi="Arial"/>
          <w:sz w:val="22"/>
          <w:szCs w:val="22"/>
          <w:color w:val="auto"/>
        </w:rPr>
        <w:t xml:space="preserve">Section 3.19 </w:t>
      </w:r>
      <w:r>
        <w:rPr>
          <w:rFonts w:ascii="Arial" w:cs="Arial" w:eastAsia="Arial" w:hAnsi="Arial"/>
          <w:sz w:val="22"/>
          <w:szCs w:val="22"/>
          <w:i w:val="1"/>
          <w:iCs w:val="1"/>
          <w:color w:val="auto"/>
        </w:rPr>
        <w:t>Employee Matters.</w:t>
      </w:r>
      <w:r>
        <w:rPr>
          <w:rFonts w:ascii="Arial" w:cs="Arial" w:eastAsia="Arial" w:hAnsi="Arial"/>
          <w:sz w:val="22"/>
          <w:szCs w:val="22"/>
          <w:color w:val="auto"/>
        </w:rPr>
        <w:t xml:space="preserve"> Each Borrower does not have and has never had (a) any employees and it has never directly contracted with individuals who are not independent contractors, (b) to maintain or contribute to, or any direct obligation to maintain or contribute to, any Employee Benefit Plan and (c) any actual or potential liabilities with respect to any Pension Plan, including as a result of its affiliation with any of its ERISA Affiliates.</w:t>
      </w:r>
    </w:p>
    <w:p>
      <w:pPr>
        <w:spacing w:after="0" w:line="161"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 xml:space="preserve">Section 3.20 </w:t>
      </w:r>
      <w:r>
        <w:rPr>
          <w:rFonts w:ascii="Arial" w:cs="Arial" w:eastAsia="Arial" w:hAnsi="Arial"/>
          <w:sz w:val="21"/>
          <w:szCs w:val="21"/>
          <w:i w:val="1"/>
          <w:iCs w:val="1"/>
          <w:color w:val="auto"/>
        </w:rPr>
        <w:t>No Plan Assets.</w:t>
      </w:r>
      <w:r>
        <w:rPr>
          <w:rFonts w:ascii="Arial" w:cs="Arial" w:eastAsia="Arial" w:hAnsi="Arial"/>
          <w:sz w:val="21"/>
          <w:szCs w:val="21"/>
          <w:color w:val="auto"/>
        </w:rPr>
        <w:t xml:space="preserve"> The assets of each Borrower and its ERISA Affiliates do not constitute “plan assets” of (i) any Employee Benefit Plan that is subject to Title I of ERISA, (ii) any “plan” (as defined in Section 4975 of the Code) that is subject to Section 4975 of the Code, (iii) any Employee Benefit Plan or plan that is not subject to Title I of ERISA or Section 4975 of the Code but is subject to any law, rule or regulation substantially similar to Section 406 of ERISA or Section 4975 of the Code (“</w:t>
      </w:r>
      <w:r>
        <w:rPr>
          <w:rFonts w:ascii="Arial" w:cs="Arial" w:eastAsia="Arial" w:hAnsi="Arial"/>
          <w:sz w:val="21"/>
          <w:szCs w:val="21"/>
          <w:b w:val="1"/>
          <w:bCs w:val="1"/>
          <w:i w:val="1"/>
          <w:iCs w:val="1"/>
          <w:color w:val="auto"/>
        </w:rPr>
        <w:t>Similar Law</w:t>
      </w:r>
      <w:r>
        <w:rPr>
          <w:rFonts w:ascii="Arial" w:cs="Arial" w:eastAsia="Arial" w:hAnsi="Arial"/>
          <w:sz w:val="21"/>
          <w:szCs w:val="21"/>
          <w:color w:val="auto"/>
        </w:rPr>
        <w:t>”) or (iv) an entity the underlying assets of which include assets of Employee Benefit Plans or plans as a result of investments by such plans in the entity pursuant to the Plan Asset Regulation (each of the immediately preceding clauses (i), (ii), (iii) and (iv), an “</w:t>
      </w:r>
      <w:r>
        <w:rPr>
          <w:rFonts w:ascii="Arial" w:cs="Arial" w:eastAsia="Arial" w:hAnsi="Arial"/>
          <w:sz w:val="21"/>
          <w:szCs w:val="21"/>
          <w:b w:val="1"/>
          <w:bCs w:val="1"/>
          <w:i w:val="1"/>
          <w:iCs w:val="1"/>
          <w:color w:val="auto"/>
        </w:rPr>
        <w:t>ERISA Plan</w:t>
      </w:r>
      <w:r>
        <w:rPr>
          <w:rFonts w:ascii="Arial" w:cs="Arial" w:eastAsia="Arial" w:hAnsi="Arial"/>
          <w:sz w:val="21"/>
          <w:szCs w:val="21"/>
          <w:color w:val="auto"/>
        </w:rPr>
        <w:t>”).</w:t>
      </w:r>
    </w:p>
    <w:p>
      <w:pPr>
        <w:spacing w:after="0" w:line="164" w:lineRule="exact"/>
        <w:rPr>
          <w:sz w:val="20"/>
          <w:szCs w:val="20"/>
          <w:color w:val="auto"/>
        </w:rPr>
      </w:pPr>
    </w:p>
    <w:p>
      <w:pPr>
        <w:ind w:right="280" w:firstLine="648"/>
        <w:spacing w:after="0" w:line="232" w:lineRule="auto"/>
        <w:rPr>
          <w:sz w:val="20"/>
          <w:szCs w:val="20"/>
          <w:color w:val="auto"/>
        </w:rPr>
      </w:pPr>
      <w:r>
        <w:rPr>
          <w:rFonts w:ascii="Arial" w:cs="Arial" w:eastAsia="Arial" w:hAnsi="Arial"/>
          <w:sz w:val="22"/>
          <w:szCs w:val="22"/>
          <w:color w:val="auto"/>
        </w:rPr>
        <w:t xml:space="preserve">Section 3.21 </w:t>
      </w:r>
      <w:r>
        <w:rPr>
          <w:rFonts w:ascii="Arial" w:cs="Arial" w:eastAsia="Arial" w:hAnsi="Arial"/>
          <w:sz w:val="22"/>
          <w:szCs w:val="22"/>
          <w:i w:val="1"/>
          <w:iCs w:val="1"/>
          <w:color w:val="auto"/>
        </w:rPr>
        <w:t>Organization Documents.</w:t>
      </w:r>
      <w:r>
        <w:rPr>
          <w:rFonts w:ascii="Arial" w:cs="Arial" w:eastAsia="Arial" w:hAnsi="Arial"/>
          <w:sz w:val="22"/>
          <w:szCs w:val="22"/>
          <w:color w:val="auto"/>
        </w:rPr>
        <w:t xml:space="preserve"> Each Borrower is, and has at all times since its formation been, in compliance with its Organization Documents.</w:t>
      </w:r>
    </w:p>
    <w:p>
      <w:pPr>
        <w:spacing w:after="0" w:line="159" w:lineRule="exact"/>
        <w:rPr>
          <w:sz w:val="20"/>
          <w:szCs w:val="20"/>
          <w:color w:val="auto"/>
        </w:rPr>
      </w:pPr>
    </w:p>
    <w:p>
      <w:pPr>
        <w:ind w:right="820" w:firstLine="648"/>
        <w:spacing w:after="0" w:line="232" w:lineRule="auto"/>
        <w:rPr>
          <w:sz w:val="20"/>
          <w:szCs w:val="20"/>
          <w:color w:val="auto"/>
        </w:rPr>
      </w:pPr>
      <w:r>
        <w:rPr>
          <w:rFonts w:ascii="Arial" w:cs="Arial" w:eastAsia="Arial" w:hAnsi="Arial"/>
          <w:sz w:val="22"/>
          <w:szCs w:val="22"/>
          <w:color w:val="auto"/>
        </w:rPr>
        <w:t xml:space="preserve">Section 3.22 </w:t>
      </w:r>
      <w:r>
        <w:rPr>
          <w:rFonts w:ascii="Arial" w:cs="Arial" w:eastAsia="Arial" w:hAnsi="Arial"/>
          <w:sz w:val="22"/>
          <w:szCs w:val="22"/>
          <w:i w:val="1"/>
          <w:iCs w:val="1"/>
          <w:color w:val="auto"/>
        </w:rPr>
        <w:t>Beneficial Ownership</w:t>
      </w:r>
      <w:r>
        <w:rPr>
          <w:rFonts w:ascii="Arial" w:cs="Arial" w:eastAsia="Arial" w:hAnsi="Arial"/>
          <w:sz w:val="22"/>
          <w:szCs w:val="22"/>
          <w:color w:val="auto"/>
        </w:rPr>
        <w:t>. As of the date of each Advance, the information included in any Beneficial Ownership Certification in relation to a Borrower, if applicable, is true and correct in all respects.</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4</w:t>
      </w:r>
    </w:p>
    <w:p>
      <w:pPr>
        <w:ind w:left="4620"/>
        <w:spacing w:after="0"/>
        <w:rPr>
          <w:sz w:val="20"/>
          <w:szCs w:val="20"/>
          <w:color w:val="auto"/>
        </w:rPr>
      </w:pPr>
      <w:r>
        <w:rPr>
          <w:rFonts w:ascii="Arial" w:cs="Arial" w:eastAsia="Arial" w:hAnsi="Arial"/>
          <w:sz w:val="22"/>
          <w:szCs w:val="22"/>
          <w:color w:val="auto"/>
        </w:rPr>
        <w:t>Conditions Of Lending</w:t>
      </w:r>
    </w:p>
    <w:p>
      <w:pPr>
        <w:spacing w:after="0" w:line="161" w:lineRule="exact"/>
        <w:rPr>
          <w:sz w:val="20"/>
          <w:szCs w:val="20"/>
          <w:color w:val="auto"/>
        </w:rPr>
      </w:pPr>
    </w:p>
    <w:p>
      <w:pPr>
        <w:ind w:right="80" w:firstLine="648"/>
        <w:spacing w:after="0" w:line="232"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i w:val="1"/>
          <w:iCs w:val="1"/>
          <w:color w:val="auto"/>
        </w:rPr>
        <w:t>Conditions Precedent to the Effective Date.</w:t>
      </w:r>
      <w:r>
        <w:rPr>
          <w:rFonts w:ascii="Arial" w:cs="Arial" w:eastAsia="Arial" w:hAnsi="Arial"/>
          <w:sz w:val="22"/>
          <w:szCs w:val="22"/>
          <w:color w:val="auto"/>
        </w:rPr>
        <w:t xml:space="preserve"> The obligation of each Lender under this Agreement is subject to satisfaction of each the following conditions precedent:</w:t>
      </w:r>
    </w:p>
    <w:p>
      <w:pPr>
        <w:spacing w:after="0" w:line="159" w:lineRule="exact"/>
        <w:rPr>
          <w:sz w:val="20"/>
          <w:szCs w:val="20"/>
          <w:color w:val="auto"/>
        </w:rPr>
      </w:pPr>
    </w:p>
    <w:p>
      <w:pPr>
        <w:ind w:right="240" w:firstLine="850"/>
        <w:spacing w:after="0" w:line="232" w:lineRule="auto"/>
        <w:tabs>
          <w:tab w:leader="none" w:pos="1284" w:val="left"/>
        </w:tabs>
        <w:numPr>
          <w:ilvl w:val="1"/>
          <w:numId w:val="90"/>
        </w:numPr>
        <w:rPr>
          <w:rFonts w:ascii="Arial" w:cs="Arial" w:eastAsia="Arial" w:hAnsi="Arial"/>
          <w:sz w:val="22"/>
          <w:szCs w:val="22"/>
          <w:color w:val="auto"/>
        </w:rPr>
      </w:pPr>
      <w:r>
        <w:rPr>
          <w:rFonts w:ascii="Arial" w:cs="Arial" w:eastAsia="Arial" w:hAnsi="Arial"/>
          <w:sz w:val="22"/>
          <w:szCs w:val="22"/>
          <w:color w:val="auto"/>
        </w:rPr>
        <w:t>each Original Lender shall have received each of the following documents, each dated on or prior to the Closing Date, in each case, in form and substance reasonably satisfactory to each Original Lender:</w:t>
      </w:r>
    </w:p>
    <w:p>
      <w:pPr>
        <w:spacing w:after="0" w:line="158" w:lineRule="exact"/>
        <w:rPr>
          <w:rFonts w:ascii="Arial" w:cs="Arial" w:eastAsia="Arial" w:hAnsi="Arial"/>
          <w:sz w:val="22"/>
          <w:szCs w:val="22"/>
          <w:color w:val="auto"/>
        </w:rPr>
      </w:pPr>
    </w:p>
    <w:p>
      <w:pPr>
        <w:ind w:left="660" w:right="220" w:firstLine="968"/>
        <w:spacing w:after="0" w:line="223" w:lineRule="auto"/>
        <w:tabs>
          <w:tab w:leader="none" w:pos="1944" w:val="left"/>
        </w:tabs>
        <w:numPr>
          <w:ilvl w:val="2"/>
          <w:numId w:val="90"/>
        </w:numPr>
        <w:rPr>
          <w:rFonts w:ascii="Arial" w:cs="Arial" w:eastAsia="Arial" w:hAnsi="Arial"/>
          <w:sz w:val="22"/>
          <w:szCs w:val="22"/>
          <w:color w:val="auto"/>
        </w:rPr>
      </w:pPr>
      <w:r>
        <w:rPr>
          <w:rFonts w:ascii="Arial" w:cs="Arial" w:eastAsia="Arial" w:hAnsi="Arial"/>
          <w:sz w:val="22"/>
          <w:szCs w:val="22"/>
          <w:color w:val="auto"/>
        </w:rPr>
        <w:t>duly executed counterparts of (A) this Agreement, (B) the Fee and Ratio Letter, (C) the Security Agreement, (D) each Control Agreement to which an Original Lender is a party, (E) each Issuer Agreement to which an Original Lender is a party and (F) the Guarantee Agreement;</w:t>
      </w:r>
    </w:p>
    <w:p>
      <w:pPr>
        <w:spacing w:after="0" w:line="158" w:lineRule="exact"/>
        <w:rPr>
          <w:rFonts w:ascii="Arial" w:cs="Arial" w:eastAsia="Arial" w:hAnsi="Arial"/>
          <w:sz w:val="22"/>
          <w:szCs w:val="22"/>
          <w:color w:val="auto"/>
        </w:rPr>
      </w:pPr>
    </w:p>
    <w:p>
      <w:pPr>
        <w:ind w:left="660" w:right="160" w:firstLine="968"/>
        <w:spacing w:after="0" w:line="243" w:lineRule="auto"/>
        <w:tabs>
          <w:tab w:leader="none" w:pos="1950" w:val="left"/>
        </w:tabs>
        <w:numPr>
          <w:ilvl w:val="2"/>
          <w:numId w:val="90"/>
        </w:numPr>
        <w:rPr>
          <w:rFonts w:ascii="Arial" w:cs="Arial" w:eastAsia="Arial" w:hAnsi="Arial"/>
          <w:sz w:val="19"/>
          <w:szCs w:val="19"/>
          <w:color w:val="auto"/>
        </w:rPr>
      </w:pPr>
      <w:r>
        <w:rPr>
          <w:rFonts w:ascii="Arial" w:cs="Arial" w:eastAsia="Arial" w:hAnsi="Arial"/>
          <w:sz w:val="19"/>
          <w:szCs w:val="19"/>
          <w:color w:val="auto"/>
        </w:rPr>
        <w:t>certificates of the Guarantor and each Borrower, each dated as of the Closing Date and executed by a Responsible Officer of such Person, which shall (A) certify the resolutions of such Person’s Board of Directors authorizing the execution, delivery and performance of the Margin Loan Documentation to which such Person is a party,</w:t>
      </w:r>
    </w:p>
    <w:p>
      <w:pPr>
        <w:spacing w:after="0" w:line="2" w:lineRule="exact"/>
        <w:rPr>
          <w:rFonts w:ascii="Arial" w:cs="Arial" w:eastAsia="Arial" w:hAnsi="Arial"/>
          <w:sz w:val="19"/>
          <w:szCs w:val="19"/>
          <w:color w:val="auto"/>
        </w:rPr>
      </w:pPr>
    </w:p>
    <w:p>
      <w:pPr>
        <w:ind w:left="660" w:right="300" w:hanging="4"/>
        <w:spacing w:after="0" w:line="258" w:lineRule="auto"/>
        <w:tabs>
          <w:tab w:leader="none" w:pos="1002" w:val="left"/>
        </w:tabs>
        <w:numPr>
          <w:ilvl w:val="0"/>
          <w:numId w:val="91"/>
        </w:numPr>
        <w:rPr>
          <w:rFonts w:ascii="Arial" w:cs="Arial" w:eastAsia="Arial" w:hAnsi="Arial"/>
          <w:sz w:val="19"/>
          <w:szCs w:val="19"/>
          <w:color w:val="auto"/>
        </w:rPr>
      </w:pPr>
      <w:r>
        <w:rPr>
          <w:rFonts w:ascii="Arial" w:cs="Arial" w:eastAsia="Arial" w:hAnsi="Arial"/>
          <w:sz w:val="19"/>
          <w:szCs w:val="19"/>
          <w:color w:val="auto"/>
        </w:rPr>
        <w:t>identify by name and title and bear the signatures of the Responsible Officers and any other officers of such Person authorized to sign the Margin Loan Documentation to which such Person is a party and (C) contain appropriate attachments, including the Organization Documents of such Person (including the certificate of formation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00" w:lineRule="exact"/>
        <w:rPr>
          <w:sz w:val="20"/>
          <w:szCs w:val="20"/>
          <w:color w:val="auto"/>
        </w:rPr>
      </w:pPr>
    </w:p>
    <w:p>
      <w:pPr>
        <w:spacing w:after="0" w:line="234" w:lineRule="exact"/>
        <w:rPr>
          <w:sz w:val="20"/>
          <w:szCs w:val="20"/>
          <w:color w:val="auto"/>
        </w:rPr>
      </w:pPr>
    </w:p>
    <w:p>
      <w:pPr>
        <w:ind w:left="620" w:right="720"/>
        <w:spacing w:after="0" w:line="232" w:lineRule="auto"/>
        <w:rPr>
          <w:sz w:val="20"/>
          <w:szCs w:val="20"/>
          <w:color w:val="auto"/>
        </w:rPr>
      </w:pPr>
      <w:r>
        <w:rPr>
          <w:rFonts w:ascii="Arial" w:cs="Arial" w:eastAsia="Arial" w:hAnsi="Arial"/>
          <w:sz w:val="22"/>
          <w:szCs w:val="22"/>
          <w:color w:val="auto"/>
        </w:rPr>
        <w:t>Person certified by the relevant authority of the jurisdiction of organization of such Person) and a long-form good standing certificate for such Person from its jurisdiction of organization;</w:t>
      </w:r>
    </w:p>
    <w:p>
      <w:pPr>
        <w:spacing w:after="0" w:line="159" w:lineRule="exact"/>
        <w:rPr>
          <w:sz w:val="20"/>
          <w:szCs w:val="20"/>
          <w:color w:val="auto"/>
        </w:rPr>
      </w:pPr>
    </w:p>
    <w:p>
      <w:pPr>
        <w:ind w:left="620" w:right="240" w:firstLine="972"/>
        <w:spacing w:after="0" w:line="232" w:lineRule="auto"/>
        <w:rPr>
          <w:sz w:val="20"/>
          <w:szCs w:val="20"/>
          <w:color w:val="auto"/>
        </w:rPr>
      </w:pPr>
      <w:r>
        <w:rPr>
          <w:rFonts w:ascii="Arial" w:cs="Arial" w:eastAsia="Arial" w:hAnsi="Arial"/>
          <w:sz w:val="22"/>
          <w:szCs w:val="22"/>
          <w:color w:val="auto"/>
        </w:rPr>
        <w:t>(iii)solvency certificates with respect to the Borrowers, taken as a whole, and Guarantor from a Responsible Officer thereof.</w:t>
      </w:r>
    </w:p>
    <w:p>
      <w:pPr>
        <w:spacing w:after="0" w:line="186"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(iv)a favorable opinion of counsel to each Borrower addressed to each Original Lender and Administrative</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Agent;</w:t>
      </w:r>
    </w:p>
    <w:p>
      <w:pPr>
        <w:spacing w:after="0" w:line="161" w:lineRule="exact"/>
        <w:rPr>
          <w:sz w:val="20"/>
          <w:szCs w:val="20"/>
          <w:color w:val="auto"/>
        </w:rPr>
      </w:pPr>
    </w:p>
    <w:p>
      <w:pPr>
        <w:jc w:val="both"/>
        <w:ind w:left="620" w:right="120" w:firstLine="968"/>
        <w:spacing w:after="0" w:line="298" w:lineRule="auto"/>
        <w:tabs>
          <w:tab w:leader="none" w:pos="1911" w:val="left"/>
        </w:tabs>
        <w:numPr>
          <w:ilvl w:val="1"/>
          <w:numId w:val="92"/>
        </w:numPr>
        <w:rPr>
          <w:rFonts w:ascii="Arial" w:cs="Arial" w:eastAsia="Arial" w:hAnsi="Arial"/>
          <w:sz w:val="19"/>
          <w:szCs w:val="19"/>
          <w:color w:val="auto"/>
        </w:rPr>
      </w:pPr>
      <w:r>
        <w:rPr>
          <w:rFonts w:ascii="Arial" w:cs="Arial" w:eastAsia="Arial" w:hAnsi="Arial"/>
          <w:sz w:val="19"/>
          <w:szCs w:val="19"/>
          <w:color w:val="auto"/>
        </w:rPr>
        <w:t>the results of a recent lien and judgment search in each of the jurisdictions where assets of Borrowers are located, and such search shall reveal no liens or judgments on any of the assets of Borrowers except for Permitted Liens;</w:t>
      </w:r>
    </w:p>
    <w:p>
      <w:pPr>
        <w:spacing w:after="0" w:line="105" w:lineRule="exact"/>
        <w:rPr>
          <w:rFonts w:ascii="Arial" w:cs="Arial" w:eastAsia="Arial" w:hAnsi="Arial"/>
          <w:sz w:val="19"/>
          <w:szCs w:val="19"/>
          <w:color w:val="auto"/>
        </w:rPr>
      </w:pPr>
    </w:p>
    <w:p>
      <w:pPr>
        <w:ind w:left="620" w:right="480" w:firstLine="968"/>
        <w:spacing w:after="0" w:line="247" w:lineRule="auto"/>
        <w:tabs>
          <w:tab w:leader="none" w:pos="1958" w:val="left"/>
        </w:tabs>
        <w:numPr>
          <w:ilvl w:val="1"/>
          <w:numId w:val="92"/>
        </w:numPr>
        <w:rPr>
          <w:rFonts w:ascii="Arial" w:cs="Arial" w:eastAsia="Arial" w:hAnsi="Arial"/>
          <w:sz w:val="21"/>
          <w:szCs w:val="21"/>
          <w:color w:val="auto"/>
        </w:rPr>
      </w:pPr>
      <w:r>
        <w:rPr>
          <w:rFonts w:ascii="Arial" w:cs="Arial" w:eastAsia="Arial" w:hAnsi="Arial"/>
          <w:sz w:val="21"/>
          <w:szCs w:val="21"/>
          <w:color w:val="auto"/>
        </w:rPr>
        <w:t>any form requested by any Original Lender necessary to comply with Regulation T, Regulation U, or Regulation X, or any other provisions of the regulations of the FRB, including Form U-1;</w:t>
      </w:r>
    </w:p>
    <w:p>
      <w:pPr>
        <w:spacing w:after="0" w:line="150" w:lineRule="exact"/>
        <w:rPr>
          <w:rFonts w:ascii="Arial" w:cs="Arial" w:eastAsia="Arial" w:hAnsi="Arial"/>
          <w:sz w:val="21"/>
          <w:szCs w:val="21"/>
          <w:color w:val="auto"/>
        </w:rPr>
      </w:pPr>
    </w:p>
    <w:p>
      <w:pPr>
        <w:ind w:left="620" w:right="200" w:firstLine="968"/>
        <w:spacing w:after="0" w:line="223" w:lineRule="auto"/>
        <w:tabs>
          <w:tab w:leader="none" w:pos="2558" w:val="left"/>
        </w:tabs>
        <w:numPr>
          <w:ilvl w:val="1"/>
          <w:numId w:val="92"/>
        </w:numPr>
        <w:rPr>
          <w:rFonts w:ascii="Arial" w:cs="Arial" w:eastAsia="Arial" w:hAnsi="Arial"/>
          <w:sz w:val="22"/>
          <w:szCs w:val="22"/>
          <w:color w:val="auto"/>
        </w:rPr>
      </w:pPr>
      <w:r>
        <w:rPr>
          <w:rFonts w:ascii="Arial" w:cs="Arial" w:eastAsia="Arial" w:hAnsi="Arial"/>
          <w:sz w:val="22"/>
          <w:szCs w:val="22"/>
          <w:color w:val="auto"/>
        </w:rPr>
        <w:t>proper financing statement(s) (Form UCC-1 or the equivalent) for filing under the UCC or other appropriate filing offices of each jurisdiction as may be necessary to perfect the security interest purported to be created by the Security Agreement;</w:t>
      </w:r>
    </w:p>
    <w:p>
      <w:pPr>
        <w:spacing w:after="0" w:line="158" w:lineRule="exact"/>
        <w:rPr>
          <w:rFonts w:ascii="Arial" w:cs="Arial" w:eastAsia="Arial" w:hAnsi="Arial"/>
          <w:sz w:val="22"/>
          <w:szCs w:val="22"/>
          <w:color w:val="auto"/>
        </w:rPr>
      </w:pPr>
    </w:p>
    <w:p>
      <w:pPr>
        <w:ind w:left="620" w:right="20" w:firstLine="968"/>
        <w:spacing w:after="0" w:line="252" w:lineRule="auto"/>
        <w:tabs>
          <w:tab w:leader="none" w:pos="2564" w:val="left"/>
        </w:tabs>
        <w:numPr>
          <w:ilvl w:val="1"/>
          <w:numId w:val="92"/>
        </w:numPr>
        <w:rPr>
          <w:rFonts w:ascii="Arial" w:cs="Arial" w:eastAsia="Arial" w:hAnsi="Arial"/>
          <w:sz w:val="19"/>
          <w:szCs w:val="19"/>
          <w:color w:val="auto"/>
        </w:rPr>
      </w:pPr>
      <w:r>
        <w:rPr>
          <w:rFonts w:ascii="Arial" w:cs="Arial" w:eastAsia="Arial" w:hAnsi="Arial"/>
          <w:sz w:val="19"/>
          <w:szCs w:val="19"/>
          <w:color w:val="auto"/>
        </w:rPr>
        <w:t>evidence that the Collateral Accounts have been established by Borrowers, the Collateral Accounts are standing with and subject to a pledge in favor of the Applicable Lenders and the security entitlements in respect of the Shares constituting Initial Collateral Shares have been credited, transferred or delivered to the Collateral Accounts on a Pro Rata Basis free from all Transfer Restrictions (other than DNB Existing Transfer Restrictions and CDAY Existing Transfer Restrictions), and constituting Acceptable Collateral by book entry transfer through DTC as depositary;</w:t>
      </w:r>
    </w:p>
    <w:p>
      <w:pPr>
        <w:spacing w:after="0" w:line="148" w:lineRule="exact"/>
        <w:rPr>
          <w:rFonts w:ascii="Arial" w:cs="Arial" w:eastAsia="Arial" w:hAnsi="Arial"/>
          <w:sz w:val="19"/>
          <w:szCs w:val="19"/>
          <w:color w:val="auto"/>
        </w:rPr>
      </w:pPr>
    </w:p>
    <w:p>
      <w:pPr>
        <w:ind w:left="620" w:right="780" w:firstLine="968"/>
        <w:spacing w:after="0" w:line="232" w:lineRule="auto"/>
        <w:tabs>
          <w:tab w:leader="none" w:pos="1958" w:val="left"/>
        </w:tabs>
        <w:numPr>
          <w:ilvl w:val="1"/>
          <w:numId w:val="92"/>
        </w:numPr>
        <w:rPr>
          <w:rFonts w:ascii="Arial" w:cs="Arial" w:eastAsia="Arial" w:hAnsi="Arial"/>
          <w:sz w:val="22"/>
          <w:szCs w:val="22"/>
          <w:color w:val="auto"/>
        </w:rPr>
      </w:pPr>
      <w:r>
        <w:rPr>
          <w:rFonts w:ascii="Arial" w:cs="Arial" w:eastAsia="Arial" w:hAnsi="Arial"/>
          <w:sz w:val="22"/>
          <w:szCs w:val="22"/>
          <w:color w:val="auto"/>
        </w:rPr>
        <w:t>if a Borrower qualifies as a “legal entity customer” under the Beneficial Ownership Regulation, a Beneficial Ownership Certification in relation to such Borrower;</w:t>
      </w:r>
    </w:p>
    <w:p>
      <w:pPr>
        <w:spacing w:after="0" w:line="158" w:lineRule="exact"/>
        <w:rPr>
          <w:rFonts w:ascii="Arial" w:cs="Arial" w:eastAsia="Arial" w:hAnsi="Arial"/>
          <w:sz w:val="22"/>
          <w:szCs w:val="22"/>
          <w:color w:val="auto"/>
        </w:rPr>
      </w:pPr>
    </w:p>
    <w:p>
      <w:pPr>
        <w:ind w:left="620" w:firstLine="968"/>
        <w:spacing w:after="0" w:line="223" w:lineRule="auto"/>
        <w:tabs>
          <w:tab w:leader="none" w:pos="1911" w:val="left"/>
        </w:tabs>
        <w:numPr>
          <w:ilvl w:val="1"/>
          <w:numId w:val="92"/>
        </w:numPr>
        <w:rPr>
          <w:rFonts w:ascii="Arial" w:cs="Arial" w:eastAsia="Arial" w:hAnsi="Arial"/>
          <w:sz w:val="22"/>
          <w:szCs w:val="22"/>
          <w:color w:val="auto"/>
        </w:rPr>
      </w:pPr>
      <w:r>
        <w:rPr>
          <w:rFonts w:ascii="Arial" w:cs="Arial" w:eastAsia="Arial" w:hAnsi="Arial"/>
          <w:sz w:val="22"/>
          <w:szCs w:val="22"/>
          <w:color w:val="auto"/>
        </w:rPr>
        <w:t>an instruction letter by a Responsible Officer of each Borrower, which shall identify the standard settlement instructions and the relevant account(s) to which any applicable payments, deliveries or transfers shall be made pursuant to the Margin Loan Documentation; and</w:t>
      </w:r>
    </w:p>
    <w:p>
      <w:pPr>
        <w:spacing w:after="0" w:line="158" w:lineRule="exact"/>
        <w:rPr>
          <w:rFonts w:ascii="Arial" w:cs="Arial" w:eastAsia="Arial" w:hAnsi="Arial"/>
          <w:sz w:val="22"/>
          <w:szCs w:val="22"/>
          <w:color w:val="auto"/>
        </w:rPr>
      </w:pPr>
    </w:p>
    <w:p>
      <w:pPr>
        <w:ind w:left="1960" w:hanging="372"/>
        <w:spacing w:after="0"/>
        <w:tabs>
          <w:tab w:leader="none" w:pos="1960" w:val="left"/>
        </w:tabs>
        <w:numPr>
          <w:ilvl w:val="1"/>
          <w:numId w:val="92"/>
        </w:numPr>
        <w:rPr>
          <w:rFonts w:ascii="Arial" w:cs="Arial" w:eastAsia="Arial" w:hAnsi="Arial"/>
          <w:sz w:val="22"/>
          <w:szCs w:val="22"/>
          <w:color w:val="auto"/>
        </w:rPr>
      </w:pPr>
      <w:r>
        <w:rPr>
          <w:rFonts w:ascii="Arial" w:cs="Arial" w:eastAsia="Arial" w:hAnsi="Arial"/>
          <w:sz w:val="22"/>
          <w:szCs w:val="22"/>
          <w:color w:val="auto"/>
        </w:rPr>
        <w:t>such other certificates or documents as any Original Lender reasonably may require;</w:t>
      </w:r>
    </w:p>
    <w:p>
      <w:pPr>
        <w:spacing w:after="0" w:line="179" w:lineRule="exact"/>
        <w:rPr>
          <w:rFonts w:ascii="Arial" w:cs="Arial" w:eastAsia="Arial" w:hAnsi="Arial"/>
          <w:sz w:val="22"/>
          <w:szCs w:val="22"/>
          <w:color w:val="auto"/>
        </w:rPr>
      </w:pPr>
    </w:p>
    <w:p>
      <w:pPr>
        <w:jc w:val="both"/>
        <w:ind w:left="-40" w:right="180" w:firstLine="850"/>
        <w:spacing w:after="0" w:line="234" w:lineRule="auto"/>
        <w:tabs>
          <w:tab w:leader="none" w:pos="1243" w:val="left"/>
        </w:tabs>
        <w:numPr>
          <w:ilvl w:val="0"/>
          <w:numId w:val="93"/>
        </w:numPr>
        <w:rPr>
          <w:rFonts w:ascii="Arial" w:cs="Arial" w:eastAsia="Arial" w:hAnsi="Arial"/>
          <w:sz w:val="21"/>
          <w:szCs w:val="21"/>
          <w:color w:val="auto"/>
        </w:rPr>
      </w:pPr>
      <w:r>
        <w:rPr>
          <w:rFonts w:ascii="Arial" w:cs="Arial" w:eastAsia="Arial" w:hAnsi="Arial"/>
          <w:sz w:val="21"/>
          <w:szCs w:val="21"/>
          <w:color w:val="auto"/>
        </w:rPr>
        <w:t>all fees and other amounts due and payable on or prior to the Closing Date, including reimbursement or payment of all reasonable out-of-pocket expenses required to be paid under the Margin Loan Documentation, including the Upfront Fee and counsel fees invoiced prior to the Closing Date, shall have been paid;</w:t>
      </w:r>
    </w:p>
    <w:p>
      <w:pPr>
        <w:spacing w:after="0" w:line="157" w:lineRule="exact"/>
        <w:rPr>
          <w:rFonts w:ascii="Arial" w:cs="Arial" w:eastAsia="Arial" w:hAnsi="Arial"/>
          <w:sz w:val="21"/>
          <w:szCs w:val="21"/>
          <w:color w:val="auto"/>
        </w:rPr>
      </w:pPr>
    </w:p>
    <w:p>
      <w:pPr>
        <w:jc w:val="both"/>
        <w:ind w:left="-40" w:firstLine="850"/>
        <w:spacing w:after="0" w:line="223" w:lineRule="auto"/>
        <w:tabs>
          <w:tab w:leader="none" w:pos="1244" w:val="left"/>
        </w:tabs>
        <w:numPr>
          <w:ilvl w:val="0"/>
          <w:numId w:val="93"/>
        </w:numPr>
        <w:rPr>
          <w:rFonts w:ascii="Arial" w:cs="Arial" w:eastAsia="Arial" w:hAnsi="Arial"/>
          <w:sz w:val="22"/>
          <w:szCs w:val="22"/>
          <w:color w:val="auto"/>
        </w:rPr>
      </w:pPr>
      <w:r>
        <w:rPr>
          <w:rFonts w:ascii="Arial" w:cs="Arial" w:eastAsia="Arial" w:hAnsi="Arial"/>
          <w:sz w:val="22"/>
          <w:szCs w:val="22"/>
          <w:color w:val="auto"/>
        </w:rPr>
        <w:t>each of the representations and warranties contained in Article 3 or in any other Margin Loan Documentation shall be true and correct on and as of the date hereof, the Closing Date, the First Increase Effective Date, the Second Increase Effective Date, the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160"/>
          </w:cols>
          <w:pgMar w:left="360" w:top="1440" w:right="379" w:bottom="1440" w:gutter="0" w:footer="0" w:header="0"/>
        </w:sectPr>
      </w:pPr>
    </w:p>
    <w:bookmarkStart w:id="120" w:name="page121"/>
    <w:bookmarkEnd w:id="120"/>
    <w:p>
      <w:pPr>
        <w:spacing w:after="0" w:line="200" w:lineRule="exact"/>
        <w:rPr>
          <w:sz w:val="20"/>
          <w:szCs w:val="20"/>
          <w:color w:val="auto"/>
        </w:rPr>
      </w:pPr>
    </w:p>
    <w:p>
      <w:pPr>
        <w:spacing w:after="0" w:line="234" w:lineRule="exact"/>
        <w:rPr>
          <w:sz w:val="20"/>
          <w:szCs w:val="20"/>
          <w:color w:val="auto"/>
        </w:rPr>
      </w:pPr>
    </w:p>
    <w:p>
      <w:pPr>
        <w:ind w:right="760"/>
        <w:spacing w:after="0" w:line="298" w:lineRule="auto"/>
        <w:rPr>
          <w:sz w:val="20"/>
          <w:szCs w:val="20"/>
          <w:color w:val="auto"/>
        </w:rPr>
      </w:pPr>
      <w:r>
        <w:rPr>
          <w:rFonts w:ascii="Arial" w:cs="Arial" w:eastAsia="Arial" w:hAnsi="Arial"/>
          <w:sz w:val="19"/>
          <w:szCs w:val="19"/>
          <w:color w:val="auto"/>
        </w:rPr>
        <w:t>Amendment Effective Date and the Fourth Amendment Effective Date, except to the extent that such representations and warranties specifically refer to an earlier date, in which case they shall be true and correct as of such earlier date;</w:t>
      </w:r>
    </w:p>
    <w:p>
      <w:pPr>
        <w:spacing w:after="0" w:line="105" w:lineRule="exact"/>
        <w:rPr>
          <w:sz w:val="20"/>
          <w:szCs w:val="20"/>
          <w:color w:val="auto"/>
        </w:rPr>
      </w:pPr>
    </w:p>
    <w:p>
      <w:pPr>
        <w:ind w:left="1300" w:hanging="450"/>
        <w:spacing w:after="0"/>
        <w:tabs>
          <w:tab w:leader="none" w:pos="13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Collateral Requirement shall have been satisfied in all respects;</w:t>
      </w:r>
    </w:p>
    <w:p>
      <w:pPr>
        <w:spacing w:after="0" w:line="179" w:lineRule="exact"/>
        <w:rPr>
          <w:rFonts w:ascii="Arial" w:cs="Arial" w:eastAsia="Arial" w:hAnsi="Arial"/>
          <w:sz w:val="22"/>
          <w:szCs w:val="22"/>
          <w:color w:val="auto"/>
        </w:rPr>
      </w:pPr>
    </w:p>
    <w:p>
      <w:pPr>
        <w:ind w:firstLine="850"/>
        <w:spacing w:after="0" w:line="268" w:lineRule="auto"/>
        <w:tabs>
          <w:tab w:leader="none" w:pos="1284" w:val="left"/>
        </w:tabs>
        <w:numPr>
          <w:ilvl w:val="0"/>
          <w:numId w:val="94"/>
        </w:numPr>
        <w:rPr>
          <w:rFonts w:ascii="Arial" w:cs="Arial" w:eastAsia="Arial" w:hAnsi="Arial"/>
          <w:sz w:val="19"/>
          <w:szCs w:val="19"/>
          <w:color w:val="auto"/>
        </w:rPr>
      </w:pPr>
      <w:r>
        <w:rPr>
          <w:rFonts w:ascii="Arial" w:cs="Arial" w:eastAsia="Arial" w:hAnsi="Arial"/>
          <w:sz w:val="19"/>
          <w:szCs w:val="19"/>
          <w:color w:val="auto"/>
        </w:rPr>
        <w:t>all applicable “know your customer” and other account opening documentation required by applicable “know your customer” and anti-money laundering rules and regulations, including the information described in Section 9.15, shall have been provided by Borrowers, and each Original Lender shall have completed all applicable “know your customer” procedures; and</w:t>
      </w:r>
    </w:p>
    <w:p>
      <w:pPr>
        <w:spacing w:after="0" w:line="132" w:lineRule="exact"/>
        <w:rPr>
          <w:rFonts w:ascii="Arial" w:cs="Arial" w:eastAsia="Arial" w:hAnsi="Arial"/>
          <w:sz w:val="19"/>
          <w:szCs w:val="19"/>
          <w:color w:val="auto"/>
        </w:rPr>
      </w:pPr>
    </w:p>
    <w:p>
      <w:pPr>
        <w:ind w:firstLine="850"/>
        <w:spacing w:after="0" w:line="223" w:lineRule="auto"/>
        <w:tabs>
          <w:tab w:leader="none" w:pos="1288" w:val="left"/>
        </w:tabs>
        <w:numPr>
          <w:ilvl w:val="0"/>
          <w:numId w:val="94"/>
        </w:numPr>
        <w:rPr>
          <w:rFonts w:ascii="Arial" w:cs="Arial" w:eastAsia="Arial" w:hAnsi="Arial"/>
          <w:sz w:val="22"/>
          <w:szCs w:val="22"/>
          <w:color w:val="auto"/>
        </w:rPr>
      </w:pPr>
      <w:r>
        <w:rPr>
          <w:rFonts w:ascii="Arial" w:cs="Arial" w:eastAsia="Arial" w:hAnsi="Arial"/>
          <w:sz w:val="22"/>
          <w:szCs w:val="22"/>
          <w:color w:val="auto"/>
        </w:rPr>
        <w:t>Administrative Agent shall have received from each Borrower a certificate from a Responsible Officer of such Borrower, dated as of the Closing Date, which shall contain representations that the conditions set forth in Section 4.01(c) and (d) have been satisfied.</w:t>
      </w:r>
    </w:p>
    <w:p>
      <w:pPr>
        <w:spacing w:after="0" w:line="159" w:lineRule="exact"/>
        <w:rPr>
          <w:sz w:val="20"/>
          <w:szCs w:val="20"/>
          <w:color w:val="auto"/>
        </w:rPr>
      </w:pPr>
    </w:p>
    <w:p>
      <w:pPr>
        <w:ind w:right="460" w:firstLine="648"/>
        <w:spacing w:after="0" w:line="232"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i w:val="1"/>
          <w:iCs w:val="1"/>
          <w:color w:val="auto"/>
        </w:rPr>
        <w:t>Conditions Precedent To Each Advance.</w:t>
      </w:r>
      <w:r>
        <w:rPr>
          <w:rFonts w:ascii="Arial" w:cs="Arial" w:eastAsia="Arial" w:hAnsi="Arial"/>
          <w:sz w:val="22"/>
          <w:szCs w:val="22"/>
          <w:color w:val="auto"/>
        </w:rPr>
        <w:t xml:space="preserve"> The obligation of each Lender to make any Advance shall be subject to the following further conditions precedent:</w:t>
      </w:r>
    </w:p>
    <w:p>
      <w:pPr>
        <w:spacing w:after="0" w:line="159" w:lineRule="exact"/>
        <w:rPr>
          <w:sz w:val="20"/>
          <w:szCs w:val="20"/>
          <w:color w:val="auto"/>
        </w:rPr>
      </w:pPr>
    </w:p>
    <w:p>
      <w:pPr>
        <w:ind w:right="20" w:firstLine="850"/>
        <w:spacing w:after="0" w:line="268" w:lineRule="auto"/>
        <w:tabs>
          <w:tab w:leader="none" w:pos="1284" w:val="left"/>
        </w:tabs>
        <w:numPr>
          <w:ilvl w:val="0"/>
          <w:numId w:val="95"/>
        </w:numPr>
        <w:rPr>
          <w:rFonts w:ascii="Arial" w:cs="Arial" w:eastAsia="Arial" w:hAnsi="Arial"/>
          <w:sz w:val="19"/>
          <w:szCs w:val="19"/>
          <w:color w:val="auto"/>
        </w:rPr>
      </w:pPr>
      <w:r>
        <w:rPr>
          <w:rFonts w:ascii="Arial" w:cs="Arial" w:eastAsia="Arial" w:hAnsi="Arial"/>
          <w:sz w:val="19"/>
          <w:szCs w:val="19"/>
          <w:color w:val="auto"/>
        </w:rPr>
        <w:t>each of the representations and warranties contained in Article 3 or in any other Margin Loan Documentation shall be true and correct on and as of the date of such Advance, except to the extent that such representations and warranties specifically refer to an earlier date, in which case they shall be true and correct as of such earlier date;</w:t>
      </w:r>
    </w:p>
    <w:p>
      <w:pPr>
        <w:spacing w:after="0" w:line="132" w:lineRule="exact"/>
        <w:rPr>
          <w:rFonts w:ascii="Arial" w:cs="Arial" w:eastAsia="Arial" w:hAnsi="Arial"/>
          <w:sz w:val="19"/>
          <w:szCs w:val="19"/>
          <w:color w:val="auto"/>
        </w:rPr>
      </w:pPr>
    </w:p>
    <w:p>
      <w:pPr>
        <w:ind w:right="760" w:firstLine="850"/>
        <w:spacing w:after="0" w:line="232" w:lineRule="auto"/>
        <w:tabs>
          <w:tab w:leader="none" w:pos="1283" w:val="left"/>
        </w:tabs>
        <w:numPr>
          <w:ilvl w:val="0"/>
          <w:numId w:val="95"/>
        </w:numPr>
        <w:rPr>
          <w:rFonts w:ascii="Arial" w:cs="Arial" w:eastAsia="Arial" w:hAnsi="Arial"/>
          <w:sz w:val="22"/>
          <w:szCs w:val="22"/>
          <w:color w:val="auto"/>
        </w:rPr>
      </w:pPr>
      <w:r>
        <w:rPr>
          <w:rFonts w:ascii="Arial" w:cs="Arial" w:eastAsia="Arial" w:hAnsi="Arial"/>
          <w:sz w:val="22"/>
          <w:szCs w:val="22"/>
          <w:color w:val="auto"/>
        </w:rPr>
        <w:t>no event or condition shall have resulted in a continuing, or would be reasonably expected to cause, either individually or in the aggregate, a Material Adverse Effect;</w:t>
      </w:r>
    </w:p>
    <w:p>
      <w:pPr>
        <w:spacing w:after="0" w:line="158" w:lineRule="exact"/>
        <w:rPr>
          <w:rFonts w:ascii="Arial" w:cs="Arial" w:eastAsia="Arial" w:hAnsi="Arial"/>
          <w:sz w:val="22"/>
          <w:szCs w:val="22"/>
          <w:color w:val="auto"/>
        </w:rPr>
      </w:pPr>
    </w:p>
    <w:p>
      <w:pPr>
        <w:ind w:left="1300" w:hanging="450"/>
        <w:spacing w:after="0"/>
        <w:tabs>
          <w:tab w:leader="none" w:pos="13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a Borrower shall have delivered a Borrowing Notice in accordance with the requirements hereof;</w:t>
      </w:r>
    </w:p>
    <w:p>
      <w:pPr>
        <w:spacing w:after="0" w:line="179" w:lineRule="exact"/>
        <w:rPr>
          <w:rFonts w:ascii="Arial" w:cs="Arial" w:eastAsia="Arial" w:hAnsi="Arial"/>
          <w:sz w:val="22"/>
          <w:szCs w:val="22"/>
          <w:color w:val="auto"/>
        </w:rPr>
      </w:pPr>
    </w:p>
    <w:p>
      <w:pPr>
        <w:jc w:val="both"/>
        <w:ind w:right="120" w:firstLine="850"/>
        <w:spacing w:after="0" w:line="223" w:lineRule="auto"/>
        <w:tabs>
          <w:tab w:leader="none" w:pos="1283" w:val="left"/>
        </w:tabs>
        <w:numPr>
          <w:ilvl w:val="0"/>
          <w:numId w:val="95"/>
        </w:numPr>
        <w:rPr>
          <w:rFonts w:ascii="Arial" w:cs="Arial" w:eastAsia="Arial" w:hAnsi="Arial"/>
          <w:sz w:val="22"/>
          <w:szCs w:val="22"/>
          <w:color w:val="auto"/>
        </w:rPr>
      </w:pPr>
      <w:r>
        <w:rPr>
          <w:rFonts w:ascii="Arial" w:cs="Arial" w:eastAsia="Arial" w:hAnsi="Arial"/>
          <w:sz w:val="22"/>
          <w:szCs w:val="22"/>
          <w:color w:val="auto"/>
        </w:rPr>
        <w:t>each Lender and each Agent shall have received a certificate of a Responsible Officer of each Borrower dated the date of such Advance certifying that after giving effect thereto, (x) the LTV Level shall not exceed the Initial LTV Level and (y) all types and amounts of Collateral shall be held on a Pro Rata Basis;</w:t>
      </w:r>
    </w:p>
    <w:p>
      <w:pPr>
        <w:spacing w:after="0" w:line="158" w:lineRule="exact"/>
        <w:rPr>
          <w:rFonts w:ascii="Arial" w:cs="Arial" w:eastAsia="Arial" w:hAnsi="Arial"/>
          <w:sz w:val="22"/>
          <w:szCs w:val="22"/>
          <w:color w:val="auto"/>
        </w:rPr>
      </w:pPr>
    </w:p>
    <w:p>
      <w:pPr>
        <w:ind w:right="260" w:firstLine="850"/>
        <w:spacing w:after="0" w:line="223" w:lineRule="auto"/>
        <w:tabs>
          <w:tab w:leader="none" w:pos="1284" w:val="left"/>
        </w:tabs>
        <w:numPr>
          <w:ilvl w:val="0"/>
          <w:numId w:val="95"/>
        </w:numPr>
        <w:rPr>
          <w:rFonts w:ascii="Arial" w:cs="Arial" w:eastAsia="Arial" w:hAnsi="Arial"/>
          <w:sz w:val="22"/>
          <w:szCs w:val="22"/>
          <w:color w:val="auto"/>
        </w:rPr>
      </w:pPr>
      <w:r>
        <w:rPr>
          <w:rFonts w:ascii="Arial" w:cs="Arial" w:eastAsia="Arial" w:hAnsi="Arial"/>
          <w:sz w:val="22"/>
          <w:szCs w:val="22"/>
          <w:color w:val="auto"/>
        </w:rPr>
        <w:t>no Default, Event of Default, Mandatory Prepayment Event, Collateral Call Trigger Event or Adjustment Determination Period shall have occurred and be continuing, or would result from such Advance or from the application of the proceeds therefrom;</w:t>
      </w:r>
    </w:p>
    <w:p>
      <w:pPr>
        <w:spacing w:after="0" w:line="158" w:lineRule="exact"/>
        <w:rPr>
          <w:rFonts w:ascii="Arial" w:cs="Arial" w:eastAsia="Arial" w:hAnsi="Arial"/>
          <w:sz w:val="22"/>
          <w:szCs w:val="22"/>
          <w:color w:val="auto"/>
        </w:rPr>
      </w:pPr>
    </w:p>
    <w:p>
      <w:pPr>
        <w:ind w:left="1300" w:hanging="450"/>
        <w:spacing w:after="0"/>
        <w:tabs>
          <w:tab w:leader="none" w:pos="13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Collateral Requirement shall have been satisfied in all respects;</w:t>
      </w:r>
    </w:p>
    <w:p>
      <w:pPr>
        <w:spacing w:after="0" w:line="179" w:lineRule="exact"/>
        <w:rPr>
          <w:rFonts w:ascii="Arial" w:cs="Arial" w:eastAsia="Arial" w:hAnsi="Arial"/>
          <w:sz w:val="22"/>
          <w:szCs w:val="22"/>
          <w:color w:val="auto"/>
        </w:rPr>
      </w:pPr>
    </w:p>
    <w:p>
      <w:pPr>
        <w:ind w:left="1300" w:hanging="450"/>
        <w:spacing w:after="0"/>
        <w:tabs>
          <w:tab w:leader="none" w:pos="13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LTV Level after giving effect to the proposed Advances shall not exceed the Initial LTV Level;</w:t>
      </w:r>
    </w:p>
    <w:p>
      <w:pPr>
        <w:spacing w:after="0" w:line="179" w:lineRule="exact"/>
        <w:rPr>
          <w:rFonts w:ascii="Arial" w:cs="Arial" w:eastAsia="Arial" w:hAnsi="Arial"/>
          <w:sz w:val="22"/>
          <w:szCs w:val="22"/>
          <w:color w:val="auto"/>
        </w:rPr>
      </w:pPr>
    </w:p>
    <w:p>
      <w:pPr>
        <w:ind w:right="280" w:firstLine="850"/>
        <w:spacing w:after="0" w:line="268" w:lineRule="auto"/>
        <w:tabs>
          <w:tab w:leader="none" w:pos="1283" w:val="left"/>
        </w:tabs>
        <w:numPr>
          <w:ilvl w:val="0"/>
          <w:numId w:val="95"/>
        </w:numPr>
        <w:rPr>
          <w:rFonts w:ascii="Arial" w:cs="Arial" w:eastAsia="Arial" w:hAnsi="Arial"/>
          <w:sz w:val="19"/>
          <w:szCs w:val="19"/>
          <w:color w:val="auto"/>
        </w:rPr>
      </w:pPr>
      <w:r>
        <w:rPr>
          <w:rFonts w:ascii="Arial" w:cs="Arial" w:eastAsia="Arial" w:hAnsi="Arial"/>
          <w:sz w:val="19"/>
          <w:szCs w:val="19"/>
          <w:color w:val="auto"/>
        </w:rPr>
        <w:t>substantially all of each Borrower’s assets (other than any Shares held in accounts of such Borrower (other than the Collateral Accounts) which the Lenders have agreed are no longer Collateral) are comprised of the Collateral and substantially all of each Borrower’s liabilities are those created under the Margin Loan Documentation; and</w:t>
      </w:r>
    </w:p>
    <w:p>
      <w:pPr>
        <w:spacing w:after="0" w:line="132" w:lineRule="exact"/>
        <w:rPr>
          <w:rFonts w:ascii="Arial" w:cs="Arial" w:eastAsia="Arial" w:hAnsi="Arial"/>
          <w:sz w:val="19"/>
          <w:szCs w:val="19"/>
          <w:color w:val="auto"/>
        </w:rPr>
      </w:pPr>
    </w:p>
    <w:p>
      <w:pPr>
        <w:ind w:right="380" w:firstLine="850"/>
        <w:spacing w:after="0" w:line="223" w:lineRule="auto"/>
        <w:tabs>
          <w:tab w:leader="none" w:pos="1289" w:val="left"/>
        </w:tabs>
        <w:numPr>
          <w:ilvl w:val="0"/>
          <w:numId w:val="95"/>
        </w:numPr>
        <w:rPr>
          <w:rFonts w:ascii="Arial" w:cs="Arial" w:eastAsia="Arial" w:hAnsi="Arial"/>
          <w:sz w:val="22"/>
          <w:szCs w:val="22"/>
          <w:color w:val="auto"/>
        </w:rPr>
      </w:pPr>
      <w:r>
        <w:rPr>
          <w:rFonts w:ascii="Arial" w:cs="Arial" w:eastAsia="Arial" w:hAnsi="Arial"/>
          <w:sz w:val="22"/>
          <w:szCs w:val="22"/>
          <w:color w:val="auto"/>
        </w:rPr>
        <w:t>Administrative Agent shall have received from each Borrower a certificate from a Responsible Officer of such Borrower, dated as of the date of such Advance, which shall contain representations that the conditions set forth in Section 4.02(a), (b), (d), (e), (f), (g) and (h)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200" w:lineRule="exact"/>
        <w:rPr>
          <w:sz w:val="20"/>
          <w:szCs w:val="20"/>
          <w:color w:val="auto"/>
        </w:rPr>
      </w:pPr>
    </w:p>
    <w:p>
      <w:pPr>
        <w:spacing w:after="0" w:line="234" w:lineRule="exact"/>
        <w:rPr>
          <w:sz w:val="20"/>
          <w:szCs w:val="20"/>
          <w:color w:val="auto"/>
        </w:rPr>
      </w:pPr>
    </w:p>
    <w:p>
      <w:pPr>
        <w:ind w:right="200"/>
        <w:spacing w:after="0" w:line="232" w:lineRule="auto"/>
        <w:rPr>
          <w:sz w:val="20"/>
          <w:szCs w:val="20"/>
          <w:color w:val="auto"/>
        </w:rPr>
      </w:pPr>
      <w:r>
        <w:rPr>
          <w:rFonts w:ascii="Arial" w:cs="Arial" w:eastAsia="Arial" w:hAnsi="Arial"/>
          <w:sz w:val="22"/>
          <w:szCs w:val="22"/>
          <w:color w:val="auto"/>
        </w:rPr>
        <w:t xml:space="preserve">been satisfied;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this Section 4.02(i) shall be deemed satisfied by the delivery by a Borrower of a Borrowing Notice which is acknowledged and agreed to by the other Borrower.</w:t>
      </w:r>
    </w:p>
    <w:p>
      <w:pPr>
        <w:spacing w:after="0" w:line="159" w:lineRule="exact"/>
        <w:rPr>
          <w:sz w:val="20"/>
          <w:szCs w:val="20"/>
          <w:color w:val="auto"/>
        </w:rPr>
      </w:pPr>
    </w:p>
    <w:p>
      <w:pPr>
        <w:ind w:right="520"/>
        <w:spacing w:after="0" w:line="232" w:lineRule="auto"/>
        <w:rPr>
          <w:sz w:val="20"/>
          <w:szCs w:val="20"/>
          <w:color w:val="auto"/>
        </w:rPr>
      </w:pPr>
      <w:r>
        <w:rPr>
          <w:rFonts w:ascii="Arial" w:cs="Arial" w:eastAsia="Arial" w:hAnsi="Arial"/>
          <w:sz w:val="22"/>
          <w:szCs w:val="22"/>
          <w:color w:val="auto"/>
        </w:rPr>
        <w:t>The borrowing of an Advance shall be deemed to constitute a representation and warranty by Borrowers on the date of such Advance as to the matters specified in Section 4.02(a) through Section 4.02(h).</w:t>
      </w:r>
    </w:p>
    <w:p>
      <w:pPr>
        <w:spacing w:after="0" w:line="14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i w:val="1"/>
          <w:iCs w:val="1"/>
          <w:color w:val="auto"/>
        </w:rPr>
        <w:t xml:space="preserve">Conditions Precedent To the Effectiveness of an Incremental Facility Amendment. </w:t>
      </w:r>
      <w:r>
        <w:rPr>
          <w:rFonts w:ascii="Arial" w:cs="Arial" w:eastAsia="Arial" w:hAnsi="Arial"/>
          <w:sz w:val="19"/>
          <w:szCs w:val="19"/>
          <w:color w:val="auto"/>
        </w:rPr>
        <w:t>The effectiveness of an</w:t>
      </w:r>
    </w:p>
    <w:p>
      <w:pPr>
        <w:spacing w:after="0"/>
        <w:rPr>
          <w:sz w:val="20"/>
          <w:szCs w:val="20"/>
          <w:color w:val="auto"/>
        </w:rPr>
      </w:pPr>
      <w:r>
        <w:rPr>
          <w:rFonts w:ascii="Arial" w:cs="Arial" w:eastAsia="Arial" w:hAnsi="Arial"/>
          <w:sz w:val="21"/>
          <w:szCs w:val="21"/>
          <w:color w:val="auto"/>
        </w:rPr>
        <w:t>Incremental Facility Amendment and any obligation thereunder shall be subject to the following conditions precedent:</w:t>
      </w:r>
    </w:p>
    <w:p>
      <w:pPr>
        <w:spacing w:after="0" w:line="173" w:lineRule="exact"/>
        <w:rPr>
          <w:sz w:val="20"/>
          <w:szCs w:val="20"/>
          <w:color w:val="auto"/>
        </w:rPr>
      </w:pPr>
    </w:p>
    <w:p>
      <w:pPr>
        <w:ind w:left="1300" w:hanging="450"/>
        <w:spacing w:after="0"/>
        <w:tabs>
          <w:tab w:leader="none" w:pos="13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each Lender and each Agent shall have received:</w:t>
      </w:r>
    </w:p>
    <w:p>
      <w:pPr>
        <w:spacing w:after="0" w:line="179" w:lineRule="exact"/>
        <w:rPr>
          <w:rFonts w:ascii="Arial" w:cs="Arial" w:eastAsia="Arial" w:hAnsi="Arial"/>
          <w:sz w:val="22"/>
          <w:szCs w:val="22"/>
          <w:color w:val="auto"/>
        </w:rPr>
      </w:pPr>
    </w:p>
    <w:p>
      <w:pPr>
        <w:ind w:left="660" w:right="1000" w:firstLine="968"/>
        <w:spacing w:after="0" w:line="232" w:lineRule="auto"/>
        <w:tabs>
          <w:tab w:leader="none" w:pos="1944" w:val="left"/>
        </w:tabs>
        <w:numPr>
          <w:ilvl w:val="1"/>
          <w:numId w:val="96"/>
        </w:numPr>
        <w:rPr>
          <w:rFonts w:ascii="Arial" w:cs="Arial" w:eastAsia="Arial" w:hAnsi="Arial"/>
          <w:sz w:val="22"/>
          <w:szCs w:val="22"/>
          <w:color w:val="auto"/>
        </w:rPr>
      </w:pPr>
      <w:r>
        <w:rPr>
          <w:rFonts w:ascii="Arial" w:cs="Arial" w:eastAsia="Arial" w:hAnsi="Arial"/>
          <w:sz w:val="22"/>
          <w:szCs w:val="22"/>
          <w:color w:val="auto"/>
        </w:rPr>
        <w:t>duly executed counterparts of the relevant Incremental Facility Amendment and any documents contemplated thereby which are contemplated to be executed concurrently therewith;</w:t>
      </w:r>
    </w:p>
    <w:p>
      <w:pPr>
        <w:spacing w:after="0" w:line="158" w:lineRule="exact"/>
        <w:rPr>
          <w:rFonts w:ascii="Arial" w:cs="Arial" w:eastAsia="Arial" w:hAnsi="Arial"/>
          <w:sz w:val="22"/>
          <w:szCs w:val="22"/>
          <w:color w:val="auto"/>
        </w:rPr>
      </w:pPr>
    </w:p>
    <w:p>
      <w:pPr>
        <w:ind w:left="1940" w:hanging="312"/>
        <w:spacing w:after="0"/>
        <w:tabs>
          <w:tab w:leader="none" w:pos="1940" w:val="left"/>
        </w:tabs>
        <w:numPr>
          <w:ilvl w:val="1"/>
          <w:numId w:val="96"/>
        </w:numPr>
        <w:rPr>
          <w:rFonts w:ascii="Arial" w:cs="Arial" w:eastAsia="Arial" w:hAnsi="Arial"/>
          <w:sz w:val="19"/>
          <w:szCs w:val="19"/>
          <w:color w:val="auto"/>
        </w:rPr>
      </w:pPr>
      <w:r>
        <w:rPr>
          <w:rFonts w:ascii="Arial" w:cs="Arial" w:eastAsia="Arial" w:hAnsi="Arial"/>
          <w:sz w:val="19"/>
          <w:szCs w:val="19"/>
          <w:color w:val="auto"/>
        </w:rPr>
        <w:t>a favorable opinion of counsel to each Borrower addressed to each Lender and Administrative Agent;</w:t>
      </w:r>
    </w:p>
    <w:p>
      <w:pPr>
        <w:spacing w:after="0" w:line="214" w:lineRule="exact"/>
        <w:rPr>
          <w:sz w:val="20"/>
          <w:szCs w:val="20"/>
          <w:color w:val="auto"/>
        </w:rPr>
      </w:pPr>
    </w:p>
    <w:p>
      <w:pPr>
        <w:ind w:left="660" w:right="260" w:firstLine="972"/>
        <w:spacing w:after="0" w:line="232" w:lineRule="auto"/>
        <w:rPr>
          <w:sz w:val="20"/>
          <w:szCs w:val="20"/>
          <w:color w:val="auto"/>
        </w:rPr>
      </w:pPr>
      <w:r>
        <w:rPr>
          <w:rFonts w:ascii="Arial" w:cs="Arial" w:eastAsia="Arial" w:hAnsi="Arial"/>
          <w:sz w:val="22"/>
          <w:szCs w:val="22"/>
          <w:color w:val="auto"/>
        </w:rPr>
        <w:t>(iii)solvency certificates with respect to the Borrowers, taken as a whole, and Guarantor from a Responsible Officer thereof;</w:t>
      </w:r>
    </w:p>
    <w:p>
      <w:pPr>
        <w:spacing w:after="0" w:line="159" w:lineRule="exact"/>
        <w:rPr>
          <w:sz w:val="20"/>
          <w:szCs w:val="20"/>
          <w:color w:val="auto"/>
        </w:rPr>
      </w:pPr>
    </w:p>
    <w:p>
      <w:pPr>
        <w:jc w:val="both"/>
        <w:ind w:left="660" w:right="140" w:firstLine="972"/>
        <w:spacing w:after="0" w:line="298" w:lineRule="auto"/>
        <w:rPr>
          <w:sz w:val="20"/>
          <w:szCs w:val="20"/>
          <w:color w:val="auto"/>
        </w:rPr>
      </w:pPr>
      <w:r>
        <w:rPr>
          <w:rFonts w:ascii="Arial" w:cs="Arial" w:eastAsia="Arial" w:hAnsi="Arial"/>
          <w:sz w:val="19"/>
          <w:szCs w:val="19"/>
          <w:color w:val="auto"/>
        </w:rPr>
        <w:t>(iv)the results of a recent lien and judgment search in each of the jurisdictions where assets of Borrowers are located, and such search shall reveal no liens or judgments on any of the assets of Borrowers except for Permitted Liens;</w:t>
      </w:r>
    </w:p>
    <w:p>
      <w:pPr>
        <w:spacing w:after="0" w:line="105" w:lineRule="exact"/>
        <w:rPr>
          <w:sz w:val="20"/>
          <w:szCs w:val="20"/>
          <w:color w:val="auto"/>
        </w:rPr>
      </w:pPr>
    </w:p>
    <w:p>
      <w:pPr>
        <w:ind w:left="660" w:right="180" w:firstLine="968"/>
        <w:spacing w:after="0" w:line="232" w:lineRule="auto"/>
        <w:tabs>
          <w:tab w:leader="none" w:pos="1951" w:val="left"/>
        </w:tabs>
        <w:numPr>
          <w:ilvl w:val="0"/>
          <w:numId w:val="97"/>
        </w:numPr>
        <w:rPr>
          <w:rFonts w:ascii="Arial" w:cs="Arial" w:eastAsia="Arial" w:hAnsi="Arial"/>
          <w:sz w:val="22"/>
          <w:szCs w:val="22"/>
          <w:color w:val="auto"/>
        </w:rPr>
      </w:pPr>
      <w:r>
        <w:rPr>
          <w:rFonts w:ascii="Arial" w:cs="Arial" w:eastAsia="Arial" w:hAnsi="Arial"/>
          <w:sz w:val="22"/>
          <w:szCs w:val="22"/>
          <w:color w:val="auto"/>
        </w:rPr>
        <w:t>in respect of an Incremental Commitment, the amount of any fees payable to Additional Lenders and any existing Lenders providing such Incremental Commitment; and</w:t>
      </w:r>
    </w:p>
    <w:p>
      <w:pPr>
        <w:spacing w:after="0" w:line="159" w:lineRule="exact"/>
        <w:rPr>
          <w:sz w:val="20"/>
          <w:szCs w:val="20"/>
          <w:color w:val="auto"/>
        </w:rPr>
      </w:pPr>
    </w:p>
    <w:p>
      <w:pPr>
        <w:ind w:left="660" w:right="60" w:firstLine="972"/>
        <w:spacing w:after="0" w:line="226" w:lineRule="auto"/>
        <w:rPr>
          <w:sz w:val="20"/>
          <w:szCs w:val="20"/>
          <w:color w:val="auto"/>
        </w:rPr>
      </w:pPr>
      <w:r>
        <w:rPr>
          <w:rFonts w:ascii="Arial" w:cs="Arial" w:eastAsia="Arial" w:hAnsi="Arial"/>
          <w:sz w:val="21"/>
          <w:szCs w:val="21"/>
          <w:color w:val="auto"/>
        </w:rPr>
        <w:t>(vi)an amendment to the Guarantee Agreement (or the issuance of a new Guarantee Agreement) (x) extending the Guarantee Termination Date to the date one year from the making of an Incremental Commitment (or providing for such Guarantee Termination Date) and (y) delaying (or providing that) the start date of any period during which the Guarantee Agreement will not be enforced pursuant to the proviso to Section 1.08 of the Guarantee Agreement to (or will be) the date six months from the making of such Incremental Commitment;</w:t>
      </w:r>
    </w:p>
    <w:p>
      <w:pPr>
        <w:spacing w:after="0" w:line="159" w:lineRule="exact"/>
        <w:rPr>
          <w:sz w:val="20"/>
          <w:szCs w:val="20"/>
          <w:color w:val="auto"/>
        </w:rPr>
      </w:pPr>
    </w:p>
    <w:p>
      <w:pPr>
        <w:ind w:firstLine="850"/>
        <w:spacing w:after="0" w:line="268" w:lineRule="auto"/>
        <w:tabs>
          <w:tab w:leader="none" w:pos="1283" w:val="left"/>
        </w:tabs>
        <w:numPr>
          <w:ilvl w:val="0"/>
          <w:numId w:val="98"/>
        </w:numPr>
        <w:rPr>
          <w:rFonts w:ascii="Arial" w:cs="Arial" w:eastAsia="Arial" w:hAnsi="Arial"/>
          <w:sz w:val="19"/>
          <w:szCs w:val="19"/>
          <w:color w:val="auto"/>
        </w:rPr>
      </w:pPr>
      <w:r>
        <w:rPr>
          <w:rFonts w:ascii="Arial" w:cs="Arial" w:eastAsia="Arial" w:hAnsi="Arial"/>
          <w:sz w:val="19"/>
          <w:szCs w:val="19"/>
          <w:color w:val="auto"/>
        </w:rPr>
        <w:t>all applicable “know your customer” and other account opening documentation required by applicable “know your customer” and anti-money laundering rules and regulations, including the information described in Section 9.15, shall have been provided by Borrowers, and each Additional Lender shall have completed all applicable “know your customer” procedures; and</w:t>
      </w:r>
    </w:p>
    <w:p>
      <w:pPr>
        <w:spacing w:after="0" w:line="132" w:lineRule="exact"/>
        <w:rPr>
          <w:rFonts w:ascii="Arial" w:cs="Arial" w:eastAsia="Arial" w:hAnsi="Arial"/>
          <w:sz w:val="19"/>
          <w:szCs w:val="19"/>
          <w:color w:val="auto"/>
        </w:rPr>
      </w:pPr>
    </w:p>
    <w:p>
      <w:pPr>
        <w:ind w:left="1300" w:hanging="450"/>
        <w:spacing w:after="0"/>
        <w:tabs>
          <w:tab w:leader="none" w:pos="1300" w:val="left"/>
        </w:tabs>
        <w:numPr>
          <w:ilvl w:val="0"/>
          <w:numId w:val="98"/>
        </w:numPr>
        <w:rPr>
          <w:rFonts w:ascii="Arial" w:cs="Arial" w:eastAsia="Arial" w:hAnsi="Arial"/>
          <w:sz w:val="22"/>
          <w:szCs w:val="22"/>
          <w:color w:val="auto"/>
        </w:rPr>
      </w:pPr>
      <w:r>
        <w:rPr>
          <w:rFonts w:ascii="Arial" w:cs="Arial" w:eastAsia="Arial" w:hAnsi="Arial"/>
          <w:sz w:val="22"/>
          <w:szCs w:val="22"/>
          <w:color w:val="auto"/>
        </w:rPr>
        <w:t>each Additional Lender and each Agent shall have received:</w:t>
      </w:r>
    </w:p>
    <w:p>
      <w:pPr>
        <w:spacing w:after="0" w:line="179" w:lineRule="exact"/>
        <w:rPr>
          <w:rFonts w:ascii="Arial" w:cs="Arial" w:eastAsia="Arial" w:hAnsi="Arial"/>
          <w:sz w:val="22"/>
          <w:szCs w:val="22"/>
          <w:color w:val="auto"/>
        </w:rPr>
      </w:pPr>
    </w:p>
    <w:p>
      <w:pPr>
        <w:ind w:left="660" w:right="860" w:firstLine="968"/>
        <w:spacing w:after="0" w:line="232" w:lineRule="auto"/>
        <w:tabs>
          <w:tab w:leader="none" w:pos="1944" w:val="left"/>
        </w:tabs>
        <w:numPr>
          <w:ilvl w:val="1"/>
          <w:numId w:val="98"/>
        </w:numPr>
        <w:rPr>
          <w:rFonts w:ascii="Arial" w:cs="Arial" w:eastAsia="Arial" w:hAnsi="Arial"/>
          <w:sz w:val="22"/>
          <w:szCs w:val="22"/>
          <w:color w:val="auto"/>
        </w:rPr>
      </w:pPr>
      <w:r>
        <w:rPr>
          <w:rFonts w:ascii="Arial" w:cs="Arial" w:eastAsia="Arial" w:hAnsi="Arial"/>
          <w:sz w:val="22"/>
          <w:szCs w:val="22"/>
          <w:color w:val="auto"/>
        </w:rPr>
        <w:t>if a Borrower qualifies as a “legal entity customer” under the Beneficial Ownership Regulation, a Beneficial Ownership Certification in relation to such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200" w:lineRule="exact"/>
        <w:rPr>
          <w:sz w:val="20"/>
          <w:szCs w:val="20"/>
          <w:color w:val="auto"/>
        </w:rPr>
      </w:pPr>
    </w:p>
    <w:p>
      <w:pPr>
        <w:spacing w:after="0" w:line="234" w:lineRule="exact"/>
        <w:rPr>
          <w:sz w:val="20"/>
          <w:szCs w:val="20"/>
          <w:color w:val="auto"/>
        </w:rPr>
      </w:pPr>
    </w:p>
    <w:p>
      <w:pPr>
        <w:ind w:left="660" w:right="240" w:firstLine="968"/>
        <w:spacing w:after="0" w:line="232" w:lineRule="auto"/>
        <w:tabs>
          <w:tab w:leader="none" w:pos="1950" w:val="left"/>
        </w:tabs>
        <w:numPr>
          <w:ilvl w:val="0"/>
          <w:numId w:val="99"/>
        </w:numPr>
        <w:rPr>
          <w:rFonts w:ascii="Arial" w:cs="Arial" w:eastAsia="Arial" w:hAnsi="Arial"/>
          <w:sz w:val="22"/>
          <w:szCs w:val="22"/>
          <w:color w:val="auto"/>
        </w:rPr>
      </w:pPr>
      <w:r>
        <w:rPr>
          <w:rFonts w:ascii="Arial" w:cs="Arial" w:eastAsia="Arial" w:hAnsi="Arial"/>
          <w:sz w:val="22"/>
          <w:szCs w:val="22"/>
          <w:color w:val="auto"/>
        </w:rPr>
        <w:t>any form requested by such Additional Lender necessary to comply with Regulation T, Regulation U, or Regulation X, or any other provisions of the regulations of the FRB, including Form U-1;</w:t>
      </w:r>
    </w:p>
    <w:p>
      <w:pPr>
        <w:spacing w:after="0" w:line="159" w:lineRule="exact"/>
        <w:rPr>
          <w:sz w:val="20"/>
          <w:szCs w:val="20"/>
          <w:color w:val="auto"/>
        </w:rPr>
      </w:pPr>
    </w:p>
    <w:p>
      <w:pPr>
        <w:ind w:left="660" w:right="200" w:firstLine="972"/>
        <w:spacing w:after="0" w:line="223" w:lineRule="auto"/>
        <w:rPr>
          <w:sz w:val="20"/>
          <w:szCs w:val="20"/>
          <w:color w:val="auto"/>
        </w:rPr>
      </w:pPr>
      <w:r>
        <w:rPr>
          <w:rFonts w:ascii="Arial" w:cs="Arial" w:eastAsia="Arial" w:hAnsi="Arial"/>
          <w:sz w:val="22"/>
          <w:szCs w:val="22"/>
          <w:color w:val="auto"/>
        </w:rPr>
        <w:t>(iii)proper financing statement(s) (Form UCC-1 or the equivalent) for filing under the UCC or other appropriate filing offices of each jurisdiction as may be necessary to perfect the security interest purported to be created by the Security Agreement;</w:t>
      </w:r>
    </w:p>
    <w:p>
      <w:pPr>
        <w:spacing w:after="0" w:line="159" w:lineRule="exact"/>
        <w:rPr>
          <w:sz w:val="20"/>
          <w:szCs w:val="20"/>
          <w:color w:val="auto"/>
        </w:rPr>
      </w:pPr>
    </w:p>
    <w:p>
      <w:pPr>
        <w:ind w:left="660" w:right="600" w:firstLine="972"/>
        <w:spacing w:after="0" w:line="232" w:lineRule="auto"/>
        <w:rPr>
          <w:sz w:val="20"/>
          <w:szCs w:val="20"/>
          <w:color w:val="auto"/>
        </w:rPr>
      </w:pPr>
      <w:r>
        <w:rPr>
          <w:rFonts w:ascii="Arial" w:cs="Arial" w:eastAsia="Arial" w:hAnsi="Arial"/>
          <w:sz w:val="22"/>
          <w:szCs w:val="22"/>
          <w:color w:val="auto"/>
        </w:rPr>
        <w:t>(iv)evidence that the Collateral Accounts in respect of such Additional Lender have been established by Borrowers; and</w:t>
      </w:r>
    </w:p>
    <w:p>
      <w:pPr>
        <w:spacing w:after="0" w:line="159" w:lineRule="exact"/>
        <w:rPr>
          <w:sz w:val="20"/>
          <w:szCs w:val="20"/>
          <w:color w:val="auto"/>
        </w:rPr>
      </w:pPr>
    </w:p>
    <w:p>
      <w:pPr>
        <w:ind w:left="660" w:right="80" w:firstLine="968"/>
        <w:spacing w:after="0" w:line="214" w:lineRule="auto"/>
        <w:tabs>
          <w:tab w:leader="none" w:pos="195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with respect to such Additional Lender, (i) two duly executed Control Agreements (in a form substantially identical to the other relevant Control Agreements in respect of the existing Lenders), one of which is executed by Borrower 1 and one of which is executed by Borrower 2, (ii) a duly executed joinder to the Security Agreement entered into by such Additional Lender and Borrowers with respect to the Collateral securing the Obligations owing to such Additional Lender and (iii) duly executed joinders to the Issuer Agreements entered into by such Additional Lender and each relevant Issuer.</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5</w:t>
      </w:r>
    </w:p>
    <w:p>
      <w:pPr>
        <w:ind w:left="4640"/>
        <w:spacing w:after="0"/>
        <w:rPr>
          <w:sz w:val="20"/>
          <w:szCs w:val="20"/>
          <w:color w:val="auto"/>
        </w:rPr>
      </w:pPr>
      <w:r>
        <w:rPr>
          <w:rFonts w:ascii="Arial" w:cs="Arial" w:eastAsia="Arial" w:hAnsi="Arial"/>
          <w:sz w:val="22"/>
          <w:szCs w:val="22"/>
          <w:color w:val="auto"/>
        </w:rPr>
        <w:t>Affirmative Covenants</w:t>
      </w:r>
    </w:p>
    <w:p>
      <w:pPr>
        <w:spacing w:after="0" w:line="161" w:lineRule="exact"/>
        <w:rPr>
          <w:sz w:val="20"/>
          <w:szCs w:val="20"/>
          <w:color w:val="auto"/>
        </w:rPr>
      </w:pPr>
    </w:p>
    <w:p>
      <w:pPr>
        <w:ind w:right="160" w:firstLine="648"/>
        <w:spacing w:after="0" w:line="232" w:lineRule="auto"/>
        <w:rPr>
          <w:sz w:val="20"/>
          <w:szCs w:val="20"/>
          <w:color w:val="auto"/>
        </w:rPr>
      </w:pPr>
      <w:r>
        <w:rPr>
          <w:rFonts w:ascii="Arial" w:cs="Arial" w:eastAsia="Arial" w:hAnsi="Arial"/>
          <w:sz w:val="22"/>
          <w:szCs w:val="22"/>
          <w:color w:val="auto"/>
        </w:rPr>
        <w:t>On and after the Closing Date and so long as any Obligations remain outstanding, each Borrower will comply with each of the following covenants.</w:t>
      </w:r>
    </w:p>
    <w:p>
      <w:pPr>
        <w:spacing w:after="0" w:line="14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i w:val="1"/>
          <w:iCs w:val="1"/>
          <w:color w:val="auto"/>
        </w:rPr>
        <w:t xml:space="preserve">Financial Statements. </w:t>
      </w:r>
      <w:r>
        <w:rPr>
          <w:rFonts w:ascii="Arial" w:cs="Arial" w:eastAsia="Arial" w:hAnsi="Arial"/>
          <w:sz w:val="19"/>
          <w:szCs w:val="19"/>
          <w:color w:val="auto"/>
        </w:rPr>
        <w:t>Borrowers will furnish to Administrative Agent or cause to be furnished to</w:t>
      </w:r>
    </w:p>
    <w:p>
      <w:pPr>
        <w:spacing w:after="0"/>
        <w:rPr>
          <w:sz w:val="20"/>
          <w:szCs w:val="20"/>
          <w:color w:val="auto"/>
        </w:rPr>
      </w:pPr>
      <w:r>
        <w:rPr>
          <w:rFonts w:ascii="Arial" w:cs="Arial" w:eastAsia="Arial" w:hAnsi="Arial"/>
          <w:sz w:val="22"/>
          <w:szCs w:val="22"/>
          <w:color w:val="auto"/>
        </w:rPr>
        <w:t>Administrative Agent:</w:t>
      </w:r>
    </w:p>
    <w:p>
      <w:pPr>
        <w:spacing w:after="0" w:line="161" w:lineRule="exact"/>
        <w:rPr>
          <w:sz w:val="20"/>
          <w:szCs w:val="20"/>
          <w:color w:val="auto"/>
        </w:rPr>
      </w:pPr>
    </w:p>
    <w:p>
      <w:pPr>
        <w:ind w:right="20" w:firstLine="850"/>
        <w:spacing w:after="0" w:line="244" w:lineRule="auto"/>
        <w:tabs>
          <w:tab w:leader="none" w:pos="128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within ninety (90) days after the end of each fiscal year of CHI, the audited consolidated financial statements of CHI as of the end of and for such year (in each case, together with any accompanying information delivered to such Person’s shareholders, and in the form delivered to such Person’s shareholders), all reported on by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CHI and its consolidated Subsidiaries on a consolidated basis in accordance with GAAP consistently applied, accompanied by any management letter prepared by said accountants;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financial statements shall be required to be delivered under this Section 5.01(a) so long as CHI is current with its public reporting requirements to the Securities and Exchange Commission;</w:t>
      </w:r>
    </w:p>
    <w:p>
      <w:pPr>
        <w:spacing w:after="0" w:line="160" w:lineRule="exact"/>
        <w:rPr>
          <w:rFonts w:ascii="Arial" w:cs="Arial" w:eastAsia="Arial" w:hAnsi="Arial"/>
          <w:sz w:val="19"/>
          <w:szCs w:val="19"/>
          <w:color w:val="auto"/>
        </w:rPr>
      </w:pPr>
    </w:p>
    <w:p>
      <w:pPr>
        <w:ind w:firstLine="850"/>
        <w:spacing w:after="0" w:line="224" w:lineRule="auto"/>
        <w:tabs>
          <w:tab w:leader="none" w:pos="1283" w:val="left"/>
        </w:tabs>
        <w:numPr>
          <w:ilvl w:val="0"/>
          <w:numId w:val="101"/>
        </w:numPr>
        <w:rPr>
          <w:rFonts w:ascii="Arial" w:cs="Arial" w:eastAsia="Arial" w:hAnsi="Arial"/>
          <w:sz w:val="21"/>
          <w:szCs w:val="21"/>
          <w:color w:val="auto"/>
        </w:rPr>
      </w:pPr>
      <w:r>
        <w:rPr>
          <w:rFonts w:ascii="Arial" w:cs="Arial" w:eastAsia="Arial" w:hAnsi="Arial"/>
          <w:sz w:val="21"/>
          <w:szCs w:val="21"/>
          <w:color w:val="auto"/>
        </w:rPr>
        <w:t xml:space="preserve">within forty-five (45) days after the end of each of the first three fiscal quarters of any fiscal year of CHI, CHI’s unaudited financial statements, all certified by one of its Responsible Officers as presenting fairly in all material respects the financial condition and results of operations of CHI and its consolidated Subsidiaries on a consolidated basis, in accordance with GAAP consistently applied, subject to normal year-end audit adjustments and the absence of footnotes;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such financial statements shall be required to be delivered under this Section 5.01(b) so long as CHI is current with its public reporting requirements to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00"/>
          </w:cols>
          <w:pgMar w:left="320" w:top="1440" w:right="379" w:bottom="1440" w:gutter="0" w:footer="0" w:header="0"/>
        </w:sectPr>
      </w:pPr>
    </w:p>
    <w:bookmarkStart w:id="123" w:name="page124"/>
    <w:bookmarkEnd w:id="123"/>
    <w:p>
      <w:pPr>
        <w:spacing w:after="0" w:line="200" w:lineRule="exact"/>
        <w:rPr>
          <w:sz w:val="20"/>
          <w:szCs w:val="20"/>
          <w:color w:val="auto"/>
        </w:rPr>
      </w:pPr>
    </w:p>
    <w:p>
      <w:pPr>
        <w:spacing w:after="0" w:line="234" w:lineRule="exact"/>
        <w:rPr>
          <w:sz w:val="20"/>
          <w:szCs w:val="20"/>
          <w:color w:val="auto"/>
        </w:rPr>
      </w:pPr>
    </w:p>
    <w:p>
      <w:pPr>
        <w:ind w:right="20" w:firstLine="850"/>
        <w:spacing w:after="0" w:line="214" w:lineRule="auto"/>
        <w:tabs>
          <w:tab w:leader="none" w:pos="128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within twenty (20) days after the end of each fiscal quarter, a certificate of a Responsible Officer of each Borrower certifying as to whether (i) a Default or Mandatory Prepayment Event has occurred or is occurring and setting forth in reasonable detail the assets and liabilities of such Borrower or a statement that substantially all of such Borrower’s assets (other than any Shares held in accounts of such Borrower (other than the Collateral Accounts) which the Lenders have agreed are no longer Collateral) are comprised of the Collateral and substantially all of such Borrower’s liabilities are those created under the Margin Loan Documentation; and</w:t>
      </w:r>
    </w:p>
    <w:p>
      <w:pPr>
        <w:spacing w:after="0" w:line="158" w:lineRule="exact"/>
        <w:rPr>
          <w:rFonts w:ascii="Arial" w:cs="Arial" w:eastAsia="Arial" w:hAnsi="Arial"/>
          <w:sz w:val="22"/>
          <w:szCs w:val="22"/>
          <w:color w:val="auto"/>
        </w:rPr>
      </w:pPr>
    </w:p>
    <w:p>
      <w:pPr>
        <w:ind w:right="40" w:firstLine="850"/>
        <w:spacing w:after="0" w:line="229" w:lineRule="auto"/>
        <w:tabs>
          <w:tab w:leader="none" w:pos="1283" w:val="left"/>
        </w:tabs>
        <w:numPr>
          <w:ilvl w:val="0"/>
          <w:numId w:val="102"/>
        </w:numPr>
        <w:rPr>
          <w:rFonts w:ascii="Arial" w:cs="Arial" w:eastAsia="Arial" w:hAnsi="Arial"/>
          <w:sz w:val="21"/>
          <w:szCs w:val="21"/>
          <w:color w:val="auto"/>
        </w:rPr>
      </w:pPr>
      <w:r>
        <w:rPr>
          <w:rFonts w:ascii="Arial" w:cs="Arial" w:eastAsia="Arial" w:hAnsi="Arial"/>
          <w:sz w:val="21"/>
          <w:szCs w:val="21"/>
          <w:color w:val="auto"/>
        </w:rPr>
        <w:t>concurrently with any delivery of financial statements under Section 5.01(b), a certificate of a Responsible Officer of each Borrower certifying as to whether any relevant change in GAAP or in the application thereof has occurred since the date of the audited financial statements referred to in Section 5.01(a) and, if any such change has occurred, specifying the effect of such change on the financial statements accompanying such certificate.</w:t>
      </w:r>
    </w:p>
    <w:p>
      <w:pPr>
        <w:spacing w:after="0" w:line="158" w:lineRule="exact"/>
        <w:rPr>
          <w:sz w:val="20"/>
          <w:szCs w:val="20"/>
          <w:color w:val="auto"/>
        </w:rPr>
      </w:pPr>
    </w:p>
    <w:p>
      <w:pPr>
        <w:ind w:right="240" w:firstLine="648"/>
        <w:spacing w:after="0" w:line="268" w:lineRule="auto"/>
        <w:rPr>
          <w:sz w:val="20"/>
          <w:szCs w:val="20"/>
          <w:color w:val="auto"/>
        </w:rPr>
      </w:pPr>
      <w:r>
        <w:rPr>
          <w:rFonts w:ascii="Arial" w:cs="Arial" w:eastAsia="Arial" w:hAnsi="Arial"/>
          <w:sz w:val="19"/>
          <w:szCs w:val="19"/>
          <w:color w:val="auto"/>
        </w:rPr>
        <w:t>Each Borrower shall promptly furnish to any Agent or Lender such additional information regarding the business, financial or corporate affairs of such Borrower or, until the Guarantee Termination Date, the Guarantor, or compliance with the terms of the Margin Loan Documentation, as such Agent or Lender may from time to time reasonably request.</w:t>
      </w:r>
    </w:p>
    <w:p>
      <w:pPr>
        <w:spacing w:after="0" w:line="132" w:lineRule="exact"/>
        <w:rPr>
          <w:sz w:val="20"/>
          <w:szCs w:val="20"/>
          <w:color w:val="auto"/>
        </w:rPr>
      </w:pPr>
    </w:p>
    <w:p>
      <w:pPr>
        <w:ind w:right="460" w:firstLine="648"/>
        <w:spacing w:after="0" w:line="223"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Notices Of Material Events.</w:t>
      </w:r>
      <w:r>
        <w:rPr>
          <w:rFonts w:ascii="Arial" w:cs="Arial" w:eastAsia="Arial" w:hAnsi="Arial"/>
          <w:sz w:val="22"/>
          <w:szCs w:val="22"/>
          <w:color w:val="auto"/>
        </w:rPr>
        <w:t xml:space="preserve"> Each Borrower shall as promptly as practicable (or, in the case of Section 5.02(e), within three (3) Business Days as specified below) furnish to Administrative Agent or cause to be furnished to Administrative Agent notice of:</w:t>
      </w:r>
    </w:p>
    <w:p>
      <w:pPr>
        <w:spacing w:after="0" w:line="159" w:lineRule="exact"/>
        <w:rPr>
          <w:sz w:val="20"/>
          <w:szCs w:val="20"/>
          <w:color w:val="auto"/>
        </w:rPr>
      </w:pPr>
    </w:p>
    <w:p>
      <w:pPr>
        <w:ind w:firstLine="850"/>
        <w:spacing w:after="0" w:line="257" w:lineRule="auto"/>
        <w:tabs>
          <w:tab w:leader="none" w:pos="128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occurrence of (i) any Default or Event of Default or the occurrence of, or any pending event or transaction that, if consummated, completed or effected, would constitute or result in a Potential Facility Adjustment Event, Mandatory Prepayment Event, Facility Adjustment Event or Material Adverse Effect or (ii) the receipt of any notice of material violation received by such Borrower or, prior to the Guarantee Termination Date, Guarantor from any Governmental Authority;</w:t>
      </w:r>
    </w:p>
    <w:p>
      <w:pPr>
        <w:spacing w:after="0" w:line="144" w:lineRule="exact"/>
        <w:rPr>
          <w:rFonts w:ascii="Arial" w:cs="Arial" w:eastAsia="Arial" w:hAnsi="Arial"/>
          <w:sz w:val="19"/>
          <w:szCs w:val="19"/>
          <w:color w:val="auto"/>
        </w:rPr>
      </w:pPr>
    </w:p>
    <w:p>
      <w:pPr>
        <w:ind w:right="120" w:firstLine="850"/>
        <w:spacing w:after="0" w:line="209" w:lineRule="auto"/>
        <w:tabs>
          <w:tab w:leader="none" w:pos="1283"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commencement of any proceedings and investigations by or before any Governmental Authority and any actions and proceedings in any court or before any arbitrator against or involving (x) any of such Borrower’s Affiliates or any of its properties, assets or businesses that would reasonably be expected to have a Material Adverse Effect or (y) such Borrower or any of its properties, assets or businesses;</w:t>
      </w:r>
    </w:p>
    <w:p>
      <w:pPr>
        <w:ind w:left="1300" w:hanging="450"/>
        <w:spacing w:after="0"/>
        <w:tabs>
          <w:tab w:leader="none" w:pos="130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 request for release pursuant to Section 2.08;</w:t>
      </w:r>
    </w:p>
    <w:p>
      <w:pPr>
        <w:spacing w:after="0" w:line="161" w:lineRule="exact"/>
        <w:rPr>
          <w:rFonts w:ascii="Arial" w:cs="Arial" w:eastAsia="Arial" w:hAnsi="Arial"/>
          <w:sz w:val="22"/>
          <w:szCs w:val="22"/>
          <w:color w:val="auto"/>
        </w:rPr>
      </w:pPr>
    </w:p>
    <w:p>
      <w:pPr>
        <w:ind w:left="1300" w:hanging="450"/>
        <w:spacing w:after="0"/>
        <w:tabs>
          <w:tab w:leader="none" w:pos="130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Lien (other than Permitted Liens) or claim made or asserted against any of the Collateral;</w:t>
      </w:r>
    </w:p>
    <w:p>
      <w:pPr>
        <w:spacing w:after="0" w:line="179" w:lineRule="exact"/>
        <w:rPr>
          <w:rFonts w:ascii="Arial" w:cs="Arial" w:eastAsia="Arial" w:hAnsi="Arial"/>
          <w:sz w:val="22"/>
          <w:szCs w:val="22"/>
          <w:color w:val="auto"/>
        </w:rPr>
      </w:pPr>
    </w:p>
    <w:p>
      <w:pPr>
        <w:ind w:firstLine="850"/>
        <w:spacing w:after="0" w:line="214" w:lineRule="auto"/>
        <w:tabs>
          <w:tab w:leader="none" w:pos="128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fact that such Borrower or any Affiliate thereof has entered into a Permitted Transaction or a Prohibited Transaction or an amendment to a Permitted Transaction or a Prohibited Transaction, together with the material terms of such Permitted Transaction or Prohibited Transaction and, in the case of a Permitted Transaction, evidence satisfactory to Administrative Agent that such Permitted Transaction complies with the requirements of the Margin Loan Documentation (which shall be delivered within three (3) Business Days after such Permitted Transaction, Prohibited Transaction or amendment of a Permitted Transaction or Prohibited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200" w:lineRule="exact"/>
        <w:rPr>
          <w:sz w:val="20"/>
          <w:szCs w:val="20"/>
          <w:color w:val="auto"/>
        </w:rPr>
      </w:pPr>
    </w:p>
    <w:p>
      <w:pPr>
        <w:spacing w:after="0" w:line="234" w:lineRule="exact"/>
        <w:rPr>
          <w:sz w:val="20"/>
          <w:szCs w:val="20"/>
          <w:color w:val="auto"/>
        </w:rPr>
      </w:pPr>
    </w:p>
    <w:p>
      <w:pPr>
        <w:jc w:val="both"/>
        <w:ind w:right="340" w:firstLine="850"/>
        <w:spacing w:after="0" w:line="223" w:lineRule="auto"/>
        <w:tabs>
          <w:tab w:leader="none" w:pos="128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imposition of any Transfer Restriction (other than DNB Existing Transfer Restrictions and CDAY Existing Transfer Restrictions) on any of the Collateral, or any transaction or event that, if consummated, effected or completed, would reasonably be expected to result in any such imposition; and</w:t>
      </w:r>
    </w:p>
    <w:p>
      <w:pPr>
        <w:spacing w:after="0" w:line="158" w:lineRule="exact"/>
        <w:rPr>
          <w:rFonts w:ascii="Arial" w:cs="Arial" w:eastAsia="Arial" w:hAnsi="Arial"/>
          <w:sz w:val="22"/>
          <w:szCs w:val="22"/>
          <w:color w:val="auto"/>
        </w:rPr>
      </w:pPr>
    </w:p>
    <w:p>
      <w:pPr>
        <w:ind w:firstLine="850"/>
        <w:spacing w:after="0" w:line="252" w:lineRule="auto"/>
        <w:tabs>
          <w:tab w:leader="none" w:pos="1283"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the failure of such Borrower to maintain at least one Independent Director or the removal of any Independent Director without cause (unless promptly replaced with a different Independent Director) or without giving prior written notice to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Borrower shall furnish to Administrative Agent (i) at least five (5) Business Days’ prior written notice of any proposed change to such Borrower’s Independent Director and (ii) as soon as reasonably practicable after receipt thereof, copies of any notices received from any Independent Director and/or the employer of such Independent Director.</w:t>
      </w:r>
    </w:p>
    <w:p>
      <w:pPr>
        <w:spacing w:after="0" w:line="149"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Each notice delivered under this Section 5.02 shall be accompanied by a statement of a Responsible Officer of such Borrower setting forth the details of the event or development requiring such notice and any action taken or proposed to be taken with respect thereto.</w:t>
      </w:r>
    </w:p>
    <w:p>
      <w:pPr>
        <w:spacing w:after="0" w:line="159" w:lineRule="exact"/>
        <w:rPr>
          <w:sz w:val="20"/>
          <w:szCs w:val="20"/>
          <w:color w:val="auto"/>
        </w:rPr>
      </w:pPr>
    </w:p>
    <w:p>
      <w:pPr>
        <w:ind w:right="360" w:firstLine="648"/>
        <w:spacing w:after="0" w:line="257"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i w:val="1"/>
          <w:iCs w:val="1"/>
          <w:color w:val="auto"/>
        </w:rPr>
        <w:t>Existence; Conduct Of Business.</w:t>
      </w:r>
      <w:r>
        <w:rPr>
          <w:rFonts w:ascii="Arial" w:cs="Arial" w:eastAsia="Arial" w:hAnsi="Arial"/>
          <w:sz w:val="19"/>
          <w:szCs w:val="19"/>
          <w:color w:val="auto"/>
        </w:rPr>
        <w:t xml:space="preserve"> Each Borrower shall do or cause to be done all things necessary to preserve, renew and keep in full force and effect its legal existence and the rights, qualifications, licenses, permits, franchises, governmental authorizations and intellectual property rights material to the conduct of its business, and maintain all requisite authority to conduct its business in each jurisdiction in which its business is conducted.</w:t>
      </w:r>
    </w:p>
    <w:p>
      <w:pPr>
        <w:spacing w:after="0" w:line="144" w:lineRule="exact"/>
        <w:rPr>
          <w:sz w:val="20"/>
          <w:szCs w:val="20"/>
          <w:color w:val="auto"/>
        </w:rPr>
      </w:pPr>
    </w:p>
    <w:p>
      <w:pPr>
        <w:ind w:right="380" w:firstLine="648"/>
        <w:spacing w:after="0" w:line="224" w:lineRule="auto"/>
        <w:rPr>
          <w:sz w:val="20"/>
          <w:szCs w:val="20"/>
          <w:color w:val="auto"/>
        </w:rPr>
      </w:pPr>
      <w:r>
        <w:rPr>
          <w:rFonts w:ascii="Arial" w:cs="Arial" w:eastAsia="Arial" w:hAnsi="Arial"/>
          <w:sz w:val="21"/>
          <w:szCs w:val="21"/>
          <w:color w:val="auto"/>
        </w:rPr>
        <w:t xml:space="preserve">Section 5.04 </w:t>
      </w:r>
      <w:r>
        <w:rPr>
          <w:rFonts w:ascii="Arial" w:cs="Arial" w:eastAsia="Arial" w:hAnsi="Arial"/>
          <w:sz w:val="21"/>
          <w:szCs w:val="21"/>
          <w:i w:val="1"/>
          <w:iCs w:val="1"/>
          <w:color w:val="auto"/>
        </w:rPr>
        <w:t>Payment Of Obligations.</w:t>
      </w:r>
      <w:r>
        <w:rPr>
          <w:rFonts w:ascii="Arial" w:cs="Arial" w:eastAsia="Arial" w:hAnsi="Arial"/>
          <w:sz w:val="21"/>
          <w:szCs w:val="21"/>
          <w:color w:val="auto"/>
        </w:rPr>
        <w:t xml:space="preserve"> Each Borrower shall pay and discharge as the same shall become due and payable, all of its obligations and liabilities, as and when due and payable, including all Taxes, assessments, claims and governmental charges or levies imposed upon it or upon its property, except where (a) the validity or amount thereof is being diligently contested in good faith and by appropriate proceedings and (b) the contest, if adversely determined, would not reasonably be expected to subject the Collateral to forfeiture or loss or otherwise have a Material Adverse Effect (after giving effect to any reserves maintained therefor by such Borrower).</w:t>
      </w:r>
    </w:p>
    <w:p>
      <w:pPr>
        <w:spacing w:after="0" w:line="160" w:lineRule="exact"/>
        <w:rPr>
          <w:sz w:val="20"/>
          <w:szCs w:val="20"/>
          <w:color w:val="auto"/>
        </w:rPr>
      </w:pPr>
    </w:p>
    <w:p>
      <w:pPr>
        <w:ind w:right="140" w:firstLine="648"/>
        <w:spacing w:after="0" w:line="214"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i w:val="1"/>
          <w:iCs w:val="1"/>
          <w:color w:val="auto"/>
        </w:rPr>
        <w:t>Compliance With Laws.</w:t>
      </w:r>
      <w:r>
        <w:rPr>
          <w:rFonts w:ascii="Arial" w:cs="Arial" w:eastAsia="Arial" w:hAnsi="Arial"/>
          <w:sz w:val="22"/>
          <w:szCs w:val="22"/>
          <w:color w:val="auto"/>
        </w:rPr>
        <w:t xml:space="preserve"> Each of Borrowers and, until the Guarantee Termination Date, Guarantor shall comply with (a) the requirements of all Laws and all orders, writs, injunctions and decrees applicable to it or its property and (b) all indentures, agreements, contracts and other instruments binding upon each of them or their properties. Each Borrower shall, and shall not take any action that would cause any of such Borrower or its Affiliates to fail to, maintain policies and procedures designed to ensure compliance with Anti-Corruption Laws and applicable Sanctions by such Person and its managers, officers, employees and agents.</w:t>
      </w:r>
    </w:p>
    <w:p>
      <w:pPr>
        <w:spacing w:after="0" w:line="14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5.06</w:t>
      </w:r>
      <w:r>
        <w:rPr>
          <w:sz w:val="20"/>
          <w:szCs w:val="20"/>
          <w:color w:val="auto"/>
        </w:rPr>
        <w:tab/>
      </w:r>
      <w:r>
        <w:rPr>
          <w:rFonts w:ascii="Arial" w:cs="Arial" w:eastAsia="Arial" w:hAnsi="Arial"/>
          <w:sz w:val="19"/>
          <w:szCs w:val="19"/>
          <w:i w:val="1"/>
          <w:iCs w:val="1"/>
          <w:color w:val="auto"/>
        </w:rPr>
        <w:t xml:space="preserve">Provision Of Public Information. </w:t>
      </w:r>
      <w:r>
        <w:rPr>
          <w:rFonts w:ascii="Arial" w:cs="Arial" w:eastAsia="Arial" w:hAnsi="Arial"/>
          <w:sz w:val="19"/>
          <w:szCs w:val="19"/>
          <w:color w:val="auto"/>
        </w:rPr>
        <w:t>Notwithstanding anything to the contrary in the Margin Loan</w:t>
      </w:r>
    </w:p>
    <w:p>
      <w:pPr>
        <w:spacing w:after="0" w:line="237" w:lineRule="auto"/>
        <w:rPr>
          <w:sz w:val="20"/>
          <w:szCs w:val="20"/>
          <w:color w:val="auto"/>
        </w:rPr>
      </w:pPr>
      <w:r>
        <w:rPr>
          <w:rFonts w:ascii="Arial" w:cs="Arial" w:eastAsia="Arial" w:hAnsi="Arial"/>
          <w:sz w:val="19"/>
          <w:szCs w:val="19"/>
          <w:color w:val="auto"/>
        </w:rPr>
        <w:t>Documentation, each Borrower shall not, and shall not be obligated to, and shall cause its Affiliates not to, provide any Agent or</w:t>
      </w:r>
    </w:p>
    <w:p>
      <w:pPr>
        <w:spacing w:after="0" w:line="237" w:lineRule="auto"/>
        <w:rPr>
          <w:sz w:val="20"/>
          <w:szCs w:val="20"/>
          <w:color w:val="auto"/>
        </w:rPr>
      </w:pPr>
      <w:r>
        <w:rPr>
          <w:rFonts w:ascii="Arial" w:cs="Arial" w:eastAsia="Arial" w:hAnsi="Arial"/>
          <w:sz w:val="19"/>
          <w:szCs w:val="19"/>
          <w:color w:val="auto"/>
        </w:rPr>
        <w:t>Lender with any Material Nonpublic Information with respect to the Issuers, their Subsidiaries or their securities in any document</w:t>
      </w:r>
    </w:p>
    <w:p>
      <w:pPr>
        <w:spacing w:after="0" w:line="237" w:lineRule="auto"/>
        <w:rPr>
          <w:sz w:val="20"/>
          <w:szCs w:val="20"/>
          <w:color w:val="auto"/>
        </w:rPr>
      </w:pPr>
      <w:r>
        <w:rPr>
          <w:rFonts w:ascii="Arial" w:cs="Arial" w:eastAsia="Arial" w:hAnsi="Arial"/>
          <w:sz w:val="19"/>
          <w:szCs w:val="19"/>
          <w:color w:val="auto"/>
        </w:rPr>
        <w:t>or notice required to be delivered pursuant to this Agreement or communication in connection with this Agreement (each, a</w:t>
      </w:r>
    </w:p>
    <w:p>
      <w:pPr>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Communication</w:t>
      </w:r>
      <w:r>
        <w:rPr>
          <w:rFonts w:ascii="Arial" w:cs="Arial" w:eastAsia="Arial" w:hAnsi="Arial"/>
          <w:sz w:val="19"/>
          <w:szCs w:val="19"/>
          <w:color w:val="auto"/>
        </w:rPr>
        <w:t>”). Each Borrower shall be deemed to have represented that any such Communication contains no such Material</w:t>
      </w:r>
    </w:p>
    <w:p>
      <w:pPr>
        <w:spacing w:after="0" w:line="214" w:lineRule="auto"/>
        <w:rPr>
          <w:sz w:val="20"/>
          <w:szCs w:val="20"/>
          <w:color w:val="auto"/>
        </w:rPr>
      </w:pPr>
      <w:r>
        <w:rPr>
          <w:rFonts w:ascii="Arial" w:cs="Arial" w:eastAsia="Arial" w:hAnsi="Arial"/>
          <w:sz w:val="21"/>
          <w:szCs w:val="21"/>
          <w:color w:val="auto"/>
        </w:rPr>
        <w:t>Nonpublic Information. If at any time, any Borrower is unable to make the representation required under the immediately</w:t>
      </w:r>
    </w:p>
    <w:p>
      <w:pPr>
        <w:spacing w:after="0" w:line="238" w:lineRule="auto"/>
        <w:rPr>
          <w:sz w:val="20"/>
          <w:szCs w:val="20"/>
          <w:color w:val="auto"/>
        </w:rPr>
      </w:pPr>
      <w:r>
        <w:rPr>
          <w:rFonts w:ascii="Arial" w:cs="Arial" w:eastAsia="Arial" w:hAnsi="Arial"/>
          <w:sz w:val="19"/>
          <w:szCs w:val="19"/>
          <w:color w:val="auto"/>
        </w:rPr>
        <w:t>preceding sentence, it shall use its reasonable best efforts to put itself in a position of being able to provide such a representation</w:t>
      </w:r>
    </w:p>
    <w:p>
      <w:pPr>
        <w:spacing w:after="0"/>
        <w:rPr>
          <w:sz w:val="20"/>
          <w:szCs w:val="20"/>
          <w:color w:val="auto"/>
        </w:rPr>
      </w:pPr>
      <w:r>
        <w:rPr>
          <w:rFonts w:ascii="Arial" w:cs="Arial" w:eastAsia="Arial" w:hAnsi="Arial"/>
          <w:sz w:val="21"/>
          <w:szCs w:val="21"/>
          <w:color w:val="auto"/>
        </w:rPr>
        <w:t>as promptly as practicable. Notwithstanding anything to the contrary in the Margin Loan Documentation, each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00" w:lineRule="exact"/>
        <w:rPr>
          <w:sz w:val="20"/>
          <w:szCs w:val="20"/>
          <w:color w:val="auto"/>
        </w:rPr>
      </w:pPr>
    </w:p>
    <w:p>
      <w:pPr>
        <w:spacing w:after="0" w:line="234" w:lineRule="exact"/>
        <w:rPr>
          <w:sz w:val="20"/>
          <w:szCs w:val="20"/>
          <w:color w:val="auto"/>
        </w:rPr>
      </w:pPr>
    </w:p>
    <w:p>
      <w:pPr>
        <w:ind w:right="180"/>
        <w:spacing w:after="0" w:line="268" w:lineRule="auto"/>
        <w:rPr>
          <w:sz w:val="20"/>
          <w:szCs w:val="20"/>
          <w:color w:val="auto"/>
        </w:rPr>
      </w:pPr>
      <w:r>
        <w:rPr>
          <w:rFonts w:ascii="Arial" w:cs="Arial" w:eastAsia="Arial" w:hAnsi="Arial"/>
          <w:sz w:val="19"/>
          <w:szCs w:val="19"/>
          <w:color w:val="auto"/>
        </w:rPr>
        <w:t>acknowledges and agrees that if any Agent, Lender or any Affiliate of any Agent or Lender receives from such Borrower or any Affiliate thereof any Material Nonpublic Information at any time, such Agent, Lender or Affiliate may disclose such Material Nonpublic Information publicly to any potential purchaser of the Collateral or to any other Person.</w:t>
      </w:r>
    </w:p>
    <w:p>
      <w:pPr>
        <w:spacing w:after="0" w:line="132" w:lineRule="exact"/>
        <w:rPr>
          <w:sz w:val="20"/>
          <w:szCs w:val="20"/>
          <w:color w:val="auto"/>
        </w:rPr>
      </w:pPr>
    </w:p>
    <w:p>
      <w:pPr>
        <w:ind w:right="220" w:firstLine="648"/>
        <w:spacing w:after="0" w:line="247" w:lineRule="auto"/>
        <w:rPr>
          <w:sz w:val="20"/>
          <w:szCs w:val="20"/>
          <w:color w:val="auto"/>
        </w:rPr>
      </w:pPr>
      <w:r>
        <w:rPr>
          <w:rFonts w:ascii="Arial" w:cs="Arial" w:eastAsia="Arial" w:hAnsi="Arial"/>
          <w:sz w:val="21"/>
          <w:szCs w:val="21"/>
          <w:color w:val="auto"/>
        </w:rPr>
        <w:t xml:space="preserve">Section 5.07 </w:t>
      </w:r>
      <w:r>
        <w:rPr>
          <w:rFonts w:ascii="Arial" w:cs="Arial" w:eastAsia="Arial" w:hAnsi="Arial"/>
          <w:sz w:val="21"/>
          <w:szCs w:val="21"/>
          <w:i w:val="1"/>
          <w:iCs w:val="1"/>
          <w:color w:val="auto"/>
        </w:rPr>
        <w:t>Disclosure.</w:t>
      </w:r>
      <w:r>
        <w:rPr>
          <w:rFonts w:ascii="Arial" w:cs="Arial" w:eastAsia="Arial" w:hAnsi="Arial"/>
          <w:sz w:val="21"/>
          <w:szCs w:val="21"/>
          <w:color w:val="auto"/>
        </w:rPr>
        <w:t xml:space="preserve"> Each of Borrowers and Guarantor shall promptly comply with its reporting obligations under Sections 13 and 16 of the Exchange Act in respect of the transactions contemplated hereunder.</w:t>
      </w:r>
    </w:p>
    <w:p>
      <w:pPr>
        <w:spacing w:after="0" w:line="151" w:lineRule="exact"/>
        <w:rPr>
          <w:sz w:val="20"/>
          <w:szCs w:val="20"/>
          <w:color w:val="auto"/>
        </w:rPr>
      </w:pPr>
    </w:p>
    <w:p>
      <w:pPr>
        <w:ind w:right="240" w:firstLine="648"/>
        <w:spacing w:after="0" w:line="216" w:lineRule="auto"/>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i w:val="1"/>
          <w:iCs w:val="1"/>
          <w:color w:val="auto"/>
        </w:rPr>
        <w:t>Payment of PIK</w:t>
      </w:r>
      <w:r>
        <w:rPr>
          <w:rFonts w:ascii="Arial" w:cs="Arial" w:eastAsia="Arial" w:hAnsi="Arial"/>
          <w:sz w:val="22"/>
          <w:szCs w:val="22"/>
          <w:color w:val="auto"/>
        </w:rPr>
        <w:t>. Not later than five (5) Business Days following any payment of dividends on the Collateral Shares into the Collateral Accounts, if the Net PIK Amount is greater than zero Dollars, Borrowers shall cause such Cash to be paid to Lenders, on a Pro Rata Basis, in an aggregate amount equal to the lesser of (x) the amount of such dividends and (y) the amount necessary to reduce the Net PIK Amount to zero Dollars; for the avoidance of doubt, the Net PIK Amount shall be reduced by the aggregate amount of any such payments.</w:t>
      </w:r>
    </w:p>
    <w:p>
      <w:pPr>
        <w:spacing w:after="0" w:line="158" w:lineRule="exact"/>
        <w:rPr>
          <w:sz w:val="20"/>
          <w:szCs w:val="20"/>
          <w:color w:val="auto"/>
        </w:rPr>
      </w:pPr>
    </w:p>
    <w:p>
      <w:pPr>
        <w:ind w:right="160" w:firstLine="648"/>
        <w:spacing w:after="0" w:line="216" w:lineRule="auto"/>
        <w:rPr>
          <w:sz w:val="20"/>
          <w:szCs w:val="20"/>
          <w:color w:val="auto"/>
        </w:rPr>
      </w:pPr>
      <w:r>
        <w:rPr>
          <w:rFonts w:ascii="Arial" w:cs="Arial" w:eastAsia="Arial" w:hAnsi="Arial"/>
          <w:sz w:val="22"/>
          <w:szCs w:val="22"/>
          <w:color w:val="auto"/>
        </w:rPr>
        <w:t xml:space="preserve">Section 5.09 </w:t>
      </w:r>
      <w:r>
        <w:rPr>
          <w:rFonts w:ascii="Arial" w:cs="Arial" w:eastAsia="Arial" w:hAnsi="Arial"/>
          <w:sz w:val="22"/>
          <w:szCs w:val="22"/>
          <w:i w:val="1"/>
          <w:iCs w:val="1"/>
          <w:color w:val="auto"/>
        </w:rPr>
        <w:t>Further Assurances.</w:t>
      </w:r>
      <w:r>
        <w:rPr>
          <w:rFonts w:ascii="Arial" w:cs="Arial" w:eastAsia="Arial" w:hAnsi="Arial"/>
          <w:sz w:val="22"/>
          <w:szCs w:val="22"/>
          <w:color w:val="auto"/>
        </w:rPr>
        <w:t xml:space="preserve"> Upon the request of any Applicable Lender, Borrowers shall execute and/or deliver any additional agreements, documents and instruments, and take such further actions, in each case, as such Applicable Lender may reasonably deem necessary or desirable to assure such Applicable Lender’s Lien on the Collateral is a valid, perfected, first priority Lien (subject to no other Lien, other than Permitted Liens) and to carry out the provisions and purposes of the Margin Loan Documentation.</w:t>
      </w:r>
    </w:p>
    <w:p>
      <w:pPr>
        <w:spacing w:after="0" w:line="158" w:lineRule="exact"/>
        <w:rPr>
          <w:sz w:val="20"/>
          <w:szCs w:val="20"/>
          <w:color w:val="auto"/>
        </w:rPr>
      </w:pPr>
    </w:p>
    <w:p>
      <w:pPr>
        <w:ind w:firstLine="648"/>
        <w:spacing w:after="0" w:line="252"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i w:val="1"/>
          <w:iCs w:val="1"/>
          <w:color w:val="auto"/>
        </w:rPr>
        <w:t>Books And Records.</w:t>
      </w:r>
      <w:r>
        <w:rPr>
          <w:rFonts w:ascii="Arial" w:cs="Arial" w:eastAsia="Arial" w:hAnsi="Arial"/>
          <w:sz w:val="19"/>
          <w:szCs w:val="19"/>
          <w:color w:val="auto"/>
        </w:rPr>
        <w:t xml:space="preserve"> Each Borrower shall keep proper books of record and account in which full, true and correct entries in conformity with GAAP consistently applied are made of all dealings and transactions in relation to its business and activities and, upon any reasonable request of any Agent or Lender from time to time, allow such Agent or Lender to examine and make extracts therefrom of any such information that is not confidential, and make its managers or officers available to discuss such Borrower’s financial condition and affairs with such Agent or Lender from time to time.</w:t>
      </w:r>
    </w:p>
    <w:p>
      <w:pPr>
        <w:spacing w:after="0" w:line="149" w:lineRule="exact"/>
        <w:rPr>
          <w:sz w:val="20"/>
          <w:szCs w:val="20"/>
          <w:color w:val="auto"/>
        </w:rPr>
      </w:pPr>
    </w:p>
    <w:p>
      <w:pPr>
        <w:ind w:right="80" w:firstLine="648"/>
        <w:spacing w:after="0" w:line="222" w:lineRule="auto"/>
        <w:rPr>
          <w:sz w:val="20"/>
          <w:szCs w:val="20"/>
          <w:color w:val="auto"/>
        </w:rPr>
      </w:pPr>
      <w:r>
        <w:rPr>
          <w:rFonts w:ascii="Arial" w:cs="Arial" w:eastAsia="Arial" w:hAnsi="Arial"/>
          <w:sz w:val="21"/>
          <w:szCs w:val="21"/>
          <w:color w:val="auto"/>
        </w:rPr>
        <w:t xml:space="preserve">Section 5.11 </w:t>
      </w:r>
      <w:r>
        <w:rPr>
          <w:rFonts w:ascii="Arial" w:cs="Arial" w:eastAsia="Arial" w:hAnsi="Arial"/>
          <w:sz w:val="21"/>
          <w:szCs w:val="21"/>
          <w:i w:val="1"/>
          <w:iCs w:val="1"/>
          <w:color w:val="auto"/>
        </w:rPr>
        <w:t>Compliance with Organization Documents; Independent Director.</w:t>
      </w:r>
      <w:r>
        <w:rPr>
          <w:rFonts w:ascii="Arial" w:cs="Arial" w:eastAsia="Arial" w:hAnsi="Arial"/>
          <w:sz w:val="21"/>
          <w:szCs w:val="21"/>
          <w:color w:val="auto"/>
        </w:rPr>
        <w:t xml:space="preserve"> Each Borrower shall comply with all of the terms and provisions of such Borrower’s Organization Documents (as in effect on the date hereof, subject to any amendment, supplement, modification or waiver made or given in accordance with Section 6.08). Without limiting the foregoing, each Borrower shall ensure, at all times, that it has an Independent Manager (as defined in such Borrower’s Organization Documents, as in effect on the date hereof, subject to any amendment, supplement, modification or waiver made or given in accordance with Section 6.08), and such Borrower shall pay the fees and expenses under the engagement letter for such “Independent Manager” as and when they become due.</w:t>
      </w:r>
    </w:p>
    <w:p>
      <w:pPr>
        <w:spacing w:after="0" w:line="164" w:lineRule="exact"/>
        <w:rPr>
          <w:sz w:val="20"/>
          <w:szCs w:val="20"/>
          <w:color w:val="auto"/>
        </w:rPr>
      </w:pPr>
    </w:p>
    <w:p>
      <w:pPr>
        <w:ind w:right="220" w:firstLine="648"/>
        <w:spacing w:after="0" w:line="223" w:lineRule="auto"/>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i w:val="1"/>
          <w:iCs w:val="1"/>
          <w:color w:val="auto"/>
        </w:rPr>
        <w:t>ERISA Plan Assets.</w:t>
      </w:r>
      <w:r>
        <w:rPr>
          <w:rFonts w:ascii="Arial" w:cs="Arial" w:eastAsia="Arial" w:hAnsi="Arial"/>
          <w:sz w:val="22"/>
          <w:szCs w:val="22"/>
          <w:color w:val="auto"/>
        </w:rPr>
        <w:t xml:space="preserve"> Each Borrower agrees to notify Administrative Agent immediately in writing if it knows or believes that the assets of such Borrower constitute or would reasonably be expected to constitute assets of an ERISA Plan.</w:t>
      </w:r>
    </w:p>
    <w:p>
      <w:pPr>
        <w:spacing w:after="0" w:line="159" w:lineRule="exact"/>
        <w:rPr>
          <w:sz w:val="20"/>
          <w:szCs w:val="20"/>
          <w:color w:val="auto"/>
        </w:rPr>
      </w:pPr>
    </w:p>
    <w:p>
      <w:pPr>
        <w:jc w:val="both"/>
        <w:ind w:right="140" w:firstLine="648"/>
        <w:spacing w:after="0" w:line="223" w:lineRule="auto"/>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i w:val="1"/>
          <w:iCs w:val="1"/>
          <w:color w:val="auto"/>
        </w:rPr>
        <w:t>Independent Director Fees</w:t>
      </w:r>
      <w:r>
        <w:rPr>
          <w:rFonts w:ascii="Arial" w:cs="Arial" w:eastAsia="Arial" w:hAnsi="Arial"/>
          <w:sz w:val="22"/>
          <w:szCs w:val="22"/>
          <w:color w:val="auto"/>
        </w:rPr>
        <w:t>. Each Borrower will, as soon as reasonably practicable following request from Lender, provide evidence satisfactory to the Lender, that such Borrower is current on the payment of its fees to the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6</w:t>
      </w:r>
    </w:p>
    <w:p>
      <w:pPr>
        <w:ind w:left="4760"/>
        <w:spacing w:after="0"/>
        <w:rPr>
          <w:sz w:val="20"/>
          <w:szCs w:val="20"/>
          <w:color w:val="auto"/>
        </w:rPr>
      </w:pPr>
      <w:r>
        <w:rPr>
          <w:rFonts w:ascii="Arial" w:cs="Arial" w:eastAsia="Arial" w:hAnsi="Arial"/>
          <w:sz w:val="22"/>
          <w:szCs w:val="22"/>
          <w:color w:val="auto"/>
        </w:rPr>
        <w:t>Negative Covenants</w:t>
      </w:r>
    </w:p>
    <w:p>
      <w:pPr>
        <w:spacing w:after="0" w:line="161" w:lineRule="exact"/>
        <w:rPr>
          <w:sz w:val="20"/>
          <w:szCs w:val="20"/>
          <w:color w:val="auto"/>
        </w:rPr>
      </w:pPr>
    </w:p>
    <w:p>
      <w:pPr>
        <w:ind w:right="540" w:firstLine="648"/>
        <w:spacing w:after="0" w:line="298" w:lineRule="auto"/>
        <w:rPr>
          <w:sz w:val="20"/>
          <w:szCs w:val="20"/>
          <w:color w:val="auto"/>
        </w:rPr>
      </w:pPr>
      <w:r>
        <w:rPr>
          <w:rFonts w:ascii="Arial" w:cs="Arial" w:eastAsia="Arial" w:hAnsi="Arial"/>
          <w:sz w:val="19"/>
          <w:szCs w:val="19"/>
          <w:color w:val="auto"/>
        </w:rPr>
        <w:t>On and after the Closing Date and so long as any Lender has a commitment to make an Advance or any Obligations remain outstanding, each of Borrowers and Guarantor will comply with each of the following covenants as applicable.</w:t>
      </w:r>
    </w:p>
    <w:p>
      <w:pPr>
        <w:spacing w:after="0" w:line="105" w:lineRule="exact"/>
        <w:rPr>
          <w:sz w:val="20"/>
          <w:szCs w:val="20"/>
          <w:color w:val="auto"/>
        </w:rPr>
      </w:pPr>
    </w:p>
    <w:p>
      <w:pPr>
        <w:ind w:right="160" w:firstLine="648"/>
        <w:spacing w:after="0" w:line="232"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i w:val="1"/>
          <w:iCs w:val="1"/>
          <w:color w:val="auto"/>
        </w:rPr>
        <w:t>Indebtedness.</w:t>
      </w:r>
      <w:r>
        <w:rPr>
          <w:rFonts w:ascii="Arial" w:cs="Arial" w:eastAsia="Arial" w:hAnsi="Arial"/>
          <w:sz w:val="22"/>
          <w:szCs w:val="22"/>
          <w:color w:val="auto"/>
        </w:rPr>
        <w:t xml:space="preserve"> Borrowers shall not create, incur, assume or suffer to exist any Indebtedness, other than the Obligations under the Margin Loan Documentation.</w:t>
      </w:r>
    </w:p>
    <w:p>
      <w:pPr>
        <w:spacing w:after="0" w:line="159" w:lineRule="exact"/>
        <w:rPr>
          <w:sz w:val="20"/>
          <w:szCs w:val="20"/>
          <w:color w:val="auto"/>
        </w:rPr>
      </w:pPr>
    </w:p>
    <w:p>
      <w:pPr>
        <w:ind w:right="40" w:firstLine="648"/>
        <w:spacing w:after="0" w:line="232"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i w:val="1"/>
          <w:iCs w:val="1"/>
          <w:color w:val="auto"/>
        </w:rPr>
        <w:t>Liens.</w:t>
      </w:r>
      <w:r>
        <w:rPr>
          <w:rFonts w:ascii="Arial" w:cs="Arial" w:eastAsia="Arial" w:hAnsi="Arial"/>
          <w:sz w:val="22"/>
          <w:szCs w:val="22"/>
          <w:color w:val="auto"/>
        </w:rPr>
        <w:t xml:space="preserve"> Borrowers shall not create, incur, assume or suffer to exist any Lien upon the Collateral or any other property or asset, whether now owned or hereafter acquired by Borrowers, except for Permitted Liens.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i w:val="1"/>
          <w:iCs w:val="1"/>
          <w:color w:val="auto"/>
        </w:rPr>
        <w:t>Conduct of Business; Fundamental Changes</w:t>
      </w:r>
      <w:r>
        <w:rPr>
          <w:rFonts w:ascii="Arial" w:cs="Arial" w:eastAsia="Arial" w:hAnsi="Arial"/>
          <w:sz w:val="19"/>
          <w:szCs w:val="19"/>
          <w:color w:val="auto"/>
        </w:rPr>
        <w:t>.</w:t>
      </w:r>
    </w:p>
    <w:p>
      <w:pPr>
        <w:spacing w:after="0" w:line="179" w:lineRule="exact"/>
        <w:rPr>
          <w:sz w:val="20"/>
          <w:szCs w:val="20"/>
          <w:color w:val="auto"/>
        </w:rPr>
      </w:pPr>
    </w:p>
    <w:p>
      <w:pPr>
        <w:ind w:right="40" w:firstLine="850"/>
        <w:spacing w:after="0" w:line="249" w:lineRule="auto"/>
        <w:tabs>
          <w:tab w:leader="none" w:pos="128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Each Borrower shall not: (i) conduct, transact or otherwise engage in, or commit to conduct, transact or otherwise engage in, any activity other than (x) acquiring and holding the Collateral Shares, Cash and Cash Equivalents, and activities incidental thereto or otherwise expressly permitted hereby and (y) accepting capital contributions, making distributions permitted by Section 6.06 and activities incidental to any of the foregoing; (ii) acquire or own any material assets other than the Collateral Shares and Cash and Cash Equivalents; (iii) engage in any business other than businesses of the type conducted by such Borrower on the date of execution of this Agreement; or (iv) change its capital structure.</w:t>
      </w:r>
    </w:p>
    <w:p>
      <w:pPr>
        <w:spacing w:after="0" w:line="178" w:lineRule="exact"/>
        <w:rPr>
          <w:rFonts w:ascii="Arial" w:cs="Arial" w:eastAsia="Arial" w:hAnsi="Arial"/>
          <w:sz w:val="19"/>
          <w:szCs w:val="19"/>
          <w:color w:val="auto"/>
        </w:rPr>
      </w:pPr>
    </w:p>
    <w:p>
      <w:pPr>
        <w:ind w:left="1300" w:hanging="450"/>
        <w:spacing w:after="0"/>
        <w:tabs>
          <w:tab w:leader="none" w:pos="130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Borrowers shall not engage in any merger, consolidation, amalgamation or similar transaction.</w:t>
      </w:r>
    </w:p>
    <w:p>
      <w:pPr>
        <w:spacing w:after="0" w:line="179" w:lineRule="exact"/>
        <w:rPr>
          <w:sz w:val="20"/>
          <w:szCs w:val="20"/>
          <w:color w:val="auto"/>
        </w:rPr>
      </w:pPr>
    </w:p>
    <w:p>
      <w:pPr>
        <w:ind w:right="60" w:firstLine="648"/>
        <w:spacing w:after="0" w:line="223"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i w:val="1"/>
          <w:iCs w:val="1"/>
          <w:color w:val="auto"/>
        </w:rPr>
        <w:t>Asset Sales.</w:t>
      </w:r>
      <w:r>
        <w:rPr>
          <w:rFonts w:ascii="Arial" w:cs="Arial" w:eastAsia="Arial" w:hAnsi="Arial"/>
          <w:sz w:val="22"/>
          <w:szCs w:val="22"/>
          <w:color w:val="auto"/>
        </w:rPr>
        <w:t xml:space="preserve"> Borrowers shall not sell, transfer, lease or otherwise dispose of any asset, except (x) Permitted Collateral Share Sales pursuant to Section 2.08(d)(ii), (y) sales of Cash Equivalents that do not constitute Collateral pursuant to Section 2.08(d)(i) and (z) as otherwise permitted in this Agreement.</w:t>
      </w:r>
    </w:p>
    <w:p>
      <w:pPr>
        <w:spacing w:after="0" w:line="159" w:lineRule="exact"/>
        <w:rPr>
          <w:sz w:val="20"/>
          <w:szCs w:val="20"/>
          <w:color w:val="auto"/>
        </w:rPr>
      </w:pPr>
    </w:p>
    <w:p>
      <w:pPr>
        <w:ind w:right="120" w:firstLine="648"/>
        <w:spacing w:after="0" w:line="249"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i w:val="1"/>
          <w:iCs w:val="1"/>
          <w:color w:val="auto"/>
        </w:rPr>
        <w:t>Investments And Acquisitions.</w:t>
      </w:r>
      <w:r>
        <w:rPr>
          <w:rFonts w:ascii="Arial" w:cs="Arial" w:eastAsia="Arial" w:hAnsi="Arial"/>
          <w:sz w:val="19"/>
          <w:szCs w:val="19"/>
          <w:color w:val="auto"/>
        </w:rPr>
        <w:t xml:space="preserve"> Borrowers shall not purchase, hold or acquire (including pursuant to any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other than holding the Collateral Shares and Cash Equivalents in accordance with the Margin Loan Documentation.</w:t>
      </w:r>
    </w:p>
    <w:p>
      <w:pPr>
        <w:spacing w:after="0" w:line="152"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i w:val="1"/>
          <w:iCs w:val="1"/>
          <w:color w:val="auto"/>
        </w:rPr>
        <w:t>Restricted Payments.</w:t>
      </w:r>
      <w:r>
        <w:rPr>
          <w:rFonts w:ascii="Arial" w:cs="Arial" w:eastAsia="Arial" w:hAnsi="Arial"/>
          <w:sz w:val="22"/>
          <w:szCs w:val="22"/>
          <w:color w:val="auto"/>
        </w:rPr>
        <w:t xml:space="preserve"> Borrowers shall not declare or make, or agree to pay or make any Restricted Payments, or incur any obligation to do so, unless (x) no Default, Event of Default, Mandatory Prepayment Event, Collateral Call Trigger Event or Adjustment Determination Period shall have occurred and be continuing or would result therefrom and (y) the cash, securities or property so paid or distributed does not constitute, and is not required under the Margin Loan Documentation to be posted as,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200" w:lineRule="exact"/>
        <w:rPr>
          <w:sz w:val="20"/>
          <w:szCs w:val="20"/>
          <w:color w:val="auto"/>
        </w:rPr>
      </w:pPr>
    </w:p>
    <w:p>
      <w:pPr>
        <w:spacing w:after="0" w:line="234" w:lineRule="exact"/>
        <w:rPr>
          <w:sz w:val="20"/>
          <w:szCs w:val="20"/>
          <w:color w:val="auto"/>
        </w:rPr>
      </w:pPr>
    </w:p>
    <w:p>
      <w:pPr>
        <w:ind w:right="180" w:firstLine="648"/>
        <w:spacing w:after="0" w:line="298"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i w:val="1"/>
          <w:iCs w:val="1"/>
          <w:color w:val="auto"/>
        </w:rPr>
        <w:t>Investment Company.</w:t>
      </w:r>
      <w:r>
        <w:rPr>
          <w:rFonts w:ascii="Arial" w:cs="Arial" w:eastAsia="Arial" w:hAnsi="Arial"/>
          <w:sz w:val="19"/>
          <w:szCs w:val="19"/>
          <w:color w:val="auto"/>
        </w:rPr>
        <w:t xml:space="preserve"> Each of the Borrowers and, until the Guarantee Termination Date, Guarantor shall not be required to register as an “investment company”, as such terms are defined in the Investment Company Act.</w:t>
      </w:r>
    </w:p>
    <w:p>
      <w:pPr>
        <w:spacing w:after="0" w:line="105" w:lineRule="exact"/>
        <w:rPr>
          <w:sz w:val="20"/>
          <w:szCs w:val="20"/>
          <w:color w:val="auto"/>
        </w:rPr>
      </w:pPr>
    </w:p>
    <w:p>
      <w:pPr>
        <w:ind w:right="20" w:firstLine="648"/>
        <w:spacing w:after="0" w:line="221" w:lineRule="auto"/>
        <w:rPr>
          <w:sz w:val="20"/>
          <w:szCs w:val="20"/>
          <w:color w:val="auto"/>
        </w:rPr>
      </w:pPr>
      <w:r>
        <w:rPr>
          <w:rFonts w:ascii="Arial" w:cs="Arial" w:eastAsia="Arial" w:hAnsi="Arial"/>
          <w:sz w:val="21"/>
          <w:szCs w:val="21"/>
          <w:color w:val="auto"/>
        </w:rPr>
        <w:t xml:space="preserve">Section 6.08 </w:t>
      </w:r>
      <w:r>
        <w:rPr>
          <w:rFonts w:ascii="Arial" w:cs="Arial" w:eastAsia="Arial" w:hAnsi="Arial"/>
          <w:sz w:val="21"/>
          <w:szCs w:val="21"/>
          <w:i w:val="1"/>
          <w:iCs w:val="1"/>
          <w:color w:val="auto"/>
        </w:rPr>
        <w:t>No Amendment Of Organization Documents, Etc.</w:t>
      </w:r>
      <w:r>
        <w:rPr>
          <w:rFonts w:ascii="Arial" w:cs="Arial" w:eastAsia="Arial" w:hAnsi="Arial"/>
          <w:sz w:val="21"/>
          <w:szCs w:val="21"/>
          <w:color w:val="auto"/>
        </w:rPr>
        <w:t xml:space="preserve"> Each Borrower shall not consent to any amendment, supplement or other modification to, or waiver under, its Organization Documents (i) relating to (a) the terms and provisions therein that permit such Borrower to be party to, and perform its obligations under, the Margin Loan Documentation, (b) Section 12 of the limited liability company agreement of such Borrower in effect as of the date hereof (subject to any amendment, supplement or modification thereof, or waiver thereunder in accordance with this Section 6.08) without the written consent of each of the Required Lenders or (c) the Independent Director or the Independent Director Matters without the written consent of Administrative Agent or (ii) if such amendment, supplement, modification or waiver (a) would materially impair or diminish, or circumvent, any term or provision described in immediately preceding clause (i) or (b) would reasonably be expected to result in a Material Adverse Effect.</w:t>
      </w:r>
    </w:p>
    <w:p>
      <w:pPr>
        <w:spacing w:after="0" w:line="159" w:lineRule="exact"/>
        <w:rPr>
          <w:sz w:val="20"/>
          <w:szCs w:val="20"/>
          <w:color w:val="auto"/>
        </w:rPr>
      </w:pPr>
    </w:p>
    <w:p>
      <w:pPr>
        <w:ind w:right="20" w:firstLine="648"/>
        <w:spacing w:after="0" w:line="243" w:lineRule="auto"/>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i w:val="1"/>
          <w:iCs w:val="1"/>
          <w:color w:val="auto"/>
        </w:rPr>
        <w:t>Transactions With Affiliates.</w:t>
      </w:r>
      <w:r>
        <w:rPr>
          <w:rFonts w:ascii="Arial" w:cs="Arial" w:eastAsia="Arial" w:hAnsi="Arial"/>
          <w:sz w:val="19"/>
          <w:szCs w:val="19"/>
          <w:color w:val="auto"/>
        </w:rPr>
        <w:t xml:space="preserve"> Each Borrower shall not sell, lease or otherwise transfer any property or assets to, or purchase, lease or otherwise acquire any property or assets from, or otherwise engage in any other transactions with, any of its Affiliates, other than (i) receiving capital contributions with respect to its Equity Interests, (ii) making Restricted Payments permitted under Section 6.06, (iii) receiving dividends or other distributions on the Collateral Shares or (iv) otherwise in the ordinary course of business and upon commercially reasonable terms no less favorable to such Borrower than would be obtained in a comparable arm’s length transaction with a Person not an Affiliate of such Borrower. Notwithstanding this Section 6.09, Section 6.11 or any other provision of this Agreement, each Borrower and/or its Affiliates may contribute, distribute or otherwise transfer Shares, which are not Collateral Shares, solely between or amongst Borrowers and/or Affiliates of the Borrowers for no cash or other compensation in exchange therefor (and shall not be required to provide notice thereof in accordance with any provision herein, including Section 5.02); for the avoidance of doubt, after any such contribution, distribution or other transfer, the provisions of Section 6.11 of this Agreement shall continue to apply to such Shares.</w:t>
      </w:r>
    </w:p>
    <w:p>
      <w:pPr>
        <w:spacing w:after="0" w:line="159" w:lineRule="exact"/>
        <w:rPr>
          <w:sz w:val="20"/>
          <w:szCs w:val="20"/>
          <w:color w:val="auto"/>
        </w:rPr>
      </w:pPr>
    </w:p>
    <w:p>
      <w:pPr>
        <w:ind w:right="740" w:firstLine="648"/>
        <w:spacing w:after="0" w:line="232" w:lineRule="auto"/>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i w:val="1"/>
          <w:iCs w:val="1"/>
          <w:color w:val="auto"/>
        </w:rPr>
        <w:t>Formation Of Subsidiaries.</w:t>
      </w:r>
      <w:r>
        <w:rPr>
          <w:rFonts w:ascii="Arial" w:cs="Arial" w:eastAsia="Arial" w:hAnsi="Arial"/>
          <w:sz w:val="22"/>
          <w:szCs w:val="22"/>
          <w:color w:val="auto"/>
        </w:rPr>
        <w:t xml:space="preserve"> Borrowers shall not form, create, organize, incorporate or acquire any Subsidiaries.</w:t>
      </w:r>
    </w:p>
    <w:p>
      <w:pPr>
        <w:spacing w:after="0" w:line="159" w:lineRule="exact"/>
        <w:rPr>
          <w:sz w:val="20"/>
          <w:szCs w:val="20"/>
          <w:color w:val="auto"/>
        </w:rPr>
      </w:pPr>
    </w:p>
    <w:p>
      <w:pPr>
        <w:ind w:firstLine="648"/>
        <w:spacing w:after="0" w:line="243"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i w:val="1"/>
          <w:iCs w:val="1"/>
          <w:color w:val="auto"/>
        </w:rPr>
        <w:t>Share Transactions.</w:t>
      </w:r>
      <w:r>
        <w:rPr>
          <w:rFonts w:ascii="Arial" w:cs="Arial" w:eastAsia="Arial" w:hAnsi="Arial"/>
          <w:sz w:val="19"/>
          <w:szCs w:val="19"/>
          <w:color w:val="auto"/>
        </w:rPr>
        <w:t xml:space="preserve"> None of Borrowers or any Affiliates of Borrowers shall enter into (i) any financing transaction (other than the Transactions) secured by any Shares, (ii) any swap or hedge (including by means of a physically- or cash-settled derivative or otherwise) that is economically similar to a financing transaction secured by or referencing any Shares,</w:t>
      </w:r>
    </w:p>
    <w:p>
      <w:pPr>
        <w:spacing w:after="0" w:line="2" w:lineRule="exact"/>
        <w:rPr>
          <w:sz w:val="20"/>
          <w:szCs w:val="20"/>
          <w:color w:val="auto"/>
        </w:rPr>
      </w:pPr>
    </w:p>
    <w:p>
      <w:pPr>
        <w:ind w:right="140" w:firstLine="8"/>
        <w:spacing w:after="0" w:line="212" w:lineRule="auto"/>
        <w:tabs>
          <w:tab w:leader="none" w:pos="37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any issuance of Indebtedness exchangeable into or with a payout referencing the Shares or (iv) any sale or other direct or indirect transfer of any Shares or economic exposure thereto (other than a transfer of Shares which are not Collateral Shares in accordance with the last sentence of Section 6.09), in the case of each of immediately preceding clauses (i), (ii), (iii) and (iv), other than a Permitted Transaction (any such prohibited Transaction described in immediately preceding clauses (i), (ii), (iii) or (iv), a “</w:t>
      </w:r>
      <w:r>
        <w:rPr>
          <w:rFonts w:ascii="Arial" w:cs="Arial" w:eastAsia="Arial" w:hAnsi="Arial"/>
          <w:sz w:val="22"/>
          <w:szCs w:val="22"/>
          <w:b w:val="1"/>
          <w:bCs w:val="1"/>
          <w:i w:val="1"/>
          <w:iCs w:val="1"/>
          <w:color w:val="auto"/>
        </w:rPr>
        <w:t>Prohibited Transaction</w:t>
      </w:r>
      <w:r>
        <w:rPr>
          <w:rFonts w:ascii="Arial" w:cs="Arial" w:eastAsia="Arial" w:hAnsi="Arial"/>
          <w:sz w:val="22"/>
          <w:szCs w:val="22"/>
          <w:color w:val="auto"/>
        </w:rPr>
        <w:t>”).</w:t>
      </w:r>
    </w:p>
    <w:p>
      <w:pPr>
        <w:spacing w:after="0" w:line="1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i w:val="1"/>
          <w:iCs w:val="1"/>
          <w:color w:val="auto"/>
        </w:rPr>
        <w:t>No Impairment of Collateral Shares</w:t>
      </w:r>
      <w:r>
        <w:rPr>
          <w:rFonts w:ascii="Arial" w:cs="Arial" w:eastAsia="Arial" w:hAnsi="Arial"/>
          <w:sz w:val="19"/>
          <w:szCs w:val="19"/>
          <w:color w:val="auto"/>
        </w:rPr>
        <w:t>. Each Borrower shall not, and shall not permit any of its Affiliates to,</w:t>
      </w:r>
    </w:p>
    <w:p>
      <w:pPr>
        <w:ind w:right="160" w:firstLine="8"/>
        <w:spacing w:after="0" w:line="224" w:lineRule="auto"/>
        <w:tabs>
          <w:tab w:leader="none" w:pos="30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take any action that would impair any Applicable Lender’s security interest in the Collateral Shares or its ability to exercise remedies against such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140"/>
          </w:cols>
          <w:pgMar w:left="320" w:top="1440" w:right="439" w:bottom="1440" w:gutter="0" w:footer="0" w:header="0"/>
        </w:sectPr>
      </w:pPr>
    </w:p>
    <w:bookmarkStart w:id="128" w:name="page129"/>
    <w:bookmarkEnd w:id="128"/>
    <w:p>
      <w:pPr>
        <w:spacing w:after="0" w:line="200" w:lineRule="exact"/>
        <w:rPr>
          <w:sz w:val="20"/>
          <w:szCs w:val="20"/>
          <w:color w:val="auto"/>
        </w:rPr>
      </w:pPr>
    </w:p>
    <w:p>
      <w:pPr>
        <w:spacing w:after="0" w:line="234" w:lineRule="exact"/>
        <w:rPr>
          <w:sz w:val="20"/>
          <w:szCs w:val="20"/>
          <w:color w:val="auto"/>
        </w:rPr>
      </w:pPr>
    </w:p>
    <w:p>
      <w:pPr>
        <w:ind w:right="260"/>
        <w:spacing w:after="0" w:line="232" w:lineRule="auto"/>
        <w:rPr>
          <w:sz w:val="20"/>
          <w:szCs w:val="20"/>
          <w:color w:val="auto"/>
        </w:rPr>
      </w:pPr>
      <w:r>
        <w:rPr>
          <w:rFonts w:ascii="Arial" w:cs="Arial" w:eastAsia="Arial" w:hAnsi="Arial"/>
          <w:sz w:val="22"/>
          <w:szCs w:val="22"/>
          <w:color w:val="auto"/>
        </w:rPr>
        <w:t>Shares or (y) transfer any Share to the Collateral Accounts after the Closing Date, except as explicitly required or permitted by the Margin Loan Documentation.</w:t>
      </w:r>
    </w:p>
    <w:p>
      <w:pPr>
        <w:spacing w:after="0" w:line="15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9"/>
          <w:szCs w:val="19"/>
          <w:color w:val="auto"/>
        </w:rPr>
        <w:t xml:space="preserve">Section 6.13 </w:t>
      </w:r>
      <w:r>
        <w:rPr>
          <w:rFonts w:ascii="Arial" w:cs="Arial" w:eastAsia="Arial" w:hAnsi="Arial"/>
          <w:sz w:val="19"/>
          <w:szCs w:val="19"/>
          <w:i w:val="1"/>
          <w:iCs w:val="1"/>
          <w:color w:val="auto"/>
        </w:rPr>
        <w:t>Tax Status.</w:t>
      </w:r>
      <w:r>
        <w:rPr>
          <w:rFonts w:ascii="Arial" w:cs="Arial" w:eastAsia="Arial" w:hAnsi="Arial"/>
          <w:sz w:val="19"/>
          <w:szCs w:val="19"/>
          <w:color w:val="auto"/>
        </w:rPr>
        <w:t xml:space="preserve"> Each Borrower shall not take any action that would change its U.S. federal income tax status. Accordingly, without limitation, no such action shall (i) change such Borrower’s status as an entity disregarded as separate from CHI (or an Affiliate of CHI) as its regarded owner (which is a U.S. Person for U.S. federal income tax purposes) or (ii) subject such Borrower to Tax in any jurisdiction other than the United States or any subdivision thereof.</w:t>
      </w:r>
    </w:p>
    <w:p>
      <w:pPr>
        <w:spacing w:after="0" w:line="144"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i w:val="1"/>
          <w:iCs w:val="1"/>
          <w:color w:val="auto"/>
        </w:rPr>
        <w:t>Agreements</w:t>
      </w:r>
      <w:r>
        <w:rPr>
          <w:rFonts w:ascii="Arial" w:cs="Arial" w:eastAsia="Arial" w:hAnsi="Arial"/>
          <w:sz w:val="19"/>
          <w:szCs w:val="19"/>
          <w:color w:val="auto"/>
        </w:rPr>
        <w:t xml:space="preserve">. (i) Each Borrower shall not enter into any agreement other than (w) its Organization Documents, (x) the Margin Loan Documentation, (y) routine administrative agreements entered into in the ordinary course of its business,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Borrower shall not have any monetary obligations under such administrative agreements exceeding, in the aggregate, $500,000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(excluding any fees or expenses paid on or around the Closing Date or out of the proceeds of the Advances) and (z) any agreement or agreements relating to any Permitted Collateral Share Sales, Permitted Transactions or transactions with Affiliates of such Borrower permitted in accordance with the last sentence of Section 6.09,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immediately preceding clause (z), such Borrower shall not have any obligations thereunder, other than the obligation to deliver Shares against payment of the proceeds therefor to the Collateral Accounts (or as a distribution or other transfer to an Affiliate of such Borrower) or pursuant to other arrangements reasonably satisfactory to each Lender, and (ii) each Borrower shall not, and shall not permit any of its Affiliates to, enter into, or suffer the existence of, any shareholders’ agreement, investor rights agreement or any voting or other contractual restriction with respect to the Collateral Shares other than each Issuer Agreement, the Margin Loan Documentation, the DNB Registration Rights Agreement, the DNB Lock-Up Agreement, the DNB Stock Purchase Agreement, the DNB Voting Agreement, the CDAY Registration Rights Agreement, any agreement entered into pursuant to any Permitted Collateral Share Sale or any Permitted Transaction, or any other such agreement that expressly acknowledges and permits the pledge of the Collateral Shares and the Lender’s rights and remedies under the Margin Loan Documentation, including the foreclosure over any Collateral Shares, a copy of which (or the relevant portion thereof) has been provided to each Lender prior to its effectiveness.</w:t>
      </w:r>
    </w:p>
    <w:p>
      <w:pPr>
        <w:spacing w:after="0" w:line="200" w:lineRule="exact"/>
        <w:rPr>
          <w:sz w:val="20"/>
          <w:szCs w:val="20"/>
          <w:color w:val="auto"/>
        </w:rPr>
      </w:pPr>
    </w:p>
    <w:p>
      <w:pPr>
        <w:spacing w:after="0" w:line="205" w:lineRule="exact"/>
        <w:rPr>
          <w:sz w:val="20"/>
          <w:szCs w:val="20"/>
          <w:color w:val="auto"/>
        </w:rPr>
      </w:pPr>
    </w:p>
    <w:p>
      <w:pPr>
        <w:ind w:right="220" w:firstLine="648"/>
        <w:spacing w:after="0" w:line="252" w:lineRule="auto"/>
        <w:rPr>
          <w:sz w:val="20"/>
          <w:szCs w:val="20"/>
          <w:color w:val="auto"/>
        </w:rPr>
      </w:pPr>
      <w:r>
        <w:rPr>
          <w:rFonts w:ascii="Arial" w:cs="Arial" w:eastAsia="Arial" w:hAnsi="Arial"/>
          <w:sz w:val="19"/>
          <w:szCs w:val="19"/>
          <w:color w:val="auto"/>
        </w:rPr>
        <w:t xml:space="preserve">Section 6.15 </w:t>
      </w:r>
      <w:r>
        <w:rPr>
          <w:rFonts w:ascii="Arial" w:cs="Arial" w:eastAsia="Arial" w:hAnsi="Arial"/>
          <w:sz w:val="19"/>
          <w:szCs w:val="19"/>
          <w:i w:val="1"/>
          <w:iCs w:val="1"/>
          <w:color w:val="auto"/>
        </w:rPr>
        <w:t>Anti-Corruption Laws and Sanctions</w:t>
      </w:r>
      <w:r>
        <w:rPr>
          <w:rFonts w:ascii="Arial" w:cs="Arial" w:eastAsia="Arial" w:hAnsi="Arial"/>
          <w:sz w:val="19"/>
          <w:szCs w:val="19"/>
          <w:color w:val="auto"/>
        </w:rPr>
        <w:t>. Borrowers shall not request any Advance, and Borrowers shall not use the proceeds of any Advance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 Sanctioned Person or in any Sanctioned Country or (c) in any manner that would result in the violation of any Sanctions applicable to any party hereto.</w:t>
      </w:r>
    </w:p>
    <w:p>
      <w:pPr>
        <w:spacing w:after="0" w:line="149" w:lineRule="exact"/>
        <w:rPr>
          <w:sz w:val="20"/>
          <w:szCs w:val="20"/>
          <w:color w:val="auto"/>
        </w:rPr>
      </w:pPr>
    </w:p>
    <w:p>
      <w:pPr>
        <w:ind w:right="140" w:firstLine="648"/>
        <w:spacing w:after="0" w:line="234" w:lineRule="auto"/>
        <w:rPr>
          <w:sz w:val="20"/>
          <w:szCs w:val="20"/>
          <w:color w:val="auto"/>
        </w:rPr>
      </w:pPr>
      <w:r>
        <w:rPr>
          <w:rFonts w:ascii="Arial" w:cs="Arial" w:eastAsia="Arial" w:hAnsi="Arial"/>
          <w:sz w:val="21"/>
          <w:szCs w:val="21"/>
          <w:color w:val="auto"/>
        </w:rPr>
        <w:t xml:space="preserve">Section 6.16 </w:t>
      </w:r>
      <w:r>
        <w:rPr>
          <w:rFonts w:ascii="Arial" w:cs="Arial" w:eastAsia="Arial" w:hAnsi="Arial"/>
          <w:sz w:val="21"/>
          <w:szCs w:val="21"/>
          <w:i w:val="1"/>
          <w:iCs w:val="1"/>
          <w:color w:val="auto"/>
        </w:rPr>
        <w:t>Employee Matters.</w:t>
      </w:r>
      <w:r>
        <w:rPr>
          <w:rFonts w:ascii="Arial" w:cs="Arial" w:eastAsia="Arial" w:hAnsi="Arial"/>
          <w:sz w:val="21"/>
          <w:szCs w:val="21"/>
          <w:color w:val="auto"/>
        </w:rPr>
        <w:t xml:space="preserve"> Each Borrower and its ERISA Affiliates shall not (a) establish, maintain, contribute to or incur any obligation to contribute to any Employee Benefit Plan and (b) fail to satisfy an exception under the Plan Asset Regulations which failure causes the assets of such Borrower to be deemed assets of an ERISA Plan.</w:t>
      </w:r>
    </w:p>
    <w:p>
      <w:pPr>
        <w:spacing w:after="0" w:line="247"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7</w:t>
      </w:r>
    </w:p>
    <w:p>
      <w:pPr>
        <w:ind w:left="4840"/>
        <w:spacing w:after="0"/>
        <w:rPr>
          <w:sz w:val="20"/>
          <w:szCs w:val="20"/>
          <w:color w:val="auto"/>
        </w:rPr>
      </w:pPr>
      <w:r>
        <w:rPr>
          <w:rFonts w:ascii="Arial" w:cs="Arial" w:eastAsia="Arial" w:hAnsi="Arial"/>
          <w:sz w:val="22"/>
          <w:szCs w:val="22"/>
          <w:color w:val="auto"/>
        </w:rPr>
        <w:t>Events Of Default</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i w:val="1"/>
          <w:iCs w:val="1"/>
          <w:color w:val="auto"/>
        </w:rPr>
        <w:t xml:space="preserve">Events Of Default. </w:t>
      </w:r>
      <w:r>
        <w:rPr>
          <w:rFonts w:ascii="Arial" w:cs="Arial" w:eastAsia="Arial" w:hAnsi="Arial"/>
          <w:sz w:val="19"/>
          <w:szCs w:val="19"/>
          <w:color w:val="auto"/>
        </w:rPr>
        <w:t>If any of the following events (“</w:t>
      </w:r>
      <w:r>
        <w:rPr>
          <w:rFonts w:ascii="Arial" w:cs="Arial" w:eastAsia="Arial" w:hAnsi="Arial"/>
          <w:sz w:val="19"/>
          <w:szCs w:val="19"/>
          <w:b w:val="1"/>
          <w:bCs w:val="1"/>
          <w:i w:val="1"/>
          <w:iCs w:val="1"/>
          <w:color w:val="auto"/>
        </w:rPr>
        <w:t>Events of Default</w:t>
      </w:r>
      <w:r>
        <w:rPr>
          <w:rFonts w:ascii="Arial" w:cs="Arial" w:eastAsia="Arial" w:hAnsi="Arial"/>
          <w:sz w:val="19"/>
          <w:szCs w:val="19"/>
          <w:color w:val="auto"/>
        </w:rPr>
        <w:t>”) shall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right="380" w:firstLine="850"/>
        <w:spacing w:after="0" w:line="232" w:lineRule="auto"/>
        <w:tabs>
          <w:tab w:leader="none" w:pos="126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Borrowers shall fail to pay any principal of any Advance when and as the same shall become due and payable, whether at the due date thereof or a date fixed for prepayment thereof or otherwise;</w:t>
      </w:r>
    </w:p>
    <w:p>
      <w:pPr>
        <w:spacing w:after="0" w:line="185" w:lineRule="exact"/>
        <w:rPr>
          <w:rFonts w:ascii="Arial" w:cs="Arial" w:eastAsia="Arial" w:hAnsi="Arial"/>
          <w:sz w:val="22"/>
          <w:szCs w:val="22"/>
          <w:color w:val="auto"/>
        </w:rPr>
      </w:pPr>
    </w:p>
    <w:p>
      <w:pPr>
        <w:ind w:left="-20" w:right="180" w:firstLine="850"/>
        <w:spacing w:after="0" w:line="232" w:lineRule="auto"/>
        <w:tabs>
          <w:tab w:leader="none" w:pos="1263" w:val="left"/>
        </w:tabs>
        <w:numPr>
          <w:ilvl w:val="0"/>
          <w:numId w:val="108"/>
        </w:numPr>
        <w:rPr>
          <w:rFonts w:ascii="Arial" w:cs="Arial" w:eastAsia="Arial" w:hAnsi="Arial"/>
          <w:sz w:val="22"/>
          <w:szCs w:val="22"/>
          <w:color w:val="auto"/>
        </w:rPr>
      </w:pPr>
      <w:r>
        <w:rPr>
          <w:rFonts w:ascii="Arial" w:cs="Arial" w:eastAsia="Arial" w:hAnsi="Arial"/>
          <w:sz w:val="22"/>
          <w:szCs w:val="22"/>
          <w:color w:val="auto"/>
        </w:rPr>
        <w:t>Borrowers shall fail to pay the amounts required to be prepaid pursuant to Section 2.08(b), the Upfront Fee, First Incremental Facility Upfront Fee, Second Incremental Facility Upfront Fee or the Undrawn Fee;</w:t>
      </w:r>
    </w:p>
    <w:p>
      <w:pPr>
        <w:spacing w:after="0" w:line="158" w:lineRule="exact"/>
        <w:rPr>
          <w:rFonts w:ascii="Arial" w:cs="Arial" w:eastAsia="Arial" w:hAnsi="Arial"/>
          <w:sz w:val="22"/>
          <w:szCs w:val="22"/>
          <w:color w:val="auto"/>
        </w:rPr>
      </w:pPr>
    </w:p>
    <w:p>
      <w:pPr>
        <w:ind w:left="-20" w:right="140" w:firstLine="850"/>
        <w:spacing w:after="0" w:line="223" w:lineRule="auto"/>
        <w:tabs>
          <w:tab w:leader="none" w:pos="126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 Collateral Call Trigger Event occurs and is not cured prior to the applicable Cure Time or Extended Cure Time, as applicable, or Borrowers shall fail to deliver a notice within such time or shall fail to satisfy the other requirements of such notice, in each case as set forth in Section 2.08(c);</w:t>
      </w:r>
    </w:p>
    <w:p>
      <w:pPr>
        <w:spacing w:after="0" w:line="158" w:lineRule="exact"/>
        <w:rPr>
          <w:rFonts w:ascii="Arial" w:cs="Arial" w:eastAsia="Arial" w:hAnsi="Arial"/>
          <w:sz w:val="22"/>
          <w:szCs w:val="22"/>
          <w:color w:val="auto"/>
        </w:rPr>
      </w:pPr>
    </w:p>
    <w:p>
      <w:pPr>
        <w:jc w:val="both"/>
        <w:ind w:left="-20" w:right="160" w:firstLine="850"/>
        <w:spacing w:after="0" w:line="257" w:lineRule="auto"/>
        <w:tabs>
          <w:tab w:leader="none" w:pos="1263" w:val="left"/>
        </w:tabs>
        <w:numPr>
          <w:ilvl w:val="0"/>
          <w:numId w:val="108"/>
        </w:numPr>
        <w:rPr>
          <w:rFonts w:ascii="Arial" w:cs="Arial" w:eastAsia="Arial" w:hAnsi="Arial"/>
          <w:sz w:val="19"/>
          <w:szCs w:val="19"/>
          <w:color w:val="auto"/>
        </w:rPr>
      </w:pPr>
      <w:r>
        <w:rPr>
          <w:rFonts w:ascii="Arial" w:cs="Arial" w:eastAsia="Arial" w:hAnsi="Arial"/>
          <w:sz w:val="19"/>
          <w:szCs w:val="19"/>
          <w:color w:val="auto"/>
        </w:rPr>
        <w:t>Borrowers shall fail to pay any interest on any Advance or any other amount (other than an amount referred to in Section 7.01(a) or Section 7.01(b)) payable under this Agreement or under any other Margin Loan Documentation, when and as the same shall become due and payable and upon the expiry of any relevant grace period, and, if the LTV Level at such time is less than the Maintenance LTV Level, such failure shall continue unremedied for a period of three (3) Business Days;</w:t>
      </w:r>
    </w:p>
    <w:p>
      <w:pPr>
        <w:spacing w:after="0" w:line="144" w:lineRule="exact"/>
        <w:rPr>
          <w:rFonts w:ascii="Arial" w:cs="Arial" w:eastAsia="Arial" w:hAnsi="Arial"/>
          <w:sz w:val="19"/>
          <w:szCs w:val="19"/>
          <w:color w:val="auto"/>
        </w:rPr>
      </w:pPr>
    </w:p>
    <w:p>
      <w:pPr>
        <w:ind w:left="-20" w:firstLine="850"/>
        <w:spacing w:after="0" w:line="249" w:lineRule="auto"/>
        <w:tabs>
          <w:tab w:leader="none" w:pos="1264"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or on behalf of a Borrower herein or in connection with this Agreement or any other Margin Loan Documentation or any amendment or modification hereof or thereof or waiver hereunder or thereunder, or in any report, certificate, financial statement or other document furnished pursuant to or in connection with this Agreement or any other Margin Loan Documentation or any amendment or modification hereof or thereof or waiver hereunder or thereunder, shall prove to have been materially incorrect (or any such representation or warranty that is qualified as to materiality shall prove to have been incorrect) when made or deemed made;</w:t>
      </w:r>
    </w:p>
    <w:p>
      <w:pPr>
        <w:spacing w:after="0" w:line="151" w:lineRule="exact"/>
        <w:rPr>
          <w:rFonts w:ascii="Arial" w:cs="Arial" w:eastAsia="Arial" w:hAnsi="Arial"/>
          <w:sz w:val="19"/>
          <w:szCs w:val="19"/>
          <w:color w:val="auto"/>
        </w:rPr>
      </w:pPr>
    </w:p>
    <w:p>
      <w:pPr>
        <w:ind w:left="-20" w:right="160" w:firstLine="850"/>
        <w:spacing w:after="0" w:line="232" w:lineRule="auto"/>
        <w:tabs>
          <w:tab w:leader="none" w:pos="1268"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Borrowers (or, in the case of clause (ii) below, until the Guarantee Termination Date, the Guarantor) shall fail to perform or observe:</w:t>
      </w:r>
    </w:p>
    <w:p>
      <w:pPr>
        <w:spacing w:after="0" w:line="159" w:lineRule="exact"/>
        <w:rPr>
          <w:sz w:val="20"/>
          <w:szCs w:val="20"/>
          <w:color w:val="auto"/>
        </w:rPr>
      </w:pPr>
    </w:p>
    <w:p>
      <w:pPr>
        <w:ind w:left="840" w:right="280" w:hanging="10"/>
        <w:spacing w:after="0" w:line="232" w:lineRule="auto"/>
        <w:tabs>
          <w:tab w:leader="none" w:pos="1098"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any covenant, condition or agreement in Section 5.01, Section 5.02, Section 5.03, Section 5.13 or Article 6 of this Agreement;</w:t>
      </w:r>
    </w:p>
    <w:p>
      <w:pPr>
        <w:spacing w:after="0" w:line="158" w:lineRule="exact"/>
        <w:rPr>
          <w:rFonts w:ascii="Arial" w:cs="Arial" w:eastAsia="Arial" w:hAnsi="Arial"/>
          <w:sz w:val="22"/>
          <w:szCs w:val="22"/>
          <w:color w:val="auto"/>
        </w:rPr>
      </w:pPr>
    </w:p>
    <w:p>
      <w:pPr>
        <w:ind w:left="1140" w:hanging="310"/>
        <w:spacing w:after="0"/>
        <w:tabs>
          <w:tab w:leader="none" w:pos="114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any covenant, condition or agreement of Guarantor in the Guarantee Agreement and such failure continues for two</w:t>
      </w:r>
    </w:p>
    <w:p>
      <w:pPr>
        <w:spacing w:after="0" w:line="15" w:lineRule="exact"/>
        <w:rPr>
          <w:rFonts w:ascii="Arial" w:cs="Arial" w:eastAsia="Arial" w:hAnsi="Arial"/>
          <w:sz w:val="19"/>
          <w:szCs w:val="19"/>
          <w:color w:val="auto"/>
        </w:rPr>
      </w:pPr>
    </w:p>
    <w:p>
      <w:pPr>
        <w:ind w:left="840" w:right="800"/>
        <w:spacing w:after="0" w:line="278" w:lineRule="auto"/>
        <w:rPr>
          <w:rFonts w:ascii="Arial" w:cs="Arial" w:eastAsia="Arial" w:hAnsi="Arial"/>
          <w:sz w:val="19"/>
          <w:szCs w:val="19"/>
          <w:color w:val="auto"/>
        </w:rPr>
      </w:pPr>
      <w:r>
        <w:rPr>
          <w:rFonts w:ascii="Arial" w:cs="Arial" w:eastAsia="Arial" w:hAnsi="Arial"/>
          <w:sz w:val="19"/>
          <w:szCs w:val="19"/>
          <w:color w:val="auto"/>
        </w:rPr>
        <w:t>(2) Business Days following the earlier of (x) the date on which Guarantor receives notice of such failure from Administrative Agent and (y) the date on which Guarantor otherwise becomes aware of such failure; or</w:t>
      </w:r>
    </w:p>
    <w:p>
      <w:pPr>
        <w:spacing w:after="0" w:line="123" w:lineRule="exact"/>
        <w:rPr>
          <w:rFonts w:ascii="Arial" w:cs="Arial" w:eastAsia="Arial" w:hAnsi="Arial"/>
          <w:sz w:val="19"/>
          <w:szCs w:val="19"/>
          <w:color w:val="auto"/>
        </w:rPr>
      </w:pPr>
    </w:p>
    <w:p>
      <w:pPr>
        <w:ind w:left="840" w:hanging="10"/>
        <w:spacing w:after="0" w:line="229" w:lineRule="auto"/>
        <w:tabs>
          <w:tab w:leader="none" w:pos="1218" w:val="left"/>
        </w:tabs>
        <w:numPr>
          <w:ilvl w:val="0"/>
          <w:numId w:val="109"/>
        </w:numPr>
        <w:rPr>
          <w:rFonts w:ascii="Arial" w:cs="Arial" w:eastAsia="Arial" w:hAnsi="Arial"/>
          <w:sz w:val="21"/>
          <w:szCs w:val="21"/>
          <w:color w:val="auto"/>
        </w:rPr>
      </w:pPr>
      <w:r>
        <w:rPr>
          <w:rFonts w:ascii="Arial" w:cs="Arial" w:eastAsia="Arial" w:hAnsi="Arial"/>
          <w:sz w:val="21"/>
          <w:szCs w:val="21"/>
          <w:color w:val="auto"/>
        </w:rPr>
        <w:t>any other covenant, condition or agreement in this Agreement or any other Margin Loan Documentation and, in the case of this clause (iii), such failure shall continue unremedied for a period of ten (10) Business Days following the earlier of (x) the date on which the Borrowers receive notice of such failure from Administrative Agent and (y) the date on which the Borrowers otherwise become aware of such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00"/>
          </w:cols>
          <w:pgMar w:left="340" w:top="1440" w:right="359" w:bottom="1440" w:gutter="0" w:footer="0" w:header="0"/>
        </w:sectPr>
      </w:pPr>
    </w:p>
    <w:bookmarkStart w:id="130" w:name="page131"/>
    <w:bookmarkEnd w:id="130"/>
    <w:p>
      <w:pPr>
        <w:spacing w:after="0" w:line="200" w:lineRule="exact"/>
        <w:rPr>
          <w:sz w:val="20"/>
          <w:szCs w:val="20"/>
          <w:color w:val="auto"/>
        </w:rPr>
      </w:pPr>
    </w:p>
    <w:p>
      <w:pPr>
        <w:spacing w:after="0" w:line="234" w:lineRule="exact"/>
        <w:rPr>
          <w:sz w:val="20"/>
          <w:szCs w:val="20"/>
          <w:color w:val="auto"/>
        </w:rPr>
      </w:pPr>
    </w:p>
    <w:p>
      <w:pPr>
        <w:ind w:left="-8" w:firstLine="850"/>
        <w:spacing w:after="0" w:line="242" w:lineRule="auto"/>
        <w:tabs>
          <w:tab w:leader="none" w:pos="1275" w:val="left"/>
        </w:tabs>
        <w:numPr>
          <w:ilvl w:val="1"/>
          <w:numId w:val="110"/>
        </w:numPr>
        <w:rPr>
          <w:rFonts w:ascii="Arial" w:cs="Arial" w:eastAsia="Arial" w:hAnsi="Arial"/>
          <w:sz w:val="19"/>
          <w:szCs w:val="19"/>
          <w:color w:val="auto"/>
        </w:rPr>
      </w:pPr>
      <w:r>
        <w:rPr>
          <w:rFonts w:ascii="Arial" w:cs="Arial" w:eastAsia="Arial" w:hAnsi="Arial"/>
          <w:sz w:val="19"/>
          <w:szCs w:val="19"/>
          <w:color w:val="auto"/>
        </w:rPr>
        <w:t>(x) a Borrower or, until the Guarantee Termination Date, Guarantor fails to make any payment (whether of principal or interest and regardless of amount) in respect of any Material Indebtedness, when and as the same shall become due and payable; (y) any event or condition occurs that results in any Material Indebtedness of a Borrower or, until the Guarantee Termination Date, Guarantor becoming due prior to its scheduled maturity or that enables or permits (with or without the giving of notice, the lapse of time or both) the holder or holders of any such Material Indebtedness or any trustee or agent on its or their behalf to cause any such Material Indebtedness to become due, or to require the prepayment, repurchase, redemption or defeasance thereof, prior to its scheduled maturity; or (z) there occurs under any Swap Contract an early termination date resulting from (A) any event of default under such Swap Contract as to which a Borrower or, until the Guarantee Termination Date, Guarantor is the defaulting party (however designated) or (B) any termination event (however designated) under such Swap Contract as to which a Borrower or, until the Guarantee Termination Date, Guarantor is an affected party (however designated) and, in either event, the Swap Termination Value owed by such Borrower or, until the Guarantee Termination Date, Guarantor as a result thereof is greater than the Threshold Amount.</w:t>
      </w:r>
    </w:p>
    <w:p>
      <w:pPr>
        <w:spacing w:after="0" w:line="164" w:lineRule="exact"/>
        <w:rPr>
          <w:rFonts w:ascii="Arial" w:cs="Arial" w:eastAsia="Arial" w:hAnsi="Arial"/>
          <w:sz w:val="19"/>
          <w:szCs w:val="19"/>
          <w:color w:val="auto"/>
        </w:rPr>
      </w:pPr>
    </w:p>
    <w:p>
      <w:pPr>
        <w:ind w:left="-8" w:right="20" w:firstLine="850"/>
        <w:spacing w:after="0" w:line="242" w:lineRule="auto"/>
        <w:tabs>
          <w:tab w:leader="none" w:pos="1275" w:val="left"/>
        </w:tabs>
        <w:numPr>
          <w:ilvl w:val="1"/>
          <w:numId w:val="110"/>
        </w:numPr>
        <w:rPr>
          <w:rFonts w:ascii="Arial" w:cs="Arial" w:eastAsia="Arial" w:hAnsi="Arial"/>
          <w:sz w:val="19"/>
          <w:szCs w:val="19"/>
          <w:color w:val="auto"/>
        </w:rPr>
      </w:pPr>
      <w:r>
        <w:rPr>
          <w:rFonts w:ascii="Arial" w:cs="Arial" w:eastAsia="Arial" w:hAnsi="Arial"/>
          <w:sz w:val="19"/>
          <w:szCs w:val="19"/>
          <w:color w:val="auto"/>
        </w:rPr>
        <w:t>(i) a Borrower or, until the Guarantee Termination Date, Guarantor (1) becomes unable or admits in writing its inability or fails generally to pay its debts as they become due, (2) institutes or consents to the institution of any proceeding under any Debtor Relief Law, (3) makes an assignment for the benefit of creditors or (4) applies for or consents to the appointment of any receiver, trustee, custodian, conservator, liquidator, rehabilitator or similar officer for it or for all or any material part of its property; (ii) any receiver, trustee, custodian, conservator, liquidator, rehabilitator or similar officer is appointed with respect to a Borrower or, until the Guarantee Termination Date, Guarantor without the application or consent of such Borrower or, until the Guarantee Termination Date, Guarantor, respectively, and the appointment continues undischarged or unstayed for fifteen (15) calendar days; (iii) any proceeding under any Debtor Relief Law relating to a Borrower or, until the Guarantee Termination Date, Guarantor or to all or any material part of its property is instituted without the consent of such Borrower or, until the Guarantee Termination Date, Guarantor, respectively, and continues undismissed or unstayed for fifteen (15) calendar days, or an order for relief is entered in any such proceeding; or (iv) a Borrower or, until the Guarantee Termination Date, Guarantor or any Affiliate thereof shall take any action to authorize any of the actions set forth above in this Section 7.01(h);</w:t>
      </w:r>
    </w:p>
    <w:p>
      <w:pPr>
        <w:spacing w:after="0" w:line="164" w:lineRule="exact"/>
        <w:rPr>
          <w:rFonts w:ascii="Arial" w:cs="Arial" w:eastAsia="Arial" w:hAnsi="Arial"/>
          <w:sz w:val="19"/>
          <w:szCs w:val="19"/>
          <w:color w:val="auto"/>
        </w:rPr>
      </w:pPr>
    </w:p>
    <w:p>
      <w:pPr>
        <w:ind w:left="-8" w:right="20" w:firstLine="850"/>
        <w:spacing w:after="0"/>
        <w:tabs>
          <w:tab w:leader="none" w:pos="1281" w:val="left"/>
        </w:tabs>
        <w:numPr>
          <w:ilvl w:val="1"/>
          <w:numId w:val="110"/>
        </w:numPr>
        <w:rPr>
          <w:rFonts w:ascii="Arial" w:cs="Arial" w:eastAsia="Arial" w:hAnsi="Arial"/>
          <w:sz w:val="19"/>
          <w:szCs w:val="19"/>
          <w:color w:val="auto"/>
        </w:rPr>
      </w:pPr>
      <w:r>
        <w:rPr>
          <w:rFonts w:ascii="Arial" w:cs="Arial" w:eastAsia="Arial" w:hAnsi="Arial"/>
          <w:sz w:val="19"/>
          <w:szCs w:val="19"/>
          <w:color w:val="auto"/>
        </w:rPr>
        <w:t>(A) any material provision of any Margin Loan Documentation for any reason ceases to be valid, binding and enforceable in accordance with its terms (or a Borrower or any Affiliate thereof shall challenge the enforceability of any Margin Loan Documentation or shall assert in writing, or engage in any action or inaction based on any such assertion, that any provision of any of the Margin Loan Documentation has ceased to be or otherwise is not valid, binding and enforceable in accordance with its terms), or (B) a Borrower or, until the Guarantee Termination Date, Guarantor sells or otherwise transfers all or substantially all of its assets, or engages in a merger, consolidation, amalgamation or similar transaction in which such Borrower or, until the Guarantee Termination Date, Guarantor, respectively, is not the continuing Person, unless the transferee or continuing Person</w:t>
      </w:r>
    </w:p>
    <w:p>
      <w:pPr>
        <w:ind w:left="-8" w:firstLine="8"/>
        <w:spacing w:after="0" w:line="214" w:lineRule="auto"/>
        <w:tabs>
          <w:tab w:leader="none" w:pos="29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assumes such Borrower’s or, until the Guarantee Termination Date, Guarantor’s obligations, respectively, under the applicable Margin Loan Documentation pursuant to documentation reasonably satisfactory to each Lender and (y) provides each Lender with all information and documentation reasonably requested by such Lender pursuant to Section 9.15, and such information and documentation is reasonably acceptable to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12"/>
          </w:cols>
          <w:pgMar w:left="328" w:top="1440" w:right="359" w:bottom="1440" w:gutter="0" w:footer="0" w:header="0"/>
        </w:sectPr>
      </w:pPr>
    </w:p>
    <w:bookmarkStart w:id="131" w:name="page132"/>
    <w:bookmarkEnd w:id="131"/>
    <w:p>
      <w:pPr>
        <w:spacing w:after="0" w:line="200" w:lineRule="exact"/>
        <w:rPr>
          <w:sz w:val="20"/>
          <w:szCs w:val="20"/>
          <w:color w:val="auto"/>
        </w:rPr>
      </w:pPr>
    </w:p>
    <w:p>
      <w:pPr>
        <w:spacing w:after="0" w:line="234" w:lineRule="exact"/>
        <w:rPr>
          <w:sz w:val="20"/>
          <w:szCs w:val="20"/>
          <w:color w:val="auto"/>
        </w:rPr>
      </w:pPr>
    </w:p>
    <w:p>
      <w:pPr>
        <w:ind w:firstLine="850"/>
        <w:spacing w:after="0" w:line="249" w:lineRule="auto"/>
        <w:tabs>
          <w:tab w:leader="none" w:pos="1289" w:val="left"/>
        </w:tabs>
        <w:numPr>
          <w:ilvl w:val="1"/>
          <w:numId w:val="112"/>
        </w:numPr>
        <w:rPr>
          <w:rFonts w:ascii="Arial" w:cs="Arial" w:eastAsia="Arial" w:hAnsi="Arial"/>
          <w:sz w:val="19"/>
          <w:szCs w:val="19"/>
          <w:color w:val="auto"/>
        </w:rPr>
      </w:pPr>
      <w:r>
        <w:rPr>
          <w:rFonts w:ascii="Arial" w:cs="Arial" w:eastAsia="Arial" w:hAnsi="Arial"/>
          <w:sz w:val="19"/>
          <w:szCs w:val="19"/>
          <w:color w:val="auto"/>
        </w:rPr>
        <w:t>(i) the Security Agreement shall for any reason (other than the failure of the Applicable Lender to take any action to cure such failure within its control) fail to create a valid and perfected first priority Lien in the Collateral (subject to no other Lien, other than Permitted Liens), except as permitted by the terms thereof, (ii) the Security Agreement shall fail to remain in full force or effect, (iii) any action shall be taken to discontinue or to assert the invalidity or unenforceability of the Security Agreement, (iv) the Borrowers shall fail to comply with any of the terms or provisions of the Security Agreement or (v) any Applicable Lender ceases to have a first priority perfected Lien in the Collateral except for Permitted Liens; or</w:t>
      </w:r>
    </w:p>
    <w:p>
      <w:pPr>
        <w:spacing w:after="0" w:line="151" w:lineRule="exact"/>
        <w:rPr>
          <w:rFonts w:ascii="Arial" w:cs="Arial" w:eastAsia="Arial" w:hAnsi="Arial"/>
          <w:sz w:val="19"/>
          <w:szCs w:val="19"/>
          <w:color w:val="auto"/>
        </w:rPr>
      </w:pPr>
    </w:p>
    <w:p>
      <w:pPr>
        <w:ind w:right="20" w:firstLine="850"/>
        <w:spacing w:after="0" w:line="247" w:lineRule="auto"/>
        <w:tabs>
          <w:tab w:leader="none" w:pos="1283" w:val="left"/>
        </w:tabs>
        <w:numPr>
          <w:ilvl w:val="1"/>
          <w:numId w:val="112"/>
        </w:numPr>
        <w:rPr>
          <w:rFonts w:ascii="Arial" w:cs="Arial" w:eastAsia="Arial" w:hAnsi="Arial"/>
          <w:sz w:val="19"/>
          <w:szCs w:val="19"/>
          <w:color w:val="auto"/>
        </w:rPr>
      </w:pPr>
      <w:r>
        <w:rPr>
          <w:rFonts w:ascii="Arial" w:cs="Arial" w:eastAsia="Arial" w:hAnsi="Arial"/>
          <w:sz w:val="19"/>
          <w:szCs w:val="19"/>
          <w:color w:val="auto"/>
        </w:rPr>
        <w:t>(i)(A) one or more judgments, decrees, fines or orders for the payment of money in an aggregate amount in excess of the Threshold Amount shall be rendered against any Borrower or, until the Guarantee Termination Date, Guarantor and (B)</w:t>
      </w:r>
    </w:p>
    <w:p>
      <w:pPr>
        <w:ind w:right="40" w:firstLine="8"/>
        <w:spacing w:after="0" w:line="237" w:lineRule="auto"/>
        <w:tabs>
          <w:tab w:leader="none" w:pos="306"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in the case of the Guarantor, the same shall remain undischarged for a period of ten (10) calendar days during which execution shall not be effectively stayed, (2) the same is not subject to further appeal or (3) any legal action shall be taken by a judgment creditor to attach or levy upon any assets of any Borrower or, until the Guarantee Termination Date, Guarantor to enforce any such judgment, or (ii)(A) any final non-monetary judgments or orders which, individually or in the aggregate, would reasonably be expected to have a Material Adverse Effect shall be rendered against any Borrower or, until the Guarantee Termination Date, Guarantor and (B)(1) in the case of the Guarantor, Guarantor shall fail within ten (10) calendar days, during which execution shall not be effectively stayed, to discharge such judgments or orders, (2) such judgments or orders are not subject to further appeal or (3) any legal action shall be taken to enforce such judgments or orders; then, and in any such event, any Lender or Administrative Agent may (or, at the request of (x) Required Lenders, or (y) in the case of an Event of Default of the type set forth in Section 7.01(a), Section 7.01(b), Section 7.01(c) or Section 7.01(h) or an Event of Default relating to a provision of the Margin Loan Documentation that would require the consent of each Lender to amend or waive under Section</w:t>
      </w:r>
    </w:p>
    <w:p>
      <w:pPr>
        <w:spacing w:after="0" w:line="2" w:lineRule="exact"/>
        <w:rPr>
          <w:rFonts w:ascii="Arial" w:cs="Arial" w:eastAsia="Arial" w:hAnsi="Arial"/>
          <w:sz w:val="19"/>
          <w:szCs w:val="19"/>
          <w:color w:val="auto"/>
        </w:rPr>
      </w:pPr>
    </w:p>
    <w:p>
      <w:pPr>
        <w:ind w:right="60"/>
        <w:spacing w:after="0" w:line="241" w:lineRule="auto"/>
        <w:rPr>
          <w:rFonts w:ascii="Arial" w:cs="Arial" w:eastAsia="Arial" w:hAnsi="Arial"/>
          <w:sz w:val="19"/>
          <w:szCs w:val="19"/>
          <w:color w:val="auto"/>
        </w:rPr>
      </w:pPr>
      <w:r>
        <w:rPr>
          <w:rFonts w:ascii="Arial" w:cs="Arial" w:eastAsia="Arial" w:hAnsi="Arial"/>
          <w:sz w:val="19"/>
          <w:szCs w:val="19"/>
          <w:color w:val="auto"/>
        </w:rPr>
        <w:t>9.01, any Lender, Administrative Agent shall) notify Borrowers thereof (such notice, an “</w:t>
      </w:r>
      <w:r>
        <w:rPr>
          <w:rFonts w:ascii="Arial" w:cs="Arial" w:eastAsia="Arial" w:hAnsi="Arial"/>
          <w:sz w:val="19"/>
          <w:szCs w:val="19"/>
          <w:b w:val="1"/>
          <w:bCs w:val="1"/>
          <w:i w:val="1"/>
          <w:iCs w:val="1"/>
          <w:color w:val="auto"/>
        </w:rPr>
        <w:t>Event of Default Notice</w:t>
      </w:r>
      <w:r>
        <w:rPr>
          <w:rFonts w:ascii="Arial" w:cs="Arial" w:eastAsia="Arial" w:hAnsi="Arial"/>
          <w:sz w:val="19"/>
          <w:szCs w:val="19"/>
          <w:color w:val="auto"/>
        </w:rPr>
        <w:t xml:space="preserve">”) with a copy to all other Lenders and Agents and, following the delivery of such Event of Default Notice, any Lender may (i) declare such Lender’s Advances to be forthwith due and payable, whereupon such Lender’s Advances shall become and be forthwith due and payable, without presentment, demand, protest or notice of any kind, all of which are hereby expressly waived by Borrowers and (ii) declare such Lender’s Commitment to be terminated, whereupon the same shall forthwith terminate;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upon the occurrence of any event in Section 7.01(h), (x) the Total Accrued Loan Amount shall automatically become and be due and payable, without presentment, demand, protest or any notice of any kind, all of which are hereby expressly waived by Borrowers and (y) the Commitments shall automatically be terminated. Upon the occurrence and the continuance of a Default, Administrative Agent may increase the rate of interest applicable to the Advances and other Obligations as set forth in this Agreement and Administrative Agent or any Lender may exercise any rights and remedies provided to Lender under the Margin Loan Documentation or at law or equity, including all remedies provided under the UCC.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00"/>
          </w:cols>
          <w:pgMar w:left="320" w:top="1440" w:right="379" w:bottom="1440" w:gutter="0" w:footer="0" w:header="0"/>
        </w:sectPr>
      </w:pPr>
    </w:p>
    <w:bookmarkStart w:id="132" w:name="page133"/>
    <w:bookmarkEnd w:id="132"/>
    <w:p>
      <w:pPr>
        <w:spacing w:after="0" w:line="200" w:lineRule="exact"/>
        <w:rPr>
          <w:sz w:val="20"/>
          <w:szCs w:val="20"/>
          <w:color w:val="auto"/>
        </w:rPr>
      </w:pPr>
    </w:p>
    <w:p>
      <w:pPr>
        <w:spacing w:after="0" w:line="23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7.02</w:t>
      </w:r>
      <w:r>
        <w:rPr>
          <w:sz w:val="20"/>
          <w:szCs w:val="20"/>
          <w:color w:val="auto"/>
        </w:rPr>
        <w:tab/>
      </w:r>
      <w:r>
        <w:rPr>
          <w:rFonts w:ascii="Arial" w:cs="Arial" w:eastAsia="Arial" w:hAnsi="Arial"/>
          <w:sz w:val="19"/>
          <w:szCs w:val="19"/>
          <w:i w:val="1"/>
          <w:iCs w:val="1"/>
          <w:color w:val="auto"/>
        </w:rPr>
        <w:t>Lenders’ Rights With Respect to Collateral</w:t>
      </w:r>
      <w:r>
        <w:rPr>
          <w:rFonts w:ascii="Arial" w:cs="Arial" w:eastAsia="Arial" w:hAnsi="Arial"/>
          <w:sz w:val="19"/>
          <w:szCs w:val="19"/>
          <w:color w:val="auto"/>
        </w:rPr>
        <w:t>.</w:t>
      </w:r>
    </w:p>
    <w:p>
      <w:pPr>
        <w:spacing w:after="0" w:line="179" w:lineRule="exact"/>
        <w:rPr>
          <w:sz w:val="20"/>
          <w:szCs w:val="20"/>
          <w:color w:val="auto"/>
        </w:rPr>
      </w:pPr>
    </w:p>
    <w:p>
      <w:pPr>
        <w:ind w:right="20" w:firstLine="644"/>
        <w:spacing w:after="0" w:line="221" w:lineRule="auto"/>
        <w:tabs>
          <w:tab w:leader="none" w:pos="1293" w:val="left"/>
        </w:tabs>
        <w:numPr>
          <w:ilvl w:val="0"/>
          <w:numId w:val="114"/>
        </w:numPr>
        <w:rPr>
          <w:rFonts w:ascii="Arial" w:cs="Arial" w:eastAsia="Arial" w:hAnsi="Arial"/>
          <w:sz w:val="21"/>
          <w:szCs w:val="21"/>
          <w:color w:val="auto"/>
        </w:rPr>
      </w:pPr>
      <w:r>
        <w:rPr>
          <w:rFonts w:ascii="Arial" w:cs="Arial" w:eastAsia="Arial" w:hAnsi="Arial"/>
          <w:sz w:val="21"/>
          <w:szCs w:val="21"/>
          <w:color w:val="auto"/>
        </w:rPr>
        <w:t>For the avoidance of doubt, following the delivery of an Event of Default Notice or following the occurrence, and during the continuance, of an Event of Default of the type set forth in Section 7.01(h), each Lender may choose to exercise any remedies provided for herein or in any other Margin Loan Documentation, or refrain from exercising such remedies, in its sole discretion with respect to the Collateral subject to its control under a Control Agreement (including by virtue of an agency relationship with any Applicable Lender). No Lender shall have any fiduciary or other duties to the other Lenders in connection with the exercise of remedies against the Collateral securing the Obligations owing to such Lender or otherwise and no Lender shall interfere with such exercise of remedies or claim (or support any claim by any third-party) that a sale or other disposition of any Lender’s Collateral by or on behalf of such Lender was not commercially reasonable.</w:t>
      </w:r>
    </w:p>
    <w:p>
      <w:pPr>
        <w:spacing w:after="0" w:line="158" w:lineRule="exact"/>
        <w:rPr>
          <w:rFonts w:ascii="Arial" w:cs="Arial" w:eastAsia="Arial" w:hAnsi="Arial"/>
          <w:sz w:val="21"/>
          <w:szCs w:val="21"/>
          <w:color w:val="auto"/>
        </w:rPr>
      </w:pPr>
    </w:p>
    <w:p>
      <w:pPr>
        <w:ind w:right="60" w:firstLine="644"/>
        <w:spacing w:after="0" w:line="243" w:lineRule="auto"/>
        <w:tabs>
          <w:tab w:leader="none" w:pos="1291"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In connection with any assignment by a Lender in accordance with the terms hereof, each Borrower agrees to, as promptly as practicable, (i) establish a separate Collateral Account with the Custodian, (ii) enter into a Control Agreement (in a form substantially identical to the other relevant Control Agreements) in favor of the assignee with respect to such Collateral Account, (iii) enter into a joinder to the Security Agreement granting a Lien in favor of the assignee over such assignee’s Applicable Percentage of the Collateral of each type, (iv) if reasonably requested by the relevant Custodian, enter into a customer account agreement or other agreement with such intermediary and (v) make appropriate amendments to this Agreement and the other Margin Loan Documentation to reflect any administrative or technical changes as are reasonably requested by the assigning Lender, the assignee or Administrative Agent, which do not adversely affect Borrowers’ rights or obligations hereunder. In connection with any assignment by a Lender of all of its Advances hereunder in accordance with the terms hereof, Borrowers agree that such Lender’s rights and obligations under the other Margin Loan Documentation may be assigned to the assignee.</w:t>
      </w:r>
    </w:p>
    <w:p>
      <w:pPr>
        <w:spacing w:after="0" w:line="158" w:lineRule="exact"/>
        <w:rPr>
          <w:rFonts w:ascii="Arial" w:cs="Arial" w:eastAsia="Arial" w:hAnsi="Arial"/>
          <w:sz w:val="19"/>
          <w:szCs w:val="19"/>
          <w:color w:val="auto"/>
        </w:rPr>
      </w:pPr>
    </w:p>
    <w:p>
      <w:pPr>
        <w:ind w:firstLine="644"/>
        <w:spacing w:after="0" w:line="244" w:lineRule="auto"/>
        <w:tabs>
          <w:tab w:leader="none" w:pos="129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the Margin Loan Documentation, each Borrower, Administrative Agent and each Lender hereby agree that (i) during the continuance of an Event of Default and (except in the case of an Event of Default of the type set forth in Section 7.01(h)) following the delivery of an Event of Default Notice, such Lender shall have the right individually to require the relevant Custodian (or the Applicable Lender acting as agent of such Lender for purposes of perfection, if applicable) to realize upon any of the Collateral subject to such Lender’s control and to apply the proceeds thereof to the repayment of such Lender’s Advances outstanding and any other Obligations owing to such Lender and (ii) in the event of a foreclosure or similar enforcement action by such Lender on its Collateral pursuant to a public or private sale or other disposition (including pursuant to Section 363(k), Section 1129(b)(2)(a)(ii) or otherwise of the Bankruptcy Code), such Lender may be the purchaser or licensor of any or all of such Collateral at any such sale or other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0580"/>
          </w:cols>
          <w:pgMar w:left="980" w:top="1440" w:right="339" w:bottom="1440" w:gutter="0" w:footer="0" w:header="0"/>
        </w:sectPr>
      </w:pPr>
    </w:p>
    <w:bookmarkStart w:id="133" w:name="page134"/>
    <w:bookmarkEnd w:id="133"/>
    <w:p>
      <w:pPr>
        <w:spacing w:after="0" w:line="200" w:lineRule="exact"/>
        <w:rPr>
          <w:sz w:val="20"/>
          <w:szCs w:val="20"/>
          <w:color w:val="auto"/>
        </w:rPr>
      </w:pPr>
    </w:p>
    <w:p>
      <w:pPr>
        <w:spacing w:after="0" w:line="233" w:lineRule="exact"/>
        <w:rPr>
          <w:sz w:val="20"/>
          <w:szCs w:val="20"/>
          <w:color w:val="auto"/>
        </w:rPr>
      </w:pPr>
    </w:p>
    <w:p>
      <w:pPr>
        <w:ind w:left="660" w:right="80" w:firstLine="644"/>
        <w:spacing w:after="0" w:line="257" w:lineRule="auto"/>
        <w:tabs>
          <w:tab w:leader="none" w:pos="1951" w:val="left"/>
        </w:tabs>
        <w:numPr>
          <w:ilvl w:val="0"/>
          <w:numId w:val="115"/>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the Margin Loan Documentation, when all Obligations (other than contingent indemnification obligations) owing to any Lender have been paid in full in cash, upon request of Borrowers, such Lender shall (without notice to, or vote or consent of, any other Lender) take such actions as shall be reasonably required to release its security interest in all Collateral under such Lender’s control.</w:t>
      </w:r>
    </w:p>
    <w:p>
      <w:pPr>
        <w:spacing w:after="0" w:line="144" w:lineRule="exact"/>
        <w:rPr>
          <w:rFonts w:ascii="Arial" w:cs="Arial" w:eastAsia="Arial" w:hAnsi="Arial"/>
          <w:sz w:val="19"/>
          <w:szCs w:val="19"/>
          <w:color w:val="auto"/>
        </w:rPr>
      </w:pPr>
    </w:p>
    <w:p>
      <w:pPr>
        <w:ind w:left="660" w:right="60" w:firstLine="644"/>
        <w:spacing w:after="0" w:line="218" w:lineRule="auto"/>
        <w:tabs>
          <w:tab w:leader="none" w:pos="1953" w:val="left"/>
        </w:tabs>
        <w:numPr>
          <w:ilvl w:val="0"/>
          <w:numId w:val="115"/>
        </w:numPr>
        <w:rPr>
          <w:rFonts w:ascii="Arial" w:cs="Arial" w:eastAsia="Arial" w:hAnsi="Arial"/>
          <w:sz w:val="22"/>
          <w:szCs w:val="22"/>
          <w:color w:val="auto"/>
        </w:rPr>
      </w:pPr>
      <w:r>
        <w:rPr>
          <w:rFonts w:ascii="Arial" w:cs="Arial" w:eastAsia="Arial" w:hAnsi="Arial"/>
          <w:sz w:val="22"/>
          <w:szCs w:val="22"/>
          <w:color w:val="auto"/>
        </w:rPr>
        <w:t>Each Lender agrees that it will not challenge or question or support any other Person in challenging or questioning in any proceeding the validity, attachment, perfection or priority of any Lien of any Applicable Lender under any Collateral Document or the validity or enforceability of the priorities, rights or duties established by or other provisions of this Agreement.</w:t>
      </w:r>
    </w:p>
    <w:p>
      <w:pPr>
        <w:spacing w:after="0" w:line="160" w:lineRule="exact"/>
        <w:rPr>
          <w:rFonts w:ascii="Arial" w:cs="Arial" w:eastAsia="Arial" w:hAnsi="Arial"/>
          <w:sz w:val="22"/>
          <w:szCs w:val="22"/>
          <w:color w:val="auto"/>
        </w:rPr>
      </w:pPr>
    </w:p>
    <w:p>
      <w:pPr>
        <w:ind w:left="660" w:firstLine="644"/>
        <w:spacing w:after="0" w:line="211" w:lineRule="auto"/>
        <w:tabs>
          <w:tab w:leader="none" w:pos="195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Notwithstanding the date, time, method, manner or order of grant, attachment or perfection of any Liens securing the Obligations granted on the Collateral and notwithstanding any provision of the UCC, or any other applicable Law or the Security Agreement or Control Agreements or any defect or deficiencies in, or failure to perfect or lapse in perfection of, or avoidance as a fraudulent conveyance or otherwise of, the Liens securing any of the Obligations, the subordination of such Liens to any other Liens, or any other circumstance whatsoever, whether or not any bankruptcy proceeding has been commenced by or against any Borrower, each Lender hereby agrees that any Lien on the Collateral securing any Obligations now or hereafter held by or on behalf of any Lender shall be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and secured equally and ratably.</w:t>
      </w:r>
    </w:p>
    <w:p>
      <w:pPr>
        <w:spacing w:after="0" w:line="164" w:lineRule="exact"/>
        <w:rPr>
          <w:rFonts w:ascii="Arial" w:cs="Arial" w:eastAsia="Arial" w:hAnsi="Arial"/>
          <w:sz w:val="22"/>
          <w:szCs w:val="22"/>
          <w:color w:val="auto"/>
        </w:rPr>
      </w:pPr>
    </w:p>
    <w:p>
      <w:pPr>
        <w:ind w:left="660" w:right="880" w:firstLine="644"/>
        <w:spacing w:after="0" w:line="232" w:lineRule="auto"/>
        <w:tabs>
          <w:tab w:leader="none" w:pos="195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Each Lender agrees with, and solely for the benefit of, each other Lender that it will not take any Bankruptcy Action with respect to Borrowers.</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8</w:t>
      </w:r>
    </w:p>
    <w:p>
      <w:pPr>
        <w:ind w:left="5320"/>
        <w:spacing w:after="0"/>
        <w:rPr>
          <w:sz w:val="20"/>
          <w:szCs w:val="20"/>
          <w:color w:val="auto"/>
        </w:rPr>
      </w:pPr>
      <w:r>
        <w:rPr>
          <w:rFonts w:ascii="Arial" w:cs="Arial" w:eastAsia="Arial" w:hAnsi="Arial"/>
          <w:sz w:val="22"/>
          <w:szCs w:val="22"/>
          <w:color w:val="auto"/>
        </w:rPr>
        <w:t>Agents</w:t>
      </w:r>
    </w:p>
    <w:p>
      <w:pPr>
        <w:spacing w:after="0" w:line="161" w:lineRule="exact"/>
        <w:rPr>
          <w:sz w:val="20"/>
          <w:szCs w:val="20"/>
          <w:color w:val="auto"/>
        </w:rPr>
      </w:pPr>
    </w:p>
    <w:p>
      <w:pPr>
        <w:ind w:right="40" w:firstLine="648"/>
        <w:spacing w:after="0" w:line="214"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i w:val="1"/>
          <w:iCs w:val="1"/>
          <w:color w:val="auto"/>
        </w:rPr>
        <w:t>Authorization and Authority</w:t>
      </w:r>
      <w:r>
        <w:rPr>
          <w:rFonts w:ascii="Arial" w:cs="Arial" w:eastAsia="Arial" w:hAnsi="Arial"/>
          <w:sz w:val="22"/>
          <w:szCs w:val="22"/>
          <w:color w:val="auto"/>
        </w:rPr>
        <w:t>. Each Lender hereby irrevocably appoints Royal Bank of Canada to act on its behalf as Administrative Agent and Calculation Agent under the Margin Loan Documentation and authorizes each Agent to take such actions on such Lender’s behalf and to exercise such powers as are delegated to such Agent by the terms hereof or thereof, together with such actions and powers as are reasonably incidental thereto. The provisions of this Article 8 are solely for the benefit of Agents and Lenders, and Borrowers shall not have rights as third-party beneficiaries or otherwise of any of such provisions.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i w:val="1"/>
          <w:iCs w:val="1"/>
          <w:color w:val="auto"/>
        </w:rPr>
        <w:t>Agent Individually</w:t>
      </w:r>
      <w:r>
        <w:rPr>
          <w:rFonts w:ascii="Arial" w:cs="Arial" w:eastAsia="Arial" w:hAnsi="Arial"/>
          <w:sz w:val="19"/>
          <w:szCs w:val="19"/>
          <w:color w:val="auto"/>
        </w:rPr>
        <w:t>.</w:t>
      </w:r>
    </w:p>
    <w:p>
      <w:pPr>
        <w:spacing w:after="0" w:line="179" w:lineRule="exact"/>
        <w:rPr>
          <w:sz w:val="20"/>
          <w:szCs w:val="20"/>
          <w:color w:val="auto"/>
        </w:rPr>
      </w:pPr>
    </w:p>
    <w:p>
      <w:pPr>
        <w:ind w:right="20" w:firstLine="850"/>
        <w:spacing w:after="0" w:line="249" w:lineRule="auto"/>
        <w:tabs>
          <w:tab w:leader="none" w:pos="1284" w:val="left"/>
        </w:tabs>
        <w:numPr>
          <w:ilvl w:val="0"/>
          <w:numId w:val="116"/>
        </w:numPr>
        <w:rPr>
          <w:rFonts w:ascii="Arial" w:cs="Arial" w:eastAsia="Arial" w:hAnsi="Arial"/>
          <w:sz w:val="19"/>
          <w:szCs w:val="19"/>
          <w:color w:val="auto"/>
        </w:rPr>
      </w:pPr>
      <w:r>
        <w:rPr>
          <w:rFonts w:ascii="Arial" w:cs="Arial" w:eastAsia="Arial" w:hAnsi="Arial"/>
          <w:sz w:val="19"/>
          <w:szCs w:val="19"/>
          <w:color w:val="auto"/>
        </w:rPr>
        <w:t>Each Person serving as an Agent hereunder shall have the same rights and powers in its capacity as a Lender as any other Lender and may exercise the same as though it were not such Agent and the term “Lender” or “Lenders” shall, unless otherwise expressly indicated or unless the context otherwise requires, include each Person serving as an Agent hereunder in its individual capacity. Such Person and its Affiliates may accept deposits from, lend money to, act as the financial advisor or in any other advisory capacity for and generally engage in any kind of business with Borrowers or Affiliates thereof as if such Person were not an Agent hereunder and without any duty to account therefor to Lenders.</w:t>
      </w:r>
    </w:p>
    <w:p>
      <w:pPr>
        <w:spacing w:after="0" w:line="151" w:lineRule="exact"/>
        <w:rPr>
          <w:rFonts w:ascii="Arial" w:cs="Arial" w:eastAsia="Arial" w:hAnsi="Arial"/>
          <w:sz w:val="19"/>
          <w:szCs w:val="19"/>
          <w:color w:val="auto"/>
        </w:rPr>
      </w:pPr>
    </w:p>
    <w:p>
      <w:pPr>
        <w:ind w:right="120" w:firstLine="850"/>
        <w:spacing w:after="0" w:line="232" w:lineRule="auto"/>
        <w:tabs>
          <w:tab w:leader="none" w:pos="1283" w:val="left"/>
        </w:tabs>
        <w:numPr>
          <w:ilvl w:val="0"/>
          <w:numId w:val="116"/>
        </w:numPr>
        <w:rPr>
          <w:rFonts w:ascii="Arial" w:cs="Arial" w:eastAsia="Arial" w:hAnsi="Arial"/>
          <w:sz w:val="22"/>
          <w:szCs w:val="22"/>
          <w:color w:val="auto"/>
        </w:rPr>
      </w:pPr>
      <w:r>
        <w:rPr>
          <w:rFonts w:ascii="Arial" w:cs="Arial" w:eastAsia="Arial" w:hAnsi="Arial"/>
          <w:sz w:val="22"/>
          <w:szCs w:val="22"/>
          <w:color w:val="auto"/>
        </w:rPr>
        <w:t>Each Lender understands that each Person serving as an Agent, acting in its individual capacity, and its Affiliates (collectively, an “</w:t>
      </w:r>
      <w:r>
        <w:rPr>
          <w:rFonts w:ascii="Arial" w:cs="Arial" w:eastAsia="Arial" w:hAnsi="Arial"/>
          <w:sz w:val="22"/>
          <w:szCs w:val="22"/>
          <w:b w:val="1"/>
          <w:bCs w:val="1"/>
          <w:i w:val="1"/>
          <w:iCs w:val="1"/>
          <w:color w:val="auto"/>
        </w:rPr>
        <w:t>Agent’s Group</w:t>
      </w:r>
      <w:r>
        <w:rPr>
          <w:rFonts w:ascii="Arial" w:cs="Arial" w:eastAsia="Arial" w:hAnsi="Arial"/>
          <w:sz w:val="22"/>
          <w:szCs w:val="22"/>
          <w:color w:val="auto"/>
        </w:rPr>
        <w:t>”) are engaged in a 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180"/>
          </w:cols>
          <w:pgMar w:left="320" w:top="1440" w:right="399" w:bottom="1440" w:gutter="0" w:footer="0" w:header="0"/>
        </w:sectPr>
      </w:pPr>
    </w:p>
    <w:bookmarkStart w:id="134" w:name="page135"/>
    <w:bookmarkEnd w:id="134"/>
    <w:p>
      <w:pPr>
        <w:spacing w:after="0" w:line="200" w:lineRule="exact"/>
        <w:rPr>
          <w:sz w:val="20"/>
          <w:szCs w:val="20"/>
          <w:color w:val="auto"/>
        </w:rPr>
      </w:pPr>
    </w:p>
    <w:p>
      <w:pPr>
        <w:spacing w:after="0" w:line="233" w:lineRule="exact"/>
        <w:rPr>
          <w:sz w:val="20"/>
          <w:szCs w:val="20"/>
          <w:color w:val="auto"/>
        </w:rPr>
      </w:pPr>
    </w:p>
    <w:p>
      <w:pPr>
        <w:ind w:right="120"/>
        <w:spacing w:after="0" w:line="241" w:lineRule="auto"/>
        <w:rPr>
          <w:sz w:val="20"/>
          <w:szCs w:val="20"/>
          <w:color w:val="auto"/>
        </w:rPr>
      </w:pPr>
      <w:r>
        <w:rPr>
          <w:rFonts w:ascii="Arial" w:cs="Arial" w:eastAsia="Arial" w:hAnsi="Arial"/>
          <w:sz w:val="19"/>
          <w:szCs w:val="19"/>
          <w:color w:val="auto"/>
        </w:rPr>
        <w:t>range of financial services and businesses (including investment management, financing, securities trading, corporate and investment banking and research) (such services and businesses are collectively referred to in this Section 8.02 as “</w:t>
      </w:r>
      <w:r>
        <w:rPr>
          <w:rFonts w:ascii="Arial" w:cs="Arial" w:eastAsia="Arial" w:hAnsi="Arial"/>
          <w:sz w:val="19"/>
          <w:szCs w:val="19"/>
          <w:b w:val="1"/>
          <w:bCs w:val="1"/>
          <w:i w:val="1"/>
          <w:iCs w:val="1"/>
          <w:color w:val="auto"/>
        </w:rPr>
        <w:t>Activities</w:t>
      </w:r>
      <w:r>
        <w:rPr>
          <w:rFonts w:ascii="Arial" w:cs="Arial" w:eastAsia="Arial" w:hAnsi="Arial"/>
          <w:sz w:val="19"/>
          <w:szCs w:val="19"/>
          <w:color w:val="auto"/>
        </w:rPr>
        <w:t>”) and may engage in the Activities with or on behalf of Borrowers or their Affiliates. Furthermore, an Agent’s Group may, in undertaking the Activities, engage in trading in financial products or undertake other investment businesses for its own account or on behalf of others (including Borrowers and Affiliates of Borrowers and including holding, for its own account or on behalf of others, equity, debt and similar positions in Borrowers or Affiliates of Borrowers), including trading in or holding long, short or derivative positions in securities, loans or other financial products of one or more of Borrowers and Affiliates thereof. Each Lender understands and agrees that in engaging in the Activities, an Agent’s Group may receive or otherwise obtain information concerning Borrowers and Affiliates of Borrowers (including information concerning the ability of Borrowers to perform the obligations of Borrowers hereunder or under the other Margin Loan Documentation) which information may not be available to any of the Lenders that are not members of an Agent’s Group. No Agent nor any member of such Agent’s Group shall have any duty to disclose to any Lender or use on behalf of the Lenders, and shall not be liable for the failure to so disclose or use, any information whatsoever about or derived from the Activities or otherwise (including any information concerning the business, prospects, operations, property, financial and other condition or creditworthiness of Borrowers or any Affiliate thereof) or to account for any revenue or profits obtained in connection with the Activities, except that an Agent shall deliver or otherwise make available to each Lender such documents as are expressly required by this Agreement to be transmitted by an Agent to Lenders.</w:t>
      </w:r>
    </w:p>
    <w:p>
      <w:pPr>
        <w:spacing w:after="0" w:line="378" w:lineRule="exact"/>
        <w:rPr>
          <w:sz w:val="20"/>
          <w:szCs w:val="20"/>
          <w:color w:val="auto"/>
        </w:rPr>
      </w:pPr>
    </w:p>
    <w:p>
      <w:pPr>
        <w:ind w:firstLine="850"/>
        <w:spacing w:after="0" w:line="219" w:lineRule="auto"/>
        <w:tabs>
          <w:tab w:leader="none" w:pos="1284" w:val="left"/>
        </w:tabs>
        <w:numPr>
          <w:ilvl w:val="0"/>
          <w:numId w:val="117"/>
        </w:numPr>
        <w:rPr>
          <w:rFonts w:ascii="Arial" w:cs="Arial" w:eastAsia="Arial" w:hAnsi="Arial"/>
          <w:sz w:val="21"/>
          <w:szCs w:val="21"/>
          <w:color w:val="auto"/>
        </w:rPr>
      </w:pPr>
      <w:r>
        <w:rPr>
          <w:rFonts w:ascii="Arial" w:cs="Arial" w:eastAsia="Arial" w:hAnsi="Arial"/>
          <w:sz w:val="21"/>
          <w:szCs w:val="21"/>
          <w:color w:val="auto"/>
        </w:rPr>
        <w:t>Each Lender further understands that there may be situations where members of an Agent’s Group or their respective customers (including Borrowers and Affiliates of Borrowers) either now have or may in the future have interests or take actions that may conflict with the interests of any one or more Lenders (including the interests of Lenders hereunder). Each Lender agrees that no member of an Agent’s Group is or shall be required to restrict its Activities as a result of the Person serving as an Agent being a member of such Agent’s Group, and that each member of an Agent’s Group may undertake any Activities without further consultation with or notification to any Lender. None of (i) the Margin Loan Documentation, (ii) the receipt by an Agent’s Group of information (including Information) concerning Borrowers or Affiliates of Borrowers (including information concerning the ability of Borrowers to perform obligations of Borrowers hereunder and under the other Margin Loan Documentation) nor (iii) any other matter shall give rise to any fiduciary, equitable or contractual duties (including any duty of trust or confidence) owing by an Agent or any member of such Agent’s Group to any Lender including any such duty that would prevent or restrict an Agent’s Group from acting on behalf of customers (including Borrowers or Affiliates of Borrowers) or for its own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200" w:lineRule="exact"/>
        <w:rPr>
          <w:sz w:val="20"/>
          <w:szCs w:val="20"/>
          <w:color w:val="auto"/>
        </w:rPr>
      </w:pPr>
    </w:p>
    <w:p>
      <w:pPr>
        <w:spacing w:after="0" w:line="23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9"/>
          <w:szCs w:val="19"/>
          <w:i w:val="1"/>
          <w:iCs w:val="1"/>
          <w:color w:val="auto"/>
        </w:rPr>
        <w:t>Duties of Agents; Exculpatory Provisions</w:t>
      </w:r>
      <w:r>
        <w:rPr>
          <w:rFonts w:ascii="Arial" w:cs="Arial" w:eastAsia="Arial" w:hAnsi="Arial"/>
          <w:sz w:val="19"/>
          <w:szCs w:val="19"/>
          <w:color w:val="auto"/>
        </w:rPr>
        <w:t>.</w:t>
      </w:r>
    </w:p>
    <w:p>
      <w:pPr>
        <w:spacing w:after="0" w:line="179" w:lineRule="exact"/>
        <w:rPr>
          <w:sz w:val="20"/>
          <w:szCs w:val="20"/>
          <w:color w:val="auto"/>
        </w:rPr>
      </w:pPr>
    </w:p>
    <w:p>
      <w:pPr>
        <w:ind w:left="-20" w:firstLine="850"/>
        <w:spacing w:after="0" w:line="243" w:lineRule="auto"/>
        <w:tabs>
          <w:tab w:leader="none" w:pos="126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An Agent’s duties hereunder and under the other Margin Loan Documentation are solely ministerial and administrative in nature and no Agent shall have any duties or obligations except those expressly set forth herein or therein. Without limiting the generality of the foregoing, an Agent (i) shall not have any duty to take any discretionary action or exercise any discretionary powers, but shall be required to act or refrain from acting (and shall be fully protected in so acting or refraining from acting) upon the written direction of the Required Lenders (or such other number or percentage of Lenders as shall be expressly provided for 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 Agent shall not be required to take any action that, in its opinion or the opinion of its counsel, may expose such Agent or any of its Affiliates to liability or that it determines in good faith is contrary to this Agreement or applicable Law, (ii) shall not be subject to any fiduciary or other implied duties, regardless of whether a Default has occurred and is continuing and (iii) except as expressly set forth herein, shall not have any duty to disclose, and shall not be liable for the failure to disclose, any information relating to Borrowers or any Affiliates of Borrowers that is communicated to or obtained by the bank serving as Agent or any of its Affiliates in any capacity.</w:t>
      </w:r>
    </w:p>
    <w:p>
      <w:pPr>
        <w:spacing w:after="0" w:line="158" w:lineRule="exact"/>
        <w:rPr>
          <w:rFonts w:ascii="Arial" w:cs="Arial" w:eastAsia="Arial" w:hAnsi="Arial"/>
          <w:sz w:val="19"/>
          <w:szCs w:val="19"/>
          <w:color w:val="auto"/>
        </w:rPr>
      </w:pPr>
    </w:p>
    <w:p>
      <w:pPr>
        <w:ind w:left="-20" w:right="40" w:firstLine="850"/>
        <w:spacing w:after="0" w:line="244" w:lineRule="auto"/>
        <w:tabs>
          <w:tab w:leader="none" w:pos="1263" w:val="left"/>
        </w:tabs>
        <w:numPr>
          <w:ilvl w:val="0"/>
          <w:numId w:val="118"/>
        </w:numPr>
        <w:rPr>
          <w:rFonts w:ascii="Arial" w:cs="Arial" w:eastAsia="Arial" w:hAnsi="Arial"/>
          <w:sz w:val="19"/>
          <w:szCs w:val="19"/>
          <w:color w:val="auto"/>
        </w:rPr>
      </w:pPr>
      <w:r>
        <w:rPr>
          <w:rFonts w:ascii="Arial" w:cs="Arial" w:eastAsia="Arial" w:hAnsi="Arial"/>
          <w:sz w:val="19"/>
          <w:szCs w:val="19"/>
          <w:color w:val="auto"/>
        </w:rPr>
        <w:t>No Agent shall be liable for any action taken or not taken by it (i) with the consent or at the request of the Required Lenders (or such other number or percentage of Lenders as shall be necessary under the circumstances as provided in Section 9.01, or as such Agent shall believe in good faith shall be necessary, including for the avoidance of doubt, Administrative Agent sending an Event of Default Notice at the direction of any Lender, if such Agent believes in good faith that the related Event of Default is of a type that would entitle such Lender to issue such direction) or (ii) in the absence of its own gross negligence or willful misconduct. No Agent shall be deemed to have knowledge of any Facility Adjustment Event, Potential Facility Adjustment Event, Mandatory Prepayment Event, Default or Event of Default or the event or events that give or may give rise to any Mandatory Prepayment Event, Default or Event of Default unless and until any Borrower or any Lender shall have given written notice to such Agent describing such Facility Adjustment Event, Potential Facility Adjustment Event, Mandatory Prepayment Event, Default or Event of Default and such event or events.</w:t>
      </w:r>
    </w:p>
    <w:p>
      <w:pPr>
        <w:spacing w:after="0" w:line="154" w:lineRule="exact"/>
        <w:rPr>
          <w:rFonts w:ascii="Arial" w:cs="Arial" w:eastAsia="Arial" w:hAnsi="Arial"/>
          <w:sz w:val="19"/>
          <w:szCs w:val="19"/>
          <w:color w:val="auto"/>
        </w:rPr>
      </w:pPr>
    </w:p>
    <w:p>
      <w:pPr>
        <w:ind w:left="-20" w:right="60" w:firstLine="850"/>
        <w:spacing w:after="0" w:line="243" w:lineRule="auto"/>
        <w:tabs>
          <w:tab w:leader="none" w:pos="126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No Agent nor any member of an Agent’s Group shall be responsible for or have any duty to ascertain or inquire into (i) any statement, warranty, representation or other information made or supplied in or in connection with this Agreement or any other Margin Loan Documentation, (ii) the contents of any certificate, report or other document delivered hereunder or thereunder or in connection herewith or therewith or the adequacy, accuracy and/or completeness of the information contained therein, (iii) the performance or observance of any of the covenants, agreements or other terms or conditions set forth herein or therein or the occurrence of any Facility Adjustment Event, Potential Facility Adjustment Event, Mandatory Prepayment Event, Default or Event of Default, (iv) the validity, enforceability, effectiveness or genuineness of this Agreement, any other Margin Loan Documentation or any other agreement, instrument or document or the perfection or priority of any Lien or security interest created or purported to be created hereby or thereby or (v) the satisfaction of any condition set forth in Section 2.15 or Article 4 or elsewhere herein, other than (but subject to the foregoing clause (ii)) to confirm receipt of items expressly required to be delivered to an Agent.</w:t>
      </w:r>
    </w:p>
    <w:p>
      <w:pPr>
        <w:spacing w:after="0" w:line="379" w:lineRule="exact"/>
        <w:rPr>
          <w:rFonts w:ascii="Arial" w:cs="Arial" w:eastAsia="Arial" w:hAnsi="Arial"/>
          <w:sz w:val="19"/>
          <w:szCs w:val="19"/>
          <w:color w:val="auto"/>
        </w:rPr>
      </w:pPr>
    </w:p>
    <w:p>
      <w:pPr>
        <w:ind w:left="-20" w:right="160" w:firstLine="850"/>
        <w:spacing w:after="0" w:line="223" w:lineRule="auto"/>
        <w:tabs>
          <w:tab w:leader="none" w:pos="1263" w:val="left"/>
        </w:tabs>
        <w:numPr>
          <w:ilvl w:val="0"/>
          <w:numId w:val="118"/>
        </w:numPr>
        <w:rPr>
          <w:rFonts w:ascii="Arial" w:cs="Arial" w:eastAsia="Arial" w:hAnsi="Arial"/>
          <w:sz w:val="22"/>
          <w:szCs w:val="22"/>
          <w:color w:val="auto"/>
        </w:rPr>
      </w:pPr>
      <w:r>
        <w:rPr>
          <w:rFonts w:ascii="Arial" w:cs="Arial" w:eastAsia="Arial" w:hAnsi="Arial"/>
          <w:sz w:val="22"/>
          <w:szCs w:val="22"/>
          <w:color w:val="auto"/>
        </w:rPr>
        <w:t>Nothing in this Agreement shall require an Agent or any of its Related Parties to carry out any “know your customer” or other checks in relation to any Person on behalf of any Lender and each Lender confirms to Agents that it is solely responsible for any such checks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20"/>
          </w:cols>
          <w:pgMar w:left="340" w:top="1440" w:right="339" w:bottom="1440" w:gutter="0" w:footer="0" w:header="0"/>
        </w:sectPr>
      </w:pPr>
    </w:p>
    <w:bookmarkStart w:id="136" w:name="page137"/>
    <w:bookmarkEnd w:id="136"/>
    <w:p>
      <w:pPr>
        <w:spacing w:after="0" w:line="200" w:lineRule="exact"/>
        <w:rPr>
          <w:sz w:val="20"/>
          <w:szCs w:val="20"/>
          <w:color w:val="auto"/>
        </w:rPr>
      </w:pPr>
    </w:p>
    <w:p>
      <w:pPr>
        <w:spacing w:after="0" w:line="233" w:lineRule="exact"/>
        <w:rPr>
          <w:sz w:val="20"/>
          <w:szCs w:val="20"/>
          <w:color w:val="auto"/>
        </w:rPr>
      </w:pPr>
    </w:p>
    <w:p>
      <w:pPr>
        <w:ind w:right="180"/>
        <w:spacing w:after="0" w:line="232" w:lineRule="auto"/>
        <w:rPr>
          <w:sz w:val="20"/>
          <w:szCs w:val="20"/>
          <w:color w:val="auto"/>
        </w:rPr>
      </w:pPr>
      <w:r>
        <w:rPr>
          <w:rFonts w:ascii="Arial" w:cs="Arial" w:eastAsia="Arial" w:hAnsi="Arial"/>
          <w:sz w:val="22"/>
          <w:szCs w:val="22"/>
          <w:color w:val="auto"/>
        </w:rPr>
        <w:t>required to carry out and that it may not rely on any statement in relation to such checks made by an Agent or any of its Related Parties.</w:t>
      </w:r>
    </w:p>
    <w:p>
      <w:pPr>
        <w:spacing w:after="0" w:line="159" w:lineRule="exact"/>
        <w:rPr>
          <w:sz w:val="20"/>
          <w:szCs w:val="20"/>
          <w:color w:val="auto"/>
        </w:rPr>
      </w:pPr>
    </w:p>
    <w:p>
      <w:pPr>
        <w:ind w:right="140" w:firstLine="648"/>
        <w:spacing w:after="0" w:line="221" w:lineRule="auto"/>
        <w:rPr>
          <w:sz w:val="20"/>
          <w:szCs w:val="20"/>
          <w:color w:val="auto"/>
        </w:rPr>
      </w:pPr>
      <w:r>
        <w:rPr>
          <w:rFonts w:ascii="Arial" w:cs="Arial" w:eastAsia="Arial" w:hAnsi="Arial"/>
          <w:sz w:val="21"/>
          <w:szCs w:val="21"/>
          <w:color w:val="auto"/>
        </w:rPr>
        <w:t xml:space="preserve">Section 8.04 </w:t>
      </w:r>
      <w:r>
        <w:rPr>
          <w:rFonts w:ascii="Arial" w:cs="Arial" w:eastAsia="Arial" w:hAnsi="Arial"/>
          <w:sz w:val="21"/>
          <w:szCs w:val="21"/>
          <w:i w:val="1"/>
          <w:iCs w:val="1"/>
          <w:color w:val="auto"/>
        </w:rPr>
        <w:t>Authority</w:t>
      </w:r>
      <w:r>
        <w:rPr>
          <w:rFonts w:ascii="Arial" w:cs="Arial" w:eastAsia="Arial" w:hAnsi="Arial"/>
          <w:sz w:val="21"/>
          <w:szCs w:val="21"/>
          <w:color w:val="auto"/>
        </w:rPr>
        <w:t>. For so long as such Applicable Lender controls a Collateral Account, each Lender hereby irrevocably appoints each Applicable Lender as its agent to act on its behalf for purposes of Section 2.14 and the Security Agreement and authorizes each Applicable Lender to take such actions on its behalf and to exercise such powers as are contemplated by the terms hereof or thereof, together with such actions and powers as are reasonably incidental thereto. In performing its functions and duties hereunder, each Applicable Lender shall act solely as an agent of the other Lenders and does not assume and shall not be deemed to have assumed any obligation towards or fiduciary relationship or trust with or for any Borrower or Guarantor. The provisions of this Section 8.04 are solely for the benefit of Lenders, and Borrowers shall not have rights as third-party beneficiaries of any such provision.</w:t>
      </w:r>
    </w:p>
    <w:p>
      <w:pPr>
        <w:spacing w:after="0" w:line="165" w:lineRule="exact"/>
        <w:rPr>
          <w:sz w:val="20"/>
          <w:szCs w:val="20"/>
          <w:color w:val="auto"/>
        </w:rPr>
      </w:pPr>
    </w:p>
    <w:p>
      <w:pPr>
        <w:ind w:firstLine="648"/>
        <w:spacing w:after="0" w:line="243" w:lineRule="auto"/>
        <w:rPr>
          <w:sz w:val="20"/>
          <w:szCs w:val="20"/>
          <w:color w:val="auto"/>
        </w:rPr>
      </w:pPr>
      <w:r>
        <w:rPr>
          <w:rFonts w:ascii="Arial" w:cs="Arial" w:eastAsia="Arial" w:hAnsi="Arial"/>
          <w:sz w:val="19"/>
          <w:szCs w:val="19"/>
          <w:color w:val="auto"/>
        </w:rPr>
        <w:t xml:space="preserve">Section 8.05 </w:t>
      </w:r>
      <w:r>
        <w:rPr>
          <w:rFonts w:ascii="Arial" w:cs="Arial" w:eastAsia="Arial" w:hAnsi="Arial"/>
          <w:sz w:val="19"/>
          <w:szCs w:val="19"/>
          <w:i w:val="1"/>
          <w:iCs w:val="1"/>
          <w:color w:val="auto"/>
        </w:rPr>
        <w:t>Reliance by Agent</w:t>
      </w:r>
      <w:r>
        <w:rPr>
          <w:rFonts w:ascii="Arial" w:cs="Arial" w:eastAsia="Arial" w:hAnsi="Arial"/>
          <w:sz w:val="19"/>
          <w:szCs w:val="19"/>
          <w:color w:val="auto"/>
        </w:rPr>
        <w:t>.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any Advance that by its terms must be fulfilled to the satisfaction of a Lender, each Agent may presume that such condition is satisfactory to such Lender unless an officer or authorized representative of an Agent responsible for the transactions contemplated hereby shall have received notice to the contrary from such Lender prior to the making of such Advance. Each Agent may consult with legal counsel (who may be counsel for Borrowers), independent accountants and other experts selected by it, and shall not be liable for any action taken or not taken by it in accordance with the advice of any such counsel, accountants or experts.</w:t>
      </w:r>
    </w:p>
    <w:p>
      <w:pPr>
        <w:spacing w:after="0" w:line="159" w:lineRule="exact"/>
        <w:rPr>
          <w:sz w:val="20"/>
          <w:szCs w:val="20"/>
          <w:color w:val="auto"/>
        </w:rPr>
      </w:pPr>
    </w:p>
    <w:p>
      <w:pPr>
        <w:ind w:right="160" w:firstLine="648"/>
        <w:spacing w:after="0" w:line="247" w:lineRule="auto"/>
        <w:rPr>
          <w:sz w:val="20"/>
          <w:szCs w:val="20"/>
          <w:color w:val="auto"/>
        </w:rPr>
      </w:pPr>
      <w:r>
        <w:rPr>
          <w:rFonts w:ascii="Arial" w:cs="Arial" w:eastAsia="Arial" w:hAnsi="Arial"/>
          <w:sz w:val="19"/>
          <w:szCs w:val="19"/>
          <w:color w:val="auto"/>
        </w:rPr>
        <w:t xml:space="preserve">Section 8.06 </w:t>
      </w:r>
      <w:r>
        <w:rPr>
          <w:rFonts w:ascii="Arial" w:cs="Arial" w:eastAsia="Arial" w:hAnsi="Arial"/>
          <w:sz w:val="19"/>
          <w:szCs w:val="19"/>
          <w:i w:val="1"/>
          <w:iCs w:val="1"/>
          <w:color w:val="auto"/>
        </w:rPr>
        <w:t>Delegation of Duties</w:t>
      </w:r>
      <w:r>
        <w:rPr>
          <w:rFonts w:ascii="Arial" w:cs="Arial" w:eastAsia="Arial" w:hAnsi="Arial"/>
          <w:sz w:val="19"/>
          <w:szCs w:val="19"/>
          <w:color w:val="auto"/>
        </w:rPr>
        <w:t xml:space="preserve">. An Agent may perform any and all of its duties and exercise its rights and powers hereunder or under any other Margin Loan Documentation by or through any one or more sub agents appointed by such Agent, and such Agent and any such sub agent may perform any and all of its duties and exercise its rights and powers by or through their respective Related Parties; </w:t>
      </w:r>
      <w:r>
        <w:rPr>
          <w:rFonts w:ascii="Arial" w:cs="Arial" w:eastAsia="Arial" w:hAnsi="Arial"/>
          <w:sz w:val="19"/>
          <w:szCs w:val="19"/>
          <w:i w:val="1"/>
          <w:iCs w:val="1"/>
          <w:color w:val="auto"/>
        </w:rPr>
        <w:t>provided</w:t>
      </w:r>
      <w:r>
        <w:rPr>
          <w:rFonts w:ascii="Arial" w:cs="Arial" w:eastAsia="Arial" w:hAnsi="Arial"/>
          <w:sz w:val="19"/>
          <w:szCs w:val="19"/>
          <w:color w:val="auto"/>
        </w:rPr>
        <w:t>, in each case, that no such delegation to a sub-agent or a Related Party shall release an Agent from any of its obligations hereunder. Each such sub-agent and the Related Parties of an Agent and each such sub agent shall be entitled to the benefits of all provisions of this Article 8 and Margin Loan Documentation (as though such sub-agents were an “Agent” hereunder and under the other Margin Loan Documentation) as if set forth in full herein with respect thereto.</w:t>
      </w:r>
    </w:p>
    <w:p>
      <w:pPr>
        <w:spacing w:after="0" w:line="154" w:lineRule="exact"/>
        <w:rPr>
          <w:sz w:val="20"/>
          <w:szCs w:val="20"/>
          <w:color w:val="auto"/>
        </w:rPr>
      </w:pPr>
    </w:p>
    <w:p>
      <w:pPr>
        <w:ind w:right="80" w:firstLine="648"/>
        <w:spacing w:after="0" w:line="221" w:lineRule="auto"/>
        <w:rPr>
          <w:sz w:val="20"/>
          <w:szCs w:val="20"/>
          <w:color w:val="auto"/>
        </w:rPr>
      </w:pPr>
      <w:r>
        <w:rPr>
          <w:rFonts w:ascii="Arial" w:cs="Arial" w:eastAsia="Arial" w:hAnsi="Arial"/>
          <w:sz w:val="21"/>
          <w:szCs w:val="21"/>
          <w:color w:val="auto"/>
        </w:rPr>
        <w:t xml:space="preserve">Section 8.07 </w:t>
      </w:r>
      <w:r>
        <w:rPr>
          <w:rFonts w:ascii="Arial" w:cs="Arial" w:eastAsia="Arial" w:hAnsi="Arial"/>
          <w:sz w:val="21"/>
          <w:szCs w:val="21"/>
          <w:i w:val="1"/>
          <w:iCs w:val="1"/>
          <w:color w:val="auto"/>
        </w:rPr>
        <w:t>Resignation of Agent</w:t>
      </w:r>
      <w:r>
        <w:rPr>
          <w:rFonts w:ascii="Arial" w:cs="Arial" w:eastAsia="Arial" w:hAnsi="Arial"/>
          <w:sz w:val="21"/>
          <w:szCs w:val="21"/>
          <w:color w:val="auto"/>
        </w:rPr>
        <w:t>. An Agent may at any time give notice of its resignation to Lenders and Borrowers. Upon receipt of any such notice of resignation, the Required Lenders shall have the right, in consultation with Borrowers (unless an Event of Default shall have occurred and be continuing (and not have been cured or waived), in which case no such consultation shall be required), to appoint a successor, which shall be a bank with an office in New York, New York, or an Affiliate of any such bank with an office in New York, New York. If no such successor shall have been so appointed by the Required Lenders and shall have accepted such appointment within thirty (30) days after the retiring Agent gives notice of its resignation (such 30-day period, the “</w:t>
      </w:r>
      <w:r>
        <w:rPr>
          <w:rFonts w:ascii="Arial" w:cs="Arial" w:eastAsia="Arial" w:hAnsi="Arial"/>
          <w:sz w:val="21"/>
          <w:szCs w:val="21"/>
          <w:b w:val="1"/>
          <w:bCs w:val="1"/>
          <w:i w:val="1"/>
          <w:iCs w:val="1"/>
          <w:color w:val="auto"/>
        </w:rPr>
        <w:t>Lender Appointment Period</w:t>
      </w:r>
      <w:r>
        <w:rPr>
          <w:rFonts w:ascii="Arial" w:cs="Arial" w:eastAsia="Arial" w:hAnsi="Arial"/>
          <w:sz w:val="21"/>
          <w:szCs w:val="21"/>
          <w:color w:val="auto"/>
        </w:rPr>
        <w:t>”), then the retiring Agent may on behalf of the Lenders appoint a successor Agent meeting the qualifications set forth above.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20"/>
          </w:cols>
          <w:pgMar w:left="320" w:top="1440" w:right="359" w:bottom="1440" w:gutter="0" w:footer="0" w:header="0"/>
        </w:sectPr>
      </w:pPr>
    </w:p>
    <w:bookmarkStart w:id="137" w:name="page138"/>
    <w:bookmarkEnd w:id="137"/>
    <w:p>
      <w:pPr>
        <w:spacing w:after="0" w:line="200" w:lineRule="exact"/>
        <w:rPr>
          <w:sz w:val="20"/>
          <w:szCs w:val="20"/>
          <w:color w:val="auto"/>
        </w:rPr>
      </w:pPr>
    </w:p>
    <w:p>
      <w:pPr>
        <w:spacing w:after="0" w:line="233" w:lineRule="exact"/>
        <w:rPr>
          <w:sz w:val="20"/>
          <w:szCs w:val="20"/>
          <w:color w:val="auto"/>
        </w:rPr>
      </w:pPr>
    </w:p>
    <w:p>
      <w:pPr>
        <w:ind w:right="120"/>
        <w:spacing w:after="0" w:line="238" w:lineRule="auto"/>
        <w:rPr>
          <w:sz w:val="20"/>
          <w:szCs w:val="20"/>
          <w:color w:val="auto"/>
        </w:rPr>
      </w:pPr>
      <w:r>
        <w:rPr>
          <w:rFonts w:ascii="Arial" w:cs="Arial" w:eastAsia="Arial" w:hAnsi="Arial"/>
          <w:sz w:val="19"/>
          <w:szCs w:val="19"/>
          <w:color w:val="auto"/>
        </w:rPr>
        <w:t>addition and without any obligation on the part of the retiring Agent to appoint, on behalf of the Lenders, a successor Agent, the retiring Agent may at any time upon or after the end of the Lender Appointment Period notify Borrowers and Lenders that no qualifying Person has accepted appointment as successor Agent and of the effective date of such retiring Agent’s resignation which effective date shall be no earlier than three (3) Business Days after the date of such notice. Upon the resignation effective date established in such notice and regardless of whether a successor Agent has been appointed and accepted such appointment, the retiring Agent’s resignation shall nonetheless become effective and (i) the retiring Agent shall be discharged from its duties and obligations as an Agent hereunder and under the other Margin Loan Documentation but shall not be relieved of any of its obligations as a Lender and (ii) all payments, communications and determinations provided to be made by, to or through such Agent shall instead be made by or to each Lender directly, until such time as the Required Lenders appoint a successor Agent as provided for above in this paragraph. The successor shall be consented to by Borrowers at all times other than during the existence of an Event of Default that has not been cured or waived (which consent of Borrowers shall not be unreasonably withheld or delayed). Upon the acceptance of a successor’s appointment as an Agent hereunder, such successor shall succeed to and become vested with all of the rights, powers, privileges and duties as an Agent of the retiring (or retired) Agent, and the retiring Agent shall be discharged from all of its duties and obligations as an Agent hereunder and/or under the other Margin Loan Documentation but shall not be relieved of any of its obligations as a Lender (if not already discharged therefrom as provided above in this Section 8.07). The fees payable by Borrowers to a successor Agent shall be the same as those payable to its predecessor unless otherwise agreed between Borrowers and such successor. After the retiring Agent’s resignation hereunder and under the other Margin Loan Documentation, the provisions of this Article 8 shall continue in effect for the benefit of such retiring Agent, its sub-agents and their respective Related Parties in respect of any actions taken or omitted to be taken by any of them while the retiring Agent was acting as an Agent. Notwithstanding anything herein to the contrary, if at any time any Agent ceases to be a Lender hereunder, such Agent shall be deemed to have provided its notice of resignation, which notice shall be automatically effective as of the date such Agent ceased to be a Lender hereunder.</w:t>
      </w:r>
    </w:p>
    <w:p>
      <w:pPr>
        <w:spacing w:after="0" w:line="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8.08</w:t>
      </w:r>
      <w:r>
        <w:rPr>
          <w:sz w:val="20"/>
          <w:szCs w:val="20"/>
          <w:color w:val="auto"/>
        </w:rPr>
        <w:tab/>
      </w:r>
      <w:r>
        <w:rPr>
          <w:rFonts w:ascii="Arial" w:cs="Arial" w:eastAsia="Arial" w:hAnsi="Arial"/>
          <w:sz w:val="19"/>
          <w:szCs w:val="19"/>
          <w:i w:val="1"/>
          <w:iCs w:val="1"/>
          <w:color w:val="auto"/>
        </w:rPr>
        <w:t>Non-Reliance on Agents and Other Lenders</w:t>
      </w:r>
      <w:r>
        <w:rPr>
          <w:rFonts w:ascii="Arial" w:cs="Arial" w:eastAsia="Arial" w:hAnsi="Arial"/>
          <w:sz w:val="19"/>
          <w:szCs w:val="19"/>
          <w:color w:val="auto"/>
        </w:rPr>
        <w:t>.</w:t>
      </w:r>
    </w:p>
    <w:p>
      <w:pPr>
        <w:spacing w:after="0" w:line="161" w:lineRule="exact"/>
        <w:rPr>
          <w:sz w:val="20"/>
          <w:szCs w:val="20"/>
          <w:color w:val="auto"/>
        </w:rPr>
      </w:pPr>
    </w:p>
    <w:p>
      <w:pPr>
        <w:ind w:right="140" w:firstLine="850"/>
        <w:spacing w:after="0" w:line="249" w:lineRule="auto"/>
        <w:tabs>
          <w:tab w:leader="none" w:pos="128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Each Lender confirms to Agents, each other Lender and each of their respective Related Parties that it (i) possesses (individually or through its Related Parties) such knowledge and experience in financial and business matters that it is capable, without reliance on Agents, any other Lender or any of their respective Related Parties, of evaluating the merits and risks (including tax, legal, regulatory, credit, accounting and other financial matters) of (x) entering into this Agreement, (y) making its portion of the Facility and (z) taking or not taking actions hereunder, (ii) is financially able to bear such risks and (iii) has determined that entering into this Agreement and making its portion of the Facility is suitable and appropriate for it.</w:t>
      </w:r>
    </w:p>
    <w:p>
      <w:pPr>
        <w:spacing w:after="0" w:line="178" w:lineRule="exact"/>
        <w:rPr>
          <w:rFonts w:ascii="Arial" w:cs="Arial" w:eastAsia="Arial" w:hAnsi="Arial"/>
          <w:sz w:val="19"/>
          <w:szCs w:val="19"/>
          <w:color w:val="auto"/>
        </w:rPr>
      </w:pPr>
    </w:p>
    <w:p>
      <w:pPr>
        <w:ind w:firstLine="850"/>
        <w:spacing w:after="0" w:line="247" w:lineRule="auto"/>
        <w:tabs>
          <w:tab w:leader="none" w:pos="1283" w:val="left"/>
        </w:tabs>
        <w:numPr>
          <w:ilvl w:val="0"/>
          <w:numId w:val="119"/>
        </w:numPr>
        <w:rPr>
          <w:rFonts w:ascii="Arial" w:cs="Arial" w:eastAsia="Arial" w:hAnsi="Arial"/>
          <w:sz w:val="19"/>
          <w:szCs w:val="19"/>
          <w:color w:val="auto"/>
        </w:rPr>
      </w:pPr>
      <w:r>
        <w:rPr>
          <w:rFonts w:ascii="Arial" w:cs="Arial" w:eastAsia="Arial" w:hAnsi="Arial"/>
          <w:sz w:val="19"/>
          <w:szCs w:val="19"/>
          <w:color w:val="auto"/>
        </w:rPr>
        <w:t>Each Lender acknowledges that (i) it is solely responsible for making its own independent appraisal and investigation of all risks arising under or in connection with this Agreement and the other Margin Loan Documentation, (ii) it has, independently and without reliance upon Agents, any other Lender or any of their respective Related Parties, made its own appraisal and investigation of all risks associated with, and its own credit analysis and decision to enter into, this Agreement based on such documents and information as it has deemed appropriate and (iii) it will, independently and without reliance upon Agents, any other Lender or any of their respective Related Parties, continue to be solely responsible for making its own appraisal and investigation of all risks arising under or in connection with, and its own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00" w:lineRule="exact"/>
        <w:rPr>
          <w:sz w:val="20"/>
          <w:szCs w:val="20"/>
          <w:color w:val="auto"/>
        </w:rPr>
      </w:pPr>
    </w:p>
    <w:p>
      <w:pPr>
        <w:spacing w:after="0" w:line="233" w:lineRule="exact"/>
        <w:rPr>
          <w:sz w:val="20"/>
          <w:szCs w:val="20"/>
          <w:color w:val="auto"/>
        </w:rPr>
      </w:pPr>
    </w:p>
    <w:p>
      <w:pPr>
        <w:spacing w:after="0" w:line="216" w:lineRule="auto"/>
        <w:rPr>
          <w:sz w:val="20"/>
          <w:szCs w:val="20"/>
          <w:color w:val="auto"/>
        </w:rPr>
      </w:pPr>
      <w:r>
        <w:rPr>
          <w:rFonts w:ascii="Arial" w:cs="Arial" w:eastAsia="Arial" w:hAnsi="Arial"/>
          <w:sz w:val="22"/>
          <w:szCs w:val="22"/>
          <w:color w:val="auto"/>
        </w:rPr>
        <w:t>analysis and decision to take or not take action under, this Agreement and the other Margin Loan Documentation and whether or to the extent to which it will continue as a Lender or assign or otherwise transfer its rights, interests and obligations hereunder, based on such documents and information (which may contain material, non-public information within the meaning of the United States securities laws concerning Borrowers and Affiliates of Borrowers) as it shall from time to time deem appropriate, which may include, in each case:</w:t>
      </w:r>
    </w:p>
    <w:p>
      <w:pPr>
        <w:spacing w:after="0" w:line="158" w:lineRule="exact"/>
        <w:rPr>
          <w:sz w:val="20"/>
          <w:szCs w:val="20"/>
          <w:color w:val="auto"/>
        </w:rPr>
      </w:pPr>
    </w:p>
    <w:p>
      <w:pPr>
        <w:ind w:left="1940" w:hanging="312"/>
        <w:spacing w:after="0"/>
        <w:tabs>
          <w:tab w:leader="none" w:pos="194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financial condition, status and capitalization of Borrowers;</w:t>
      </w:r>
    </w:p>
    <w:p>
      <w:pPr>
        <w:spacing w:after="0" w:line="179" w:lineRule="exact"/>
        <w:rPr>
          <w:rFonts w:ascii="Arial" w:cs="Arial" w:eastAsia="Arial" w:hAnsi="Arial"/>
          <w:sz w:val="22"/>
          <w:szCs w:val="22"/>
          <w:color w:val="auto"/>
        </w:rPr>
      </w:pPr>
    </w:p>
    <w:p>
      <w:pPr>
        <w:ind w:left="660" w:right="220" w:firstLine="968"/>
        <w:spacing w:after="0" w:line="223" w:lineRule="auto"/>
        <w:tabs>
          <w:tab w:leader="none" w:pos="195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legality, validity, effectiveness, adequacy or enforceability of this Agreement and the other Margin Loan Documentation and any other agreement, arrangement or document entered into, made or executed in anticipation of, under or in connection with this Agreement;</w:t>
      </w:r>
    </w:p>
    <w:p>
      <w:pPr>
        <w:spacing w:after="0" w:line="159" w:lineRule="exact"/>
        <w:rPr>
          <w:sz w:val="20"/>
          <w:szCs w:val="20"/>
          <w:color w:val="auto"/>
        </w:rPr>
      </w:pPr>
    </w:p>
    <w:p>
      <w:pPr>
        <w:ind w:left="660" w:right="200" w:firstLine="972"/>
        <w:spacing w:after="0" w:line="223" w:lineRule="auto"/>
        <w:rPr>
          <w:sz w:val="20"/>
          <w:szCs w:val="20"/>
          <w:color w:val="auto"/>
        </w:rPr>
      </w:pPr>
      <w:r>
        <w:rPr>
          <w:rFonts w:ascii="Arial" w:cs="Arial" w:eastAsia="Arial" w:hAnsi="Arial"/>
          <w:sz w:val="22"/>
          <w:szCs w:val="22"/>
          <w:color w:val="auto"/>
        </w:rPr>
        <w:t>(iii)determining compliance or non-compliance with any condition hereunder to the making of the Advances and the form and substance of all evidence delivered in connection with establishing the satisfaction of each such condition; and</w:t>
      </w:r>
    </w:p>
    <w:p>
      <w:pPr>
        <w:spacing w:after="0" w:line="159" w:lineRule="exact"/>
        <w:rPr>
          <w:sz w:val="20"/>
          <w:szCs w:val="20"/>
          <w:color w:val="auto"/>
        </w:rPr>
      </w:pPr>
    </w:p>
    <w:p>
      <w:pPr>
        <w:jc w:val="both"/>
        <w:ind w:left="660" w:right="460" w:firstLine="972"/>
        <w:spacing w:after="0" w:line="257" w:lineRule="auto"/>
        <w:rPr>
          <w:sz w:val="20"/>
          <w:szCs w:val="20"/>
          <w:color w:val="auto"/>
        </w:rPr>
      </w:pPr>
      <w:r>
        <w:rPr>
          <w:rFonts w:ascii="Arial" w:cs="Arial" w:eastAsia="Arial" w:hAnsi="Arial"/>
          <w:sz w:val="19"/>
          <w:szCs w:val="19"/>
          <w:color w:val="auto"/>
        </w:rPr>
        <w:t>(iv)the adequacy, accuracy and/or completeness of any other information delivered by Agents, any other Lender or any of their respective Related Parties under or in connection with this Agreement, the other Margin Loan Documentation, the transactions contemplated hereby and thereby or any other agreement, arrangement or document entered into, made or executed in anticipation of, under or in connection with this Agreement.</w:t>
      </w:r>
    </w:p>
    <w:p>
      <w:pPr>
        <w:spacing w:after="0" w:line="144" w:lineRule="exact"/>
        <w:rPr>
          <w:sz w:val="20"/>
          <w:szCs w:val="20"/>
          <w:color w:val="auto"/>
        </w:rPr>
      </w:pPr>
    </w:p>
    <w:p>
      <w:pPr>
        <w:ind w:right="60" w:firstLine="648"/>
        <w:spacing w:after="0" w:line="242" w:lineRule="auto"/>
        <w:rPr>
          <w:sz w:val="20"/>
          <w:szCs w:val="20"/>
          <w:color w:val="auto"/>
        </w:rPr>
      </w:pPr>
      <w:r>
        <w:rPr>
          <w:rFonts w:ascii="Arial" w:cs="Arial" w:eastAsia="Arial" w:hAnsi="Arial"/>
          <w:sz w:val="19"/>
          <w:szCs w:val="19"/>
          <w:color w:val="auto"/>
        </w:rPr>
        <w:t xml:space="preserve">Section 8.09 </w:t>
      </w:r>
      <w:r>
        <w:rPr>
          <w:rFonts w:ascii="Arial" w:cs="Arial" w:eastAsia="Arial" w:hAnsi="Arial"/>
          <w:sz w:val="19"/>
          <w:szCs w:val="19"/>
          <w:i w:val="1"/>
          <w:iCs w:val="1"/>
          <w:color w:val="auto"/>
        </w:rPr>
        <w:t>Removal of Administrative Agent</w:t>
      </w:r>
      <w:r>
        <w:rPr>
          <w:rFonts w:ascii="Arial" w:cs="Arial" w:eastAsia="Arial" w:hAnsi="Arial"/>
          <w:sz w:val="19"/>
          <w:szCs w:val="19"/>
          <w:color w:val="auto"/>
        </w:rPr>
        <w:t>. At any time, if (a) following the occurrence of an Event of Default, Administrative Agent shall fail to send an Event of Default Notice when required at the request of the Required Lenders, or, in the case of an Event of Default of the type that gives any Lender the right to send an Event of Default Notice under Section 7.01, any Lender, by 7:00 p.m. on the date such request is sent to Administrative Agent (or by 9:00 a.m. on the date following such request, if such request is made after 5:00 p.m.) or (b) following the occurrence of a Collateral Call Trigger Event on any Scheduled Trading Day, Administrative Agent shall fail to send a Collateral Call Notice by 7:00 p.m., in each case, the Required Lenders shall have the right to remove Administrative Agent and appoint a successor, which shall be one of the Lenders party hereto on the date hereof. Any such removal and appointment shall be effective upon notice by such proposed successor Administrative Agent to the removed Administrative Agent and Borrowers on behalf of the Required Lenders, whereupon (i) the current Administrative Agent shall be discharged from its duties and obligations as an Agent hereunder and under the Margin Loan Documentation, but shall not be relieved of any of its obligations as a Lender and (ii) the successor shall succeed to and become vested with all of the rights, powers, privileges and duties as an Administrative Agent.</w:t>
      </w:r>
    </w:p>
    <w:p>
      <w:pPr>
        <w:spacing w:after="0" w:line="253"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9</w:t>
      </w:r>
    </w:p>
    <w:p>
      <w:pPr>
        <w:ind w:left="5000"/>
        <w:spacing w:after="0"/>
        <w:rPr>
          <w:sz w:val="20"/>
          <w:szCs w:val="20"/>
          <w:color w:val="auto"/>
        </w:rPr>
      </w:pPr>
      <w:r>
        <w:rPr>
          <w:rFonts w:ascii="Arial" w:cs="Arial" w:eastAsia="Arial" w:hAnsi="Arial"/>
          <w:sz w:val="22"/>
          <w:szCs w:val="22"/>
          <w:color w:val="auto"/>
        </w:rPr>
        <w:t>Miscellaneous</w:t>
      </w:r>
    </w:p>
    <w:p>
      <w:pPr>
        <w:spacing w:after="0" w:line="16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i w:val="1"/>
          <w:iCs w:val="1"/>
          <w:color w:val="auto"/>
        </w:rPr>
        <w:t>Amendments, Adjustments, Etc.</w:t>
      </w:r>
      <w:r>
        <w:rPr>
          <w:rFonts w:ascii="Arial" w:cs="Arial" w:eastAsia="Arial" w:hAnsi="Arial"/>
          <w:sz w:val="19"/>
          <w:szCs w:val="19"/>
          <w:color w:val="auto"/>
        </w:rPr>
        <w:t xml:space="preserve"> Neither this Agreement nor any of the other Margin Loan Documentation nor any provision hereof or thereof may be waived, amended, modified or supplemented, nor any consent granted to any deviation to the terms hereof or thereof, except pursuant to an agreement or agreements in writing entered into by the Required Lenders and Borrowers, and acknowledged by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amendment, waiver, modification, supplement or consent shall, without the consent of each Lender party hereto:</w:t>
      </w:r>
    </w:p>
    <w:p>
      <w:pPr>
        <w:spacing w:after="0" w:line="179" w:lineRule="exact"/>
        <w:rPr>
          <w:sz w:val="20"/>
          <w:szCs w:val="20"/>
          <w:color w:val="auto"/>
        </w:rPr>
      </w:pPr>
    </w:p>
    <w:p>
      <w:pPr>
        <w:ind w:left="1300" w:hanging="450"/>
        <w:spacing w:after="0"/>
        <w:tabs>
          <w:tab w:leader="none" w:pos="13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waive any condition set forth in Article 4;</w:t>
      </w:r>
    </w:p>
    <w:p>
      <w:pPr>
        <w:spacing w:after="0" w:line="179" w:lineRule="exact"/>
        <w:rPr>
          <w:rFonts w:ascii="Arial" w:cs="Arial" w:eastAsia="Arial" w:hAnsi="Arial"/>
          <w:sz w:val="22"/>
          <w:szCs w:val="22"/>
          <w:color w:val="auto"/>
        </w:rPr>
      </w:pPr>
    </w:p>
    <w:p>
      <w:pPr>
        <w:ind w:left="1300" w:hanging="450"/>
        <w:spacing w:after="0"/>
        <w:tabs>
          <w:tab w:leader="none" w:pos="130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extend or increase the Commitment of any Lender or reinstate the terminated Commitment of any Lender;</w:t>
      </w:r>
    </w:p>
    <w:p>
      <w:pPr>
        <w:spacing w:after="0" w:line="190" w:lineRule="exact"/>
        <w:rPr>
          <w:rFonts w:ascii="Arial" w:cs="Arial" w:eastAsia="Arial" w:hAnsi="Arial"/>
          <w:sz w:val="21"/>
          <w:szCs w:val="21"/>
          <w:color w:val="auto"/>
        </w:rPr>
      </w:pPr>
    </w:p>
    <w:p>
      <w:pPr>
        <w:ind w:right="80" w:firstLine="850"/>
        <w:spacing w:after="0" w:line="232" w:lineRule="auto"/>
        <w:tabs>
          <w:tab w:leader="none" w:pos="128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postpone any date on which any payment of principal, interest, fees or other amounts due to Lenders or Agents is required to be made hereunder or under any other Margin Loan Documentation;</w:t>
      </w:r>
    </w:p>
    <w:p>
      <w:pPr>
        <w:spacing w:after="0" w:line="158" w:lineRule="exact"/>
        <w:rPr>
          <w:rFonts w:ascii="Arial" w:cs="Arial" w:eastAsia="Arial" w:hAnsi="Arial"/>
          <w:sz w:val="22"/>
          <w:szCs w:val="22"/>
          <w:color w:val="auto"/>
        </w:rPr>
      </w:pPr>
    </w:p>
    <w:p>
      <w:pPr>
        <w:ind w:right="680" w:firstLine="850"/>
        <w:spacing w:after="0" w:line="232" w:lineRule="auto"/>
        <w:tabs>
          <w:tab w:leader="none" w:pos="1283" w:val="left"/>
        </w:tabs>
        <w:numPr>
          <w:ilvl w:val="0"/>
          <w:numId w:val="121"/>
        </w:numPr>
        <w:rPr>
          <w:rFonts w:ascii="Arial" w:cs="Arial" w:eastAsia="Arial" w:hAnsi="Arial"/>
          <w:sz w:val="22"/>
          <w:szCs w:val="22"/>
          <w:color w:val="auto"/>
        </w:rPr>
      </w:pPr>
      <w:r>
        <w:rPr>
          <w:rFonts w:ascii="Arial" w:cs="Arial" w:eastAsia="Arial" w:hAnsi="Arial"/>
          <w:sz w:val="22"/>
          <w:szCs w:val="22"/>
          <w:color w:val="auto"/>
        </w:rPr>
        <w:t>change the principal amount of, or the rate at which interest accrues on, the Advances, or any fees payable hereunder (including, for the avoidance of doubt, the Undrawn Fee);</w:t>
      </w:r>
    </w:p>
    <w:p>
      <w:pPr>
        <w:spacing w:after="0" w:line="158" w:lineRule="exact"/>
        <w:rPr>
          <w:rFonts w:ascii="Arial" w:cs="Arial" w:eastAsia="Arial" w:hAnsi="Arial"/>
          <w:sz w:val="22"/>
          <w:szCs w:val="22"/>
          <w:color w:val="auto"/>
        </w:rPr>
      </w:pPr>
    </w:p>
    <w:p>
      <w:pPr>
        <w:ind w:right="160" w:firstLine="850"/>
        <w:spacing w:after="0" w:line="221" w:lineRule="auto"/>
        <w:tabs>
          <w:tab w:leader="none" w:pos="1284" w:val="left"/>
        </w:tabs>
        <w:numPr>
          <w:ilvl w:val="0"/>
          <w:numId w:val="121"/>
        </w:numPr>
        <w:rPr>
          <w:rFonts w:ascii="Arial" w:cs="Arial" w:eastAsia="Arial" w:hAnsi="Arial"/>
          <w:sz w:val="21"/>
          <w:szCs w:val="21"/>
          <w:color w:val="auto"/>
        </w:rPr>
      </w:pPr>
      <w:r>
        <w:rPr>
          <w:rFonts w:ascii="Arial" w:cs="Arial" w:eastAsia="Arial" w:hAnsi="Arial"/>
          <w:sz w:val="21"/>
          <w:szCs w:val="21"/>
          <w:color w:val="auto"/>
        </w:rPr>
        <w:t>change the definition of “Acceptable Collateral,” “Aggregate Collateral Share Value,” “CDAY Concentration,” “CDAY Existing Transfer Restrictions,” “Change in Law,” “Change of Control,” “Delisting,” “DNB Existing Transfer Restrictions,” “Facility Adjustment Event,” “Facility LTV,” “Free Float,” “Free Float Percentage,” “Independent Director Matters,” “LTV Level,” “Mandatory Prepayment Amount,” “Mandatory Prepayment Event,” “Market Disruption Event,” “Market Price,” “Merger Event,” “Ordinary Cash Dividend,” “Permitted Collateral Share Sale,” “Permitted Transaction,” “PIK Interest Conditions,” “Potential Facility Adjustment Event,” “Prohibited Transaction,” “Required Lenders,” “Restricted Transactions,” “Separateness Provisions,” “Share Collateral Value,” “Collateral Call Trigger Event,” “Tender Offer,” “Trading Suspension,” or “Transfer Restrictions” (or, in each case, any defined term used therein), or increase the Initial LTV, the Collateral Call LTV Level or the Maintenance LTV Level;</w:t>
      </w:r>
    </w:p>
    <w:p>
      <w:pPr>
        <w:spacing w:after="0" w:line="158" w:lineRule="exact"/>
        <w:rPr>
          <w:rFonts w:ascii="Arial" w:cs="Arial" w:eastAsia="Arial" w:hAnsi="Arial"/>
          <w:sz w:val="21"/>
          <w:szCs w:val="21"/>
          <w:color w:val="auto"/>
        </w:rPr>
      </w:pPr>
    </w:p>
    <w:p>
      <w:pPr>
        <w:ind w:right="380" w:firstLine="850"/>
        <w:spacing w:after="0" w:line="232" w:lineRule="auto"/>
        <w:tabs>
          <w:tab w:leader="none" w:pos="128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permit the assignment or transfer by any Borrower of any of its rights and obligations under any Margin Loan Documentation to which it is a party;</w:t>
      </w:r>
    </w:p>
    <w:p>
      <w:pPr>
        <w:spacing w:after="0" w:line="158" w:lineRule="exact"/>
        <w:rPr>
          <w:rFonts w:ascii="Arial" w:cs="Arial" w:eastAsia="Arial" w:hAnsi="Arial"/>
          <w:sz w:val="22"/>
          <w:szCs w:val="22"/>
          <w:color w:val="auto"/>
        </w:rPr>
      </w:pPr>
    </w:p>
    <w:p>
      <w:pPr>
        <w:ind w:left="1300" w:hanging="450"/>
        <w:spacing w:after="0"/>
        <w:tabs>
          <w:tab w:leader="none" w:pos="13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permit the release of any Collateral other than in accordance with the Margin Loan Documentation;</w:t>
      </w:r>
    </w:p>
    <w:p>
      <w:pPr>
        <w:spacing w:after="0" w:line="179" w:lineRule="exact"/>
        <w:rPr>
          <w:rFonts w:ascii="Arial" w:cs="Arial" w:eastAsia="Arial" w:hAnsi="Arial"/>
          <w:sz w:val="22"/>
          <w:szCs w:val="22"/>
          <w:color w:val="auto"/>
        </w:rPr>
      </w:pPr>
    </w:p>
    <w:p>
      <w:pPr>
        <w:ind w:right="60" w:firstLine="850"/>
        <w:spacing w:after="0" w:line="223" w:lineRule="auto"/>
        <w:tabs>
          <w:tab w:leader="none" w:pos="1283" w:val="left"/>
        </w:tabs>
        <w:numPr>
          <w:ilvl w:val="0"/>
          <w:numId w:val="121"/>
        </w:numPr>
        <w:rPr>
          <w:rFonts w:ascii="Arial" w:cs="Arial" w:eastAsia="Arial" w:hAnsi="Arial"/>
          <w:sz w:val="22"/>
          <w:szCs w:val="22"/>
          <w:color w:val="auto"/>
        </w:rPr>
      </w:pPr>
      <w:r>
        <w:rPr>
          <w:rFonts w:ascii="Arial" w:cs="Arial" w:eastAsia="Arial" w:hAnsi="Arial"/>
          <w:sz w:val="22"/>
          <w:szCs w:val="22"/>
          <w:color w:val="auto"/>
        </w:rPr>
        <w:t>modify the definition of “Applicable Percentage,” “Funding Percentage,” “Incremental Commitment Percentage” or “Pro Rata Basis” or otherwise affect the manner in which payments are shared, or Collateral is allocated, ratably among Lenders;</w:t>
      </w:r>
    </w:p>
    <w:p>
      <w:pPr>
        <w:spacing w:after="0" w:line="158" w:lineRule="exact"/>
        <w:rPr>
          <w:rFonts w:ascii="Arial" w:cs="Arial" w:eastAsia="Arial" w:hAnsi="Arial"/>
          <w:sz w:val="22"/>
          <w:szCs w:val="22"/>
          <w:color w:val="auto"/>
        </w:rPr>
      </w:pPr>
    </w:p>
    <w:p>
      <w:pPr>
        <w:ind w:left="1300" w:hanging="450"/>
        <w:spacing w:after="0"/>
        <w:tabs>
          <w:tab w:leader="none" w:pos="13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modify Section 2.08 (other than clause (a) thereof), Section 2.15, Section 5.13 or Section 6.11;</w:t>
      </w:r>
    </w:p>
    <w:p>
      <w:pPr>
        <w:spacing w:after="0" w:line="179" w:lineRule="exact"/>
        <w:rPr>
          <w:rFonts w:ascii="Arial" w:cs="Arial" w:eastAsia="Arial" w:hAnsi="Arial"/>
          <w:sz w:val="22"/>
          <w:szCs w:val="22"/>
          <w:color w:val="auto"/>
        </w:rPr>
      </w:pPr>
    </w:p>
    <w:p>
      <w:pPr>
        <w:ind w:right="660" w:firstLine="850"/>
        <w:spacing w:after="0" w:line="232" w:lineRule="auto"/>
        <w:tabs>
          <w:tab w:leader="none" w:pos="128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modify this Section 9.01 or any other provision herein that expressly requires the consent of all Lenders or Required Lenders for any matter or the definition of “Required Lenders”;</w:t>
      </w:r>
    </w:p>
    <w:p>
      <w:pPr>
        <w:spacing w:after="0" w:line="158" w:lineRule="exact"/>
        <w:rPr>
          <w:rFonts w:ascii="Arial" w:cs="Arial" w:eastAsia="Arial" w:hAnsi="Arial"/>
          <w:sz w:val="22"/>
          <w:szCs w:val="22"/>
          <w:color w:val="auto"/>
        </w:rPr>
      </w:pPr>
    </w:p>
    <w:p>
      <w:pPr>
        <w:ind w:left="1300" w:hanging="450"/>
        <w:spacing w:after="0"/>
        <w:tabs>
          <w:tab w:leader="none" w:pos="13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amend or modify any part of the Fee and Ratio Letter;</w:t>
      </w:r>
    </w:p>
    <w:p>
      <w:pPr>
        <w:spacing w:after="0" w:line="179" w:lineRule="exact"/>
        <w:rPr>
          <w:rFonts w:ascii="Arial" w:cs="Arial" w:eastAsia="Arial" w:hAnsi="Arial"/>
          <w:sz w:val="22"/>
          <w:szCs w:val="22"/>
          <w:color w:val="auto"/>
        </w:rPr>
      </w:pPr>
    </w:p>
    <w:p>
      <w:pPr>
        <w:ind w:firstLine="850"/>
        <w:spacing w:after="0" w:line="232" w:lineRule="auto"/>
        <w:tabs>
          <w:tab w:leader="none" w:pos="128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release Guarantor from its obligations under the Guarantee Agreement (other than in accordance with the terms of the Guarantee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160"/>
          </w:cols>
          <w:pgMar w:left="320" w:top="1440" w:right="419" w:bottom="1440" w:gutter="0" w:footer="0" w:header="0"/>
        </w:sectPr>
      </w:pPr>
    </w:p>
    <w:bookmarkStart w:id="140" w:name="page141"/>
    <w:bookmarkEnd w:id="140"/>
    <w:p>
      <w:pPr>
        <w:spacing w:after="0" w:line="200" w:lineRule="exact"/>
        <w:rPr>
          <w:sz w:val="20"/>
          <w:szCs w:val="20"/>
          <w:color w:val="auto"/>
        </w:rPr>
      </w:pPr>
    </w:p>
    <w:p>
      <w:pPr>
        <w:spacing w:after="0" w:line="233" w:lineRule="exact"/>
        <w:rPr>
          <w:sz w:val="20"/>
          <w:szCs w:val="20"/>
          <w:color w:val="auto"/>
        </w:rPr>
      </w:pPr>
    </w:p>
    <w:p>
      <w:pPr>
        <w:ind w:right="20" w:firstLine="850"/>
        <w:spacing w:after="0" w:line="221" w:lineRule="auto"/>
        <w:tabs>
          <w:tab w:leader="none" w:pos="1289"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materially impair or diminish, or circumvent, any term or provision specified above (including, without limitation, by modifying any defined term used therein or any provision referenced therein);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(i) the provisions set forth in Article 8 shall not be waived, amended, modified or supplemented, nor any consent granted to any deviation thereto, without the consent of each Agent affected thereby, (ii) if the terms of any Advances made on any date differ from the terms of the Advances made on any other date, no waiver, amendment, modification, supplement, or consent granted to any deviation from the terms of the Margin Loan Documentation shall uniquely affect any tranche of Advances without the consent of Required Lenders, and (iii) Sections 2.09, 2.10, 2.11, 2.12 or 2.13 shall not be amended or waived in a way that adversely affects any Lender without such Lender’s consent.</w:t>
      </w:r>
    </w:p>
    <w:p>
      <w:pPr>
        <w:spacing w:after="0" w:line="165"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Notwithstanding the foregoing, each Lender agrees with each other Lender and with Borrowers that no amendment, termination or supplement shall be made to any Security Agreement, Issuer Agreement or Control Agreement, and no new Margin Loan Documentation shall be entered into with any Lender (subject, for the avoidance of doubt, to Section 2.15), unless a substantially identical amendment, termination or supplement is made to each other Security Agreement, Issuer Agreement or Control Agreement, or substantially identical Margin Loan Documentation is entered into with each other Lender (or, in the case of Section 2.15, each other Lender is already party to substantially identical Margin Loan Documentation), as the case may be.</w:t>
      </w:r>
    </w:p>
    <w:p>
      <w:pPr>
        <w:spacing w:after="0" w:line="152"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Notwithstanding anything to the contrary herein, upon the occurrence of any Facility Adjustment Event or Potential Facility Adjustment Event, Calculation Agent shall, in a commercially reasonable manner (a) adjust one or more of the terms or provisions of the Facility as Calculation Agent reasonably determines necessary to account for the effect of the Facility Adjustment Event or Potential Facility Adjustment Event on the Facility (unless Calculation Agent determines that no such adjustment is necessary), and (b) determine the effective time of the adjustment (taking into account, among other factors, volatility, correlation, liquidity and free float of the Shares or any other Collateral, the credit profile of Issuers or the issuer of such other Collateral and Transfer Restrictions, in each case, relative to the applicable Shares or, if applicable, any other Collateral prior to giving effect to the relevant event). Following the occurrence of any Facility Adjustment Event or Potential Facility Adjustment Event, Calculation Agent shall notify each Lender of the adjustments to the terms or provisions of the Facility that it proposes to make in respect thereof, and the proposed effective time therefor (or its determination that no such adjustment is necessary). If, within three Business Days of receiving such notice, Required Lenders notify Calculation Agent that they disagree with such proposed adjustments or effective time (or Calculation Agent’s determination that no such adjustment is necessary), and include in such notice an alternative set of adjustments that Required Lenders propose to make in respect of such Facility Adjustment Event or Potential Facility Adjustment Event and a proposed effective time therefor, then Calculation Agent shall notify Borrower that such alternative adjustments apply as of such effective time. Any such adjustments pursuant to this paragraph shall be binding on all parties to the Margin Loan Documentation and all such parties shall enter into such documentation required or reasonably requested by Administrative Agent to reflect such adjustments.</w:t>
      </w:r>
    </w:p>
    <w:p>
      <w:pPr>
        <w:spacing w:after="0" w:line="158"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color w:val="auto"/>
        </w:rPr>
        <w:t>Notwithstanding the foregoing (and without limitation of the proviso to the definition of “Potential Facility Adjustment Event”), upon the occurrence of any Facility Adjustment Event or Potential Facility Adjustment Event, the adjustments, if any, in respect thereof pursuant to the two immediately preceding paragraphs will not, solely as a result of such adjustment, directly cause a Mandatory Prepayment Event to have occurred and be continuing immediately after giving effect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00"/>
          </w:cols>
          <w:pgMar w:left="320" w:top="1440" w:right="379" w:bottom="1440" w:gutter="0" w:footer="0" w:header="0"/>
        </w:sectPr>
      </w:pPr>
    </w:p>
    <w:bookmarkStart w:id="141" w:name="page142"/>
    <w:bookmarkEnd w:id="141"/>
    <w:p>
      <w:pPr>
        <w:spacing w:after="0" w:line="200" w:lineRule="exact"/>
        <w:rPr>
          <w:sz w:val="20"/>
          <w:szCs w:val="20"/>
          <w:color w:val="auto"/>
        </w:rPr>
      </w:pP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i w:val="1"/>
          <w:iCs w:val="1"/>
          <w:color w:val="auto"/>
        </w:rPr>
        <w:t>Notices; Effectiveness; Electronic Communications</w:t>
      </w:r>
      <w:r>
        <w:rPr>
          <w:rFonts w:ascii="Arial" w:cs="Arial" w:eastAsia="Arial" w:hAnsi="Arial"/>
          <w:sz w:val="19"/>
          <w:szCs w:val="19"/>
          <w:color w:val="auto"/>
        </w:rPr>
        <w:t>.</w:t>
      </w:r>
    </w:p>
    <w:p>
      <w:pPr>
        <w:spacing w:after="0" w:line="179" w:lineRule="exact"/>
        <w:rPr>
          <w:sz w:val="20"/>
          <w:szCs w:val="20"/>
          <w:color w:val="auto"/>
        </w:rPr>
      </w:pPr>
    </w:p>
    <w:p>
      <w:pPr>
        <w:ind w:left="-660" w:firstLine="850"/>
        <w:spacing w:after="0" w:line="268" w:lineRule="auto"/>
        <w:tabs>
          <w:tab w:leader="none" w:pos="624"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Notices Generally</w:t>
      </w:r>
      <w:r>
        <w:rPr>
          <w:rFonts w:ascii="Arial" w:cs="Arial" w:eastAsia="Arial" w:hAnsi="Arial"/>
          <w:sz w:val="19"/>
          <w:szCs w:val="19"/>
          <w:color w:val="auto"/>
        </w:rPr>
        <w:t>. All notices and other communications provided for herein (including, for the avoidance of doubt, any Collateral Call Notice) shall be in writing and shall be delivered (i) by hand or overnight courier service, mailed by certified or registered mail or sent by facsimile as follows, or (ii) by electronic mail to the applicable e-mail address, as follows:</w:t>
      </w:r>
    </w:p>
    <w:p>
      <w:pPr>
        <w:spacing w:after="0" w:line="132" w:lineRule="exact"/>
        <w:rPr>
          <w:rFonts w:ascii="Arial" w:cs="Arial" w:eastAsia="Arial" w:hAnsi="Arial"/>
          <w:sz w:val="19"/>
          <w:szCs w:val="19"/>
          <w:color w:val="auto"/>
        </w:rPr>
      </w:pPr>
    </w:p>
    <w:p>
      <w:pPr>
        <w:ind w:left="1280" w:hanging="312"/>
        <w:spacing w:after="0"/>
        <w:tabs>
          <w:tab w:leader="none" w:pos="128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if to Borrower 1 to:</w:t>
      </w:r>
    </w:p>
    <w:p>
      <w:pPr>
        <w:spacing w:after="0" w:line="160"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Cannae Funding C, LLC</w:t>
      </w:r>
    </w:p>
    <w:p>
      <w:pPr>
        <w:ind w:left="1940"/>
        <w:spacing w:after="0" w:line="204" w:lineRule="auto"/>
        <w:rPr>
          <w:sz w:val="20"/>
          <w:szCs w:val="20"/>
          <w:color w:val="auto"/>
        </w:rPr>
      </w:pPr>
      <w:r>
        <w:rPr>
          <w:rFonts w:ascii="Arial" w:cs="Arial" w:eastAsia="Arial" w:hAnsi="Arial"/>
          <w:sz w:val="22"/>
          <w:szCs w:val="22"/>
          <w:color w:val="auto"/>
        </w:rPr>
        <w:t>1701 Village Center Circle</w:t>
      </w:r>
    </w:p>
    <w:p>
      <w:pPr>
        <w:ind w:left="1940"/>
        <w:spacing w:after="0" w:line="205" w:lineRule="auto"/>
        <w:rPr>
          <w:sz w:val="20"/>
          <w:szCs w:val="20"/>
          <w:color w:val="auto"/>
        </w:rPr>
      </w:pPr>
      <w:r>
        <w:rPr>
          <w:rFonts w:ascii="Arial" w:cs="Arial" w:eastAsia="Arial" w:hAnsi="Arial"/>
          <w:sz w:val="22"/>
          <w:szCs w:val="22"/>
          <w:color w:val="auto"/>
        </w:rPr>
        <w:t>Las Vegas, NV 89134</w:t>
      </w:r>
    </w:p>
    <w:p>
      <w:pPr>
        <w:ind w:left="1940"/>
        <w:spacing w:after="0" w:line="205" w:lineRule="auto"/>
        <w:rPr>
          <w:sz w:val="20"/>
          <w:szCs w:val="20"/>
          <w:color w:val="auto"/>
        </w:rPr>
      </w:pPr>
      <w:r>
        <w:rPr>
          <w:rFonts w:ascii="Arial" w:cs="Arial" w:eastAsia="Arial" w:hAnsi="Arial"/>
          <w:sz w:val="22"/>
          <w:szCs w:val="22"/>
          <w:color w:val="auto"/>
        </w:rPr>
        <w:t>Attn: General Counsel</w:t>
      </w:r>
    </w:p>
    <w:p>
      <w:pPr>
        <w:ind w:left="1940"/>
        <w:spacing w:after="0" w:line="205" w:lineRule="auto"/>
        <w:rPr>
          <w:sz w:val="20"/>
          <w:szCs w:val="20"/>
          <w:color w:val="auto"/>
        </w:rPr>
      </w:pPr>
      <w:r>
        <w:rPr>
          <w:rFonts w:ascii="Arial" w:cs="Arial" w:eastAsia="Arial" w:hAnsi="Arial"/>
          <w:sz w:val="22"/>
          <w:szCs w:val="22"/>
          <w:color w:val="auto"/>
        </w:rPr>
        <w:t>Telephone No.: (702) 243-3251</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Email: mgravelle@fnf.com</w:t>
      </w:r>
    </w:p>
    <w:p>
      <w:pPr>
        <w:spacing w:after="0" w:line="188"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with a copy to:</w:t>
      </w:r>
    </w:p>
    <w:p>
      <w:pPr>
        <w:spacing w:after="0" w:line="18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Weil, Gotshal &amp; Manges LLP</w:t>
      </w:r>
    </w:p>
    <w:p>
      <w:pPr>
        <w:ind w:left="1940"/>
        <w:spacing w:after="0" w:line="204" w:lineRule="auto"/>
        <w:rPr>
          <w:sz w:val="20"/>
          <w:szCs w:val="20"/>
          <w:color w:val="auto"/>
        </w:rPr>
      </w:pPr>
      <w:r>
        <w:rPr>
          <w:rFonts w:ascii="Arial" w:cs="Arial" w:eastAsia="Arial" w:hAnsi="Arial"/>
          <w:sz w:val="22"/>
          <w:szCs w:val="22"/>
          <w:color w:val="auto"/>
        </w:rPr>
        <w:t>767 Fifth Avenue</w:t>
      </w:r>
    </w:p>
    <w:p>
      <w:pPr>
        <w:ind w:left="1940"/>
        <w:spacing w:after="0" w:line="205" w:lineRule="auto"/>
        <w:rPr>
          <w:sz w:val="20"/>
          <w:szCs w:val="20"/>
          <w:color w:val="auto"/>
        </w:rPr>
      </w:pPr>
      <w:r>
        <w:rPr>
          <w:rFonts w:ascii="Arial" w:cs="Arial" w:eastAsia="Arial" w:hAnsi="Arial"/>
          <w:sz w:val="22"/>
          <w:szCs w:val="22"/>
          <w:color w:val="auto"/>
        </w:rPr>
        <w:t>New York, NY 10153</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Attention: Ariel Kronman</w:t>
      </w:r>
    </w:p>
    <w:p>
      <w:pPr>
        <w:spacing w:after="0" w:line="188" w:lineRule="exact"/>
        <w:rPr>
          <w:sz w:val="20"/>
          <w:szCs w:val="20"/>
          <w:color w:val="auto"/>
        </w:rPr>
      </w:pPr>
    </w:p>
    <w:p>
      <w:pPr>
        <w:ind w:left="960"/>
        <w:spacing w:after="0"/>
        <w:rPr>
          <w:sz w:val="20"/>
          <w:szCs w:val="20"/>
          <w:color w:val="auto"/>
        </w:rPr>
      </w:pPr>
      <w:r>
        <w:rPr>
          <w:rFonts w:ascii="Arial" w:cs="Arial" w:eastAsia="Arial" w:hAnsi="Arial"/>
          <w:sz w:val="22"/>
          <w:szCs w:val="22"/>
          <w:color w:val="auto"/>
        </w:rPr>
        <w:t>(ii) if to Borrower 2 to:</w:t>
      </w:r>
    </w:p>
    <w:p>
      <w:pPr>
        <w:spacing w:after="0" w:line="160"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Cannae Funding D, LLC</w:t>
      </w:r>
    </w:p>
    <w:p>
      <w:pPr>
        <w:ind w:left="1940"/>
        <w:spacing w:after="0" w:line="204" w:lineRule="auto"/>
        <w:rPr>
          <w:sz w:val="20"/>
          <w:szCs w:val="20"/>
          <w:color w:val="auto"/>
        </w:rPr>
      </w:pPr>
      <w:r>
        <w:rPr>
          <w:rFonts w:ascii="Arial" w:cs="Arial" w:eastAsia="Arial" w:hAnsi="Arial"/>
          <w:sz w:val="22"/>
          <w:szCs w:val="22"/>
          <w:color w:val="auto"/>
        </w:rPr>
        <w:t>1701 Village Center Circle</w:t>
      </w:r>
    </w:p>
    <w:p>
      <w:pPr>
        <w:ind w:left="1940"/>
        <w:spacing w:after="0" w:line="205" w:lineRule="auto"/>
        <w:rPr>
          <w:sz w:val="20"/>
          <w:szCs w:val="20"/>
          <w:color w:val="auto"/>
        </w:rPr>
      </w:pPr>
      <w:r>
        <w:rPr>
          <w:rFonts w:ascii="Arial" w:cs="Arial" w:eastAsia="Arial" w:hAnsi="Arial"/>
          <w:sz w:val="22"/>
          <w:szCs w:val="22"/>
          <w:color w:val="auto"/>
        </w:rPr>
        <w:t>Las Vegas, NV 89134</w:t>
      </w:r>
    </w:p>
    <w:p>
      <w:pPr>
        <w:ind w:left="1940"/>
        <w:spacing w:after="0" w:line="205" w:lineRule="auto"/>
        <w:rPr>
          <w:sz w:val="20"/>
          <w:szCs w:val="20"/>
          <w:color w:val="auto"/>
        </w:rPr>
      </w:pPr>
      <w:r>
        <w:rPr>
          <w:rFonts w:ascii="Arial" w:cs="Arial" w:eastAsia="Arial" w:hAnsi="Arial"/>
          <w:sz w:val="22"/>
          <w:szCs w:val="22"/>
          <w:color w:val="auto"/>
        </w:rPr>
        <w:t>Attn: General Counsel</w:t>
      </w:r>
    </w:p>
    <w:p>
      <w:pPr>
        <w:ind w:left="1940"/>
        <w:spacing w:after="0" w:line="205" w:lineRule="auto"/>
        <w:rPr>
          <w:sz w:val="20"/>
          <w:szCs w:val="20"/>
          <w:color w:val="auto"/>
        </w:rPr>
      </w:pPr>
      <w:r>
        <w:rPr>
          <w:rFonts w:ascii="Arial" w:cs="Arial" w:eastAsia="Arial" w:hAnsi="Arial"/>
          <w:sz w:val="22"/>
          <w:szCs w:val="22"/>
          <w:color w:val="auto"/>
        </w:rPr>
        <w:t>Telephone No.: (702) 243-3251</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Email: mgravelle@fnf.com</w:t>
      </w:r>
    </w:p>
    <w:p>
      <w:pPr>
        <w:spacing w:after="0" w:line="188"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with a copy to:</w:t>
      </w:r>
    </w:p>
    <w:p>
      <w:pPr>
        <w:spacing w:after="0" w:line="18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Weil, Gotshal &amp; Manges LLP</w:t>
      </w:r>
    </w:p>
    <w:p>
      <w:pPr>
        <w:ind w:left="1940"/>
        <w:spacing w:after="0" w:line="204" w:lineRule="auto"/>
        <w:rPr>
          <w:sz w:val="20"/>
          <w:szCs w:val="20"/>
          <w:color w:val="auto"/>
        </w:rPr>
      </w:pPr>
      <w:r>
        <w:rPr>
          <w:rFonts w:ascii="Arial" w:cs="Arial" w:eastAsia="Arial" w:hAnsi="Arial"/>
          <w:sz w:val="22"/>
          <w:szCs w:val="22"/>
          <w:color w:val="auto"/>
        </w:rPr>
        <w:t>767 Fifth Avenue</w:t>
      </w:r>
    </w:p>
    <w:p>
      <w:pPr>
        <w:ind w:left="1940"/>
        <w:spacing w:after="0" w:line="205" w:lineRule="auto"/>
        <w:rPr>
          <w:sz w:val="20"/>
          <w:szCs w:val="20"/>
          <w:color w:val="auto"/>
        </w:rPr>
      </w:pPr>
      <w:r>
        <w:rPr>
          <w:rFonts w:ascii="Arial" w:cs="Arial" w:eastAsia="Arial" w:hAnsi="Arial"/>
          <w:sz w:val="22"/>
          <w:szCs w:val="22"/>
          <w:color w:val="auto"/>
        </w:rPr>
        <w:t>New York, NY 10153</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Attention: Ariel Kronman</w:t>
      </w:r>
    </w:p>
    <w:p>
      <w:pPr>
        <w:spacing w:after="0" w:line="188" w:lineRule="exact"/>
        <w:rPr>
          <w:sz w:val="20"/>
          <w:szCs w:val="20"/>
          <w:color w:val="auto"/>
        </w:rPr>
      </w:pPr>
    </w:p>
    <w:p>
      <w:pPr>
        <w:ind w:left="960"/>
        <w:spacing w:after="0"/>
        <w:rPr>
          <w:sz w:val="20"/>
          <w:szCs w:val="20"/>
          <w:color w:val="auto"/>
        </w:rPr>
      </w:pPr>
      <w:r>
        <w:rPr>
          <w:rFonts w:ascii="Arial" w:cs="Arial" w:eastAsia="Arial" w:hAnsi="Arial"/>
          <w:sz w:val="22"/>
          <w:szCs w:val="22"/>
          <w:color w:val="auto"/>
        </w:rPr>
        <w:t>(iii)if to any Lender, as set forth in Schedule I hereto;</w:t>
      </w:r>
    </w:p>
    <w:p>
      <w:pPr>
        <w:spacing w:after="0" w:line="179" w:lineRule="exact"/>
        <w:rPr>
          <w:sz w:val="20"/>
          <w:szCs w:val="20"/>
          <w:color w:val="auto"/>
        </w:rPr>
      </w:pPr>
    </w:p>
    <w:p>
      <w:pPr>
        <w:ind w:left="960"/>
        <w:spacing w:after="0"/>
        <w:rPr>
          <w:sz w:val="20"/>
          <w:szCs w:val="20"/>
          <w:color w:val="auto"/>
        </w:rPr>
      </w:pPr>
      <w:r>
        <w:rPr>
          <w:rFonts w:ascii="Arial" w:cs="Arial" w:eastAsia="Arial" w:hAnsi="Arial"/>
          <w:sz w:val="22"/>
          <w:szCs w:val="22"/>
          <w:color w:val="auto"/>
        </w:rPr>
        <w:t>(iv)if to Administrative Agent, to:</w:t>
      </w:r>
    </w:p>
    <w:p>
      <w:pPr>
        <w:spacing w:after="0" w:line="160"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Royal Bank of Canada</w:t>
      </w:r>
    </w:p>
    <w:p>
      <w:pPr>
        <w:ind w:left="1940"/>
        <w:spacing w:after="0" w:line="204" w:lineRule="auto"/>
        <w:rPr>
          <w:sz w:val="20"/>
          <w:szCs w:val="20"/>
          <w:color w:val="auto"/>
        </w:rPr>
      </w:pPr>
      <w:r>
        <w:rPr>
          <w:rFonts w:ascii="Arial" w:cs="Arial" w:eastAsia="Arial" w:hAnsi="Arial"/>
          <w:sz w:val="22"/>
          <w:szCs w:val="22"/>
          <w:color w:val="auto"/>
        </w:rPr>
        <w:t>Global Loan Administration</w:t>
      </w:r>
    </w:p>
    <w:p>
      <w:pPr>
        <w:ind w:left="1940"/>
        <w:spacing w:after="0" w:line="205" w:lineRule="auto"/>
        <w:rPr>
          <w:sz w:val="20"/>
          <w:szCs w:val="20"/>
          <w:color w:val="auto"/>
        </w:rPr>
      </w:pPr>
      <w:r>
        <w:rPr>
          <w:rFonts w:ascii="Arial" w:cs="Arial" w:eastAsia="Arial" w:hAnsi="Arial"/>
          <w:sz w:val="22"/>
          <w:szCs w:val="22"/>
          <w:color w:val="auto"/>
        </w:rPr>
        <w:t>Three World Financial Center</w:t>
      </w:r>
    </w:p>
    <w:p>
      <w:pPr>
        <w:ind w:left="1940"/>
        <w:spacing w:after="0" w:line="205" w:lineRule="auto"/>
        <w:rPr>
          <w:sz w:val="20"/>
          <w:szCs w:val="20"/>
          <w:color w:val="auto"/>
        </w:rPr>
      </w:pPr>
      <w:r>
        <w:rPr>
          <w:rFonts w:ascii="Arial" w:cs="Arial" w:eastAsia="Arial" w:hAnsi="Arial"/>
          <w:sz w:val="22"/>
          <w:szCs w:val="22"/>
          <w:color w:val="auto"/>
        </w:rPr>
        <w:t>200 Vesey Street</w:t>
      </w:r>
    </w:p>
    <w:p>
      <w:pPr>
        <w:ind w:left="1940"/>
        <w:spacing w:after="0" w:line="205" w:lineRule="auto"/>
        <w:rPr>
          <w:sz w:val="20"/>
          <w:szCs w:val="20"/>
          <w:color w:val="auto"/>
        </w:rPr>
      </w:pPr>
      <w:r>
        <w:rPr>
          <w:rFonts w:ascii="Arial" w:cs="Arial" w:eastAsia="Arial" w:hAnsi="Arial"/>
          <w:sz w:val="22"/>
          <w:szCs w:val="22"/>
          <w:color w:val="auto"/>
        </w:rPr>
        <w:t>New York, NY 10281-8098</w:t>
      </w:r>
    </w:p>
    <w:p>
      <w:pPr>
        <w:ind w:left="1940"/>
        <w:spacing w:after="0" w:line="205" w:lineRule="auto"/>
        <w:rPr>
          <w:sz w:val="20"/>
          <w:szCs w:val="20"/>
          <w:color w:val="auto"/>
        </w:rPr>
      </w:pPr>
      <w:r>
        <w:rPr>
          <w:rFonts w:ascii="Arial" w:cs="Arial" w:eastAsia="Arial" w:hAnsi="Arial"/>
          <w:sz w:val="22"/>
          <w:szCs w:val="22"/>
          <w:color w:val="auto"/>
        </w:rPr>
        <w:t>Attn: Olusola Balogun</w:t>
      </w:r>
    </w:p>
    <w:p>
      <w:pPr>
        <w:ind w:left="1940"/>
        <w:spacing w:after="0" w:line="205" w:lineRule="auto"/>
        <w:rPr>
          <w:sz w:val="20"/>
          <w:szCs w:val="20"/>
          <w:color w:val="auto"/>
        </w:rPr>
      </w:pPr>
      <w:r>
        <w:rPr>
          <w:rFonts w:ascii="Arial" w:cs="Arial" w:eastAsia="Arial" w:hAnsi="Arial"/>
          <w:sz w:val="22"/>
          <w:szCs w:val="22"/>
          <w:color w:val="auto"/>
        </w:rPr>
        <w:t>Telephone No.: 437-226-0065</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Facsimile No.: 212-428-2372</w:t>
      </w:r>
    </w:p>
    <w:p>
      <w:pPr>
        <w:sectPr>
          <w:pgSz w:w="11900" w:h="16838" w:orient="portrait"/>
          <w:cols w:equalWidth="0" w:num="1">
            <w:col w:w="10400"/>
          </w:cols>
          <w:pgMar w:left="980" w:top="144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83</w:t>
      </w:r>
    </w:p>
    <w:p>
      <w:pPr>
        <w:sectPr>
          <w:pgSz w:w="11900" w:h="16838" w:orient="portrait"/>
          <w:cols w:equalWidth="0" w:num="1">
            <w:col w:w="10400"/>
          </w:cols>
          <w:pgMar w:left="980" w:top="1440" w:right="519" w:bottom="1440" w:gutter="0" w:footer="0" w:header="0"/>
          <w:type w:val="continuous"/>
        </w:sectPr>
      </w:pPr>
    </w:p>
    <w:bookmarkStart w:id="142" w:name="page143"/>
    <w:bookmarkEnd w:id="142"/>
    <w:p>
      <w:pPr>
        <w:spacing w:after="0" w:line="200" w:lineRule="exact"/>
        <w:rPr>
          <w:sz w:val="20"/>
          <w:szCs w:val="20"/>
          <w:color w:val="auto"/>
        </w:rPr>
      </w:pP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rbcnewyorkgla3@rbc.com; and</w:t>
      </w:r>
    </w:p>
    <w:p>
      <w:pPr>
        <w:spacing w:after="0" w:line="206"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(v) if to Calculation Agent, to:</w:t>
      </w:r>
    </w:p>
    <w:p>
      <w:pPr>
        <w:spacing w:after="0" w:line="16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Royal Bank of Canada</w:t>
      </w:r>
    </w:p>
    <w:p>
      <w:pPr>
        <w:ind w:left="2600"/>
        <w:spacing w:after="0" w:line="204" w:lineRule="auto"/>
        <w:rPr>
          <w:sz w:val="20"/>
          <w:szCs w:val="20"/>
          <w:color w:val="auto"/>
        </w:rPr>
      </w:pPr>
      <w:r>
        <w:rPr>
          <w:rFonts w:ascii="Arial" w:cs="Arial" w:eastAsia="Arial" w:hAnsi="Arial"/>
          <w:sz w:val="22"/>
          <w:szCs w:val="22"/>
          <w:color w:val="auto"/>
        </w:rPr>
        <w:t>Global Loan Administration</w:t>
      </w:r>
    </w:p>
    <w:p>
      <w:pPr>
        <w:ind w:left="2600"/>
        <w:spacing w:after="0" w:line="205" w:lineRule="auto"/>
        <w:rPr>
          <w:sz w:val="20"/>
          <w:szCs w:val="20"/>
          <w:color w:val="auto"/>
        </w:rPr>
      </w:pPr>
      <w:r>
        <w:rPr>
          <w:rFonts w:ascii="Arial" w:cs="Arial" w:eastAsia="Arial" w:hAnsi="Arial"/>
          <w:sz w:val="22"/>
          <w:szCs w:val="22"/>
          <w:color w:val="auto"/>
        </w:rPr>
        <w:t>Three World Financial Center</w:t>
      </w:r>
    </w:p>
    <w:p>
      <w:pPr>
        <w:ind w:left="2600"/>
        <w:spacing w:after="0" w:line="205" w:lineRule="auto"/>
        <w:rPr>
          <w:sz w:val="20"/>
          <w:szCs w:val="20"/>
          <w:color w:val="auto"/>
        </w:rPr>
      </w:pPr>
      <w:r>
        <w:rPr>
          <w:rFonts w:ascii="Arial" w:cs="Arial" w:eastAsia="Arial" w:hAnsi="Arial"/>
          <w:sz w:val="22"/>
          <w:szCs w:val="22"/>
          <w:color w:val="auto"/>
        </w:rPr>
        <w:t>200 Vesey Street</w:t>
      </w:r>
    </w:p>
    <w:p>
      <w:pPr>
        <w:ind w:left="2600"/>
        <w:spacing w:after="0" w:line="205" w:lineRule="auto"/>
        <w:rPr>
          <w:sz w:val="20"/>
          <w:szCs w:val="20"/>
          <w:color w:val="auto"/>
        </w:rPr>
      </w:pPr>
      <w:r>
        <w:rPr>
          <w:rFonts w:ascii="Arial" w:cs="Arial" w:eastAsia="Arial" w:hAnsi="Arial"/>
          <w:sz w:val="22"/>
          <w:szCs w:val="22"/>
          <w:color w:val="auto"/>
        </w:rPr>
        <w:t>New York, NY 10281-8098</w:t>
      </w:r>
    </w:p>
    <w:p>
      <w:pPr>
        <w:ind w:left="2600"/>
        <w:spacing w:after="0" w:line="205" w:lineRule="auto"/>
        <w:rPr>
          <w:sz w:val="20"/>
          <w:szCs w:val="20"/>
          <w:color w:val="auto"/>
        </w:rPr>
      </w:pPr>
      <w:r>
        <w:rPr>
          <w:rFonts w:ascii="Arial" w:cs="Arial" w:eastAsia="Arial" w:hAnsi="Arial"/>
          <w:sz w:val="22"/>
          <w:szCs w:val="22"/>
          <w:color w:val="auto"/>
        </w:rPr>
        <w:t>Attn: Brian Ward</w:t>
      </w:r>
    </w:p>
    <w:p>
      <w:pPr>
        <w:ind w:left="2600"/>
        <w:spacing w:after="0" w:line="205" w:lineRule="auto"/>
        <w:rPr>
          <w:sz w:val="20"/>
          <w:szCs w:val="20"/>
          <w:color w:val="auto"/>
        </w:rPr>
      </w:pPr>
      <w:r>
        <w:rPr>
          <w:rFonts w:ascii="Arial" w:cs="Arial" w:eastAsia="Arial" w:hAnsi="Arial"/>
          <w:sz w:val="22"/>
          <w:szCs w:val="22"/>
          <w:color w:val="auto"/>
        </w:rPr>
        <w:t>Telephone No.: 212-618-7855</w:t>
      </w:r>
    </w:p>
    <w:p>
      <w:pPr>
        <w:ind w:left="2600"/>
        <w:spacing w:after="0" w:line="205" w:lineRule="auto"/>
        <w:rPr>
          <w:sz w:val="20"/>
          <w:szCs w:val="20"/>
          <w:color w:val="auto"/>
        </w:rPr>
      </w:pPr>
      <w:r>
        <w:rPr>
          <w:rFonts w:ascii="Arial" w:cs="Arial" w:eastAsia="Arial" w:hAnsi="Arial"/>
          <w:sz w:val="22"/>
          <w:szCs w:val="22"/>
          <w:color w:val="auto"/>
        </w:rPr>
        <w:t>Email: Brian.Ward@rbccm.com and</w:t>
      </w:r>
    </w:p>
    <w:p>
      <w:pPr>
        <w:spacing w:after="0" w:line="1"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Roland.Lewis@rbccm.com</w:t>
      </w:r>
    </w:p>
    <w:p>
      <w:pPr>
        <w:spacing w:after="0" w:line="188" w:lineRule="exact"/>
        <w:rPr>
          <w:sz w:val="20"/>
          <w:szCs w:val="20"/>
          <w:color w:val="auto"/>
        </w:rPr>
      </w:pPr>
    </w:p>
    <w:p>
      <w:pPr>
        <w:ind w:firstLine="648"/>
        <w:spacing w:after="0" w:line="221" w:lineRule="auto"/>
        <w:rPr>
          <w:sz w:val="20"/>
          <w:szCs w:val="20"/>
          <w:color w:val="auto"/>
        </w:rPr>
      </w:pPr>
      <w:r>
        <w:rPr>
          <w:rFonts w:ascii="Arial" w:cs="Arial" w:eastAsia="Arial" w:hAnsi="Arial"/>
          <w:sz w:val="21"/>
          <w:szCs w:val="21"/>
          <w:color w:val="auto"/>
        </w:rPr>
        <w:t>Notices and other communications sent by hand or overnight courier service, or mailed by certified or registered mail, shall be deemed to have been given when received, and notices and other communications sent by facsimile shall be deemed to have been given when sent (except, in each case, that (x) other than in the case of a Collateral Call Notice, if such notices or other communication are not given during normal business hours for the recipient, such notices and other communications shall be deemed to have been given at the opening of business on the next Business Day for the recipient or (y) in the case of a Collateral Call Notice, if such notices or other communications are not given by 8:00 p.m. on any Scheduled Trading Day (the “</w:t>
      </w:r>
      <w:r>
        <w:rPr>
          <w:rFonts w:ascii="Arial" w:cs="Arial" w:eastAsia="Arial" w:hAnsi="Arial"/>
          <w:sz w:val="21"/>
          <w:szCs w:val="21"/>
          <w:b w:val="1"/>
          <w:bCs w:val="1"/>
          <w:i w:val="1"/>
          <w:iCs w:val="1"/>
          <w:color w:val="auto"/>
        </w:rPr>
        <w:t>Collateral</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Call Notice Deadline</w:t>
      </w:r>
      <w:r>
        <w:rPr>
          <w:rFonts w:ascii="Arial" w:cs="Arial" w:eastAsia="Arial" w:hAnsi="Arial"/>
          <w:sz w:val="21"/>
          <w:szCs w:val="21"/>
          <w:color w:val="auto"/>
        </w:rPr>
        <w:t>”), such Collateral Call Notice shall be deemed to have been given at the opening of business on the next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Scheduled Trading Day). Notices and other communications delivered through electronic communications shall be effective as provided in Section 9.02(b).</w:t>
      </w:r>
    </w:p>
    <w:p>
      <w:pPr>
        <w:spacing w:after="0" w:line="159" w:lineRule="exact"/>
        <w:rPr>
          <w:sz w:val="20"/>
          <w:szCs w:val="20"/>
          <w:color w:val="auto"/>
        </w:rPr>
      </w:pPr>
    </w:p>
    <w:p>
      <w:pPr>
        <w:ind w:right="120" w:firstLine="850"/>
        <w:spacing w:after="0" w:line="232" w:lineRule="auto"/>
        <w:tabs>
          <w:tab w:leader="none" w:pos="1283"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Electronic Communications</w:t>
      </w:r>
      <w:r>
        <w:rPr>
          <w:rFonts w:ascii="Arial" w:cs="Arial" w:eastAsia="Arial" w:hAnsi="Arial"/>
          <w:sz w:val="22"/>
          <w:szCs w:val="22"/>
          <w:color w:val="auto"/>
        </w:rPr>
        <w:t>. Each party hereto agrees to accept notices and other communications to it hereunder by electronic communications sent to the email address or addresses set forth in Section 9.02(a).</w:t>
      </w:r>
    </w:p>
    <w:p>
      <w:pPr>
        <w:spacing w:after="0" w:line="159"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 xml:space="preserve">Notices and other communications sent to an e-mail address shall be deemed received when sent absent receipt of a failure to deliver notice;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other than in the case of a Collateral Call Notice, if such notice or other communication is not sent during the normal business hours of the recipient, such notice or other communication shall be deemed to have been sent at the opening of business on the next Business Day for the recipient, or (y) in the case of a Collateral Call Notice, if such notice or other communication is not sent by 8:00 p.m. on any Scheduled Trading Day, such notice or communication shall be deemed to have been given at the opening of business on the next Scheduled Trading Day.</w:t>
      </w:r>
    </w:p>
    <w:p>
      <w:pPr>
        <w:spacing w:after="0" w:line="152" w:lineRule="exact"/>
        <w:rPr>
          <w:sz w:val="20"/>
          <w:szCs w:val="20"/>
          <w:color w:val="auto"/>
        </w:rPr>
      </w:pPr>
    </w:p>
    <w:p>
      <w:pPr>
        <w:ind w:right="180" w:firstLine="850"/>
        <w:spacing w:after="0" w:line="232" w:lineRule="auto"/>
        <w:tabs>
          <w:tab w:leader="none" w:pos="1284"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Change of Address, Etc</w:t>
      </w:r>
      <w:r>
        <w:rPr>
          <w:rFonts w:ascii="Arial" w:cs="Arial" w:eastAsia="Arial" w:hAnsi="Arial"/>
          <w:sz w:val="22"/>
          <w:szCs w:val="22"/>
          <w:color w:val="auto"/>
        </w:rPr>
        <w:t>. Any party hereto may change its address, facsimile or telephone number for notices and other communications hereunder by notice to the other parties hereto.</w:t>
      </w:r>
    </w:p>
    <w:p>
      <w:pPr>
        <w:spacing w:after="0" w:line="158" w:lineRule="exact"/>
        <w:rPr>
          <w:rFonts w:ascii="Arial" w:cs="Arial" w:eastAsia="Arial" w:hAnsi="Arial"/>
          <w:sz w:val="22"/>
          <w:szCs w:val="22"/>
          <w:color w:val="auto"/>
        </w:rPr>
      </w:pPr>
    </w:p>
    <w:p>
      <w:pPr>
        <w:ind w:right="400" w:firstLine="850"/>
        <w:spacing w:after="0" w:line="268" w:lineRule="auto"/>
        <w:tabs>
          <w:tab w:leader="none" w:pos="1283"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Reliance by Agents and Lenders</w:t>
      </w:r>
      <w:r>
        <w:rPr>
          <w:rFonts w:ascii="Arial" w:cs="Arial" w:eastAsia="Arial" w:hAnsi="Arial"/>
          <w:sz w:val="19"/>
          <w:szCs w:val="19"/>
          <w:color w:val="auto"/>
        </w:rPr>
        <w:t>. Each Agent and Lender shall be entitled to rely and act upon any notices purportedly given by or on behalf of any Borrower. All telephonic notices to and other telephonic communications with any Agent or Lender may be recorded by such Agent or Lender, and each of the parties hereto hereby consents to such recording.</w:t>
      </w:r>
    </w:p>
    <w:p>
      <w:pPr>
        <w:spacing w:after="0" w:line="13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9.03</w:t>
      </w:r>
      <w:r>
        <w:rPr>
          <w:sz w:val="20"/>
          <w:szCs w:val="20"/>
          <w:color w:val="auto"/>
        </w:rPr>
        <w:tab/>
      </w:r>
      <w:r>
        <w:rPr>
          <w:rFonts w:ascii="Arial" w:cs="Arial" w:eastAsia="Arial" w:hAnsi="Arial"/>
          <w:sz w:val="18"/>
          <w:szCs w:val="18"/>
          <w:i w:val="1"/>
          <w:iCs w:val="1"/>
          <w:color w:val="auto"/>
        </w:rPr>
        <w:t>No Waiver; Remedies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200" w:lineRule="exact"/>
        <w:rPr>
          <w:sz w:val="20"/>
          <w:szCs w:val="20"/>
          <w:color w:val="auto"/>
        </w:rPr>
      </w:pPr>
    </w:p>
    <w:p>
      <w:pPr>
        <w:spacing w:after="0" w:line="233" w:lineRule="exact"/>
        <w:rPr>
          <w:sz w:val="20"/>
          <w:szCs w:val="20"/>
          <w:color w:val="auto"/>
        </w:rPr>
      </w:pPr>
    </w:p>
    <w:p>
      <w:pPr>
        <w:ind w:left="-40" w:firstLine="850"/>
        <w:spacing w:after="0" w:line="242" w:lineRule="auto"/>
        <w:tabs>
          <w:tab w:leader="none" w:pos="1244" w:val="left"/>
        </w:tabs>
        <w:numPr>
          <w:ilvl w:val="0"/>
          <w:numId w:val="126"/>
        </w:numPr>
        <w:rPr>
          <w:rFonts w:ascii="Arial" w:cs="Arial" w:eastAsia="Arial" w:hAnsi="Arial"/>
          <w:sz w:val="19"/>
          <w:szCs w:val="19"/>
          <w:color w:val="auto"/>
        </w:rPr>
      </w:pPr>
      <w:r>
        <w:rPr>
          <w:rFonts w:ascii="Arial" w:cs="Arial" w:eastAsia="Arial" w:hAnsi="Arial"/>
          <w:sz w:val="19"/>
          <w:szCs w:val="19"/>
          <w:color w:val="auto"/>
        </w:rPr>
        <w:t>No failure or delay by any Agent or Lender in exercising any right or power hereunder or under any other Margin Loan Documentation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each Agent or Lender hereunder and under any other Margin Loan Documentation are cumulative and are not exclusive of any rights or remedies that such Agent or Lender would otherwise have. No waiver of any provision of any Margin Loan Documentation or consent to any departure by any Borrower therefrom shall in any event be effective unless the same shall be permitted by Section 9.01, and then such waiver or consent shall be effective only in the specific instance and for the purpose for which given. No notice to or demand on any Borrower in any case shall entitle such Borrower to any other or further notice or demand in similar or other circumstances or constitute a waiver of the rights of Lenders to any other or further action in any circumstances without notice or demand. Without limiting the generality of the foregoing, the making of an Advance shall not be construed as a waiver of any Event of Default, regardless of whether any Agent or Lender may have had notice or knowledge of such Event of Default at the time.</w:t>
      </w:r>
    </w:p>
    <w:p>
      <w:pPr>
        <w:spacing w:after="0" w:line="164" w:lineRule="exact"/>
        <w:rPr>
          <w:rFonts w:ascii="Arial" w:cs="Arial" w:eastAsia="Arial" w:hAnsi="Arial"/>
          <w:sz w:val="19"/>
          <w:szCs w:val="19"/>
          <w:color w:val="auto"/>
        </w:rPr>
      </w:pPr>
    </w:p>
    <w:p>
      <w:pPr>
        <w:ind w:left="-40" w:right="880" w:firstLine="850"/>
        <w:spacing w:after="0" w:line="232" w:lineRule="auto"/>
        <w:tabs>
          <w:tab w:leader="none" w:pos="1243"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Advances are made with full recourse to Borrowers and constitute direct, general, unconditional and unsubordinated Indebtedness of Borrowers.</w:t>
      </w:r>
    </w:p>
    <w:p>
      <w:pPr>
        <w:spacing w:after="0" w:line="158" w:lineRule="exact"/>
        <w:rPr>
          <w:rFonts w:ascii="Arial" w:cs="Arial" w:eastAsia="Arial" w:hAnsi="Arial"/>
          <w:sz w:val="22"/>
          <w:szCs w:val="22"/>
          <w:color w:val="auto"/>
        </w:rPr>
      </w:pPr>
    </w:p>
    <w:p>
      <w:pPr>
        <w:ind w:left="-40" w:right="20" w:firstLine="850"/>
        <w:spacing w:after="0" w:line="221" w:lineRule="auto"/>
        <w:tabs>
          <w:tab w:leader="none" w:pos="1244" w:val="left"/>
        </w:tabs>
        <w:numPr>
          <w:ilvl w:val="0"/>
          <w:numId w:val="126"/>
        </w:numPr>
        <w:rPr>
          <w:rFonts w:ascii="Arial" w:cs="Arial" w:eastAsia="Arial" w:hAnsi="Arial"/>
          <w:sz w:val="21"/>
          <w:szCs w:val="21"/>
          <w:color w:val="auto"/>
        </w:rPr>
      </w:pPr>
      <w:r>
        <w:rPr>
          <w:rFonts w:ascii="Arial" w:cs="Arial" w:eastAsia="Arial" w:hAnsi="Arial"/>
          <w:sz w:val="21"/>
          <w:szCs w:val="21"/>
          <w:color w:val="auto"/>
        </w:rPr>
        <w:t>Each Party hereto acknowledges and agrees that the Margin Loan Documentation, collectively, is intended to constitute a “securities contract” as such term is defined in Section 741(7) of the Bankruptcy Code and that each delivery, transfer, payment and grant of a security interest made or required to be made hereunder or contemplated hereby or made, required to be made or contemplated in connection herewith is a “transfer” and a “margin payment” or a “settlement payment” within the meaning of Section 362(b)(6) and/or (27) and Sections 546(e) and/or (j) of the Bankruptcy Code. In addition, all obligations under or in connection with the Margin Loan Documentation represent obligations in respect of “termination values,” “payment amounts” or “other transfer obligations” within the meaning of Sections 362 and 561 of the Bankruptcy Code. The parties further acknowledge and agree that the Margin Loan Documentation collectively constitutes a “master netting agreement” within the meaning of the Bankruptcy Code.</w:t>
      </w:r>
    </w:p>
    <w:p>
      <w:pPr>
        <w:spacing w:after="0" w:line="159"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2"/>
          <w:szCs w:val="22"/>
          <w:color w:val="auto"/>
        </w:rPr>
        <w:t>Section 9.04</w:t>
      </w:r>
      <w:r>
        <w:rPr>
          <w:sz w:val="20"/>
          <w:szCs w:val="20"/>
          <w:color w:val="auto"/>
        </w:rPr>
        <w:tab/>
      </w:r>
      <w:r>
        <w:rPr>
          <w:rFonts w:ascii="Arial" w:cs="Arial" w:eastAsia="Arial" w:hAnsi="Arial"/>
          <w:sz w:val="19"/>
          <w:szCs w:val="19"/>
          <w:i w:val="1"/>
          <w:iCs w:val="1"/>
          <w:color w:val="auto"/>
        </w:rPr>
        <w:t>Costs And Expenses; Indemnification; Damage Waiver</w:t>
      </w:r>
      <w:r>
        <w:rPr>
          <w:rFonts w:ascii="Arial" w:cs="Arial" w:eastAsia="Arial" w:hAnsi="Arial"/>
          <w:sz w:val="19"/>
          <w:szCs w:val="19"/>
          <w:color w:val="auto"/>
        </w:rPr>
        <w:t>.</w:t>
      </w:r>
    </w:p>
    <w:p>
      <w:pPr>
        <w:spacing w:after="0" w:line="179" w:lineRule="exact"/>
        <w:rPr>
          <w:sz w:val="20"/>
          <w:szCs w:val="20"/>
          <w:color w:val="auto"/>
        </w:rPr>
      </w:pPr>
    </w:p>
    <w:p>
      <w:pPr>
        <w:ind w:left="-40" w:right="40" w:firstLine="850"/>
        <w:spacing w:after="0" w:line="243" w:lineRule="auto"/>
        <w:tabs>
          <w:tab w:leader="none" w:pos="1244"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Borrowers shall pay promptly (i) all actual, reasonable and documented costs and reasonable out-of-pocket expenses incurred by Lenders and each Agent, including the reasonable fees, charges and disbursements of one counsel in each relevant jurisdiction for all Agents and Lenders, in connection with the credit facility (but excluding any costs relating to the syndication thereof) provided for herein, the preparation and administration of the Margin Loan Documentation or any amendments, modifications or waivers of the provisions of the Margin Loan Documentation (whether or not the transactions contemplated hereby or thereby shall be consummated), and (ii) all reasonable costs and reasonable out of pocket expenses incurred by Lenders and each Agent, including the fees, charges and disbursements of any counsel for any Agent or Lender (whether outside counsel or the allocated costs of its internal legal department), in connection with the enforcement, collection or protection of its rights in connection with the Margin Loan Documentation, including its rights under this Section 9.04, or in connection with the Advances made hereunder, including all such expenses incurred during any workout, restructuring or negotiations in respect of such Advances.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180"/>
          </w:cols>
          <w:pgMar w:left="360" w:top="1440" w:right="359" w:bottom="1440" w:gutter="0" w:footer="0" w:header="0"/>
        </w:sectPr>
      </w:pPr>
    </w:p>
    <w:bookmarkStart w:id="144" w:name="page145"/>
    <w:bookmarkEnd w:id="144"/>
    <w:p>
      <w:pPr>
        <w:spacing w:after="0" w:line="200" w:lineRule="exact"/>
        <w:rPr>
          <w:sz w:val="20"/>
          <w:szCs w:val="20"/>
          <w:color w:val="auto"/>
        </w:rPr>
      </w:pPr>
    </w:p>
    <w:p>
      <w:pPr>
        <w:spacing w:after="0" w:line="233" w:lineRule="exact"/>
        <w:rPr>
          <w:sz w:val="20"/>
          <w:szCs w:val="20"/>
          <w:color w:val="auto"/>
        </w:rPr>
      </w:pPr>
    </w:p>
    <w:p>
      <w:pPr>
        <w:ind w:left="-20" w:firstLine="850"/>
        <w:spacing w:after="0"/>
        <w:tabs>
          <w:tab w:leader="none" w:pos="1263"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Indemnification by Borrowers</w:t>
      </w:r>
      <w:r>
        <w:rPr>
          <w:rFonts w:ascii="Arial" w:cs="Arial" w:eastAsia="Arial" w:hAnsi="Arial"/>
          <w:sz w:val="19"/>
          <w:szCs w:val="19"/>
          <w:color w:val="auto"/>
        </w:rPr>
        <w:t>. Borrowers shall indemnify each Agent and Lender (and any sub-agent thereof) and each Related Party of any of the foregoing Persons (each such Person, an “</w:t>
      </w:r>
      <w:r>
        <w:rPr>
          <w:rFonts w:ascii="Arial" w:cs="Arial" w:eastAsia="Arial" w:hAnsi="Arial"/>
          <w:sz w:val="19"/>
          <w:szCs w:val="19"/>
          <w:b w:val="1"/>
          <w:bCs w:val="1"/>
          <w:i w:val="1"/>
          <w:iCs w:val="1"/>
          <w:color w:val="auto"/>
        </w:rPr>
        <w:t>Indemnitee</w:t>
      </w:r>
      <w:r>
        <w:rPr>
          <w:rFonts w:ascii="Arial" w:cs="Arial" w:eastAsia="Arial" w:hAnsi="Arial"/>
          <w:sz w:val="19"/>
          <w:szCs w:val="19"/>
          <w:color w:val="auto"/>
        </w:rPr>
        <w:t xml:space="preserve">”) against, and hold each Indemnitee harmless from, any and all losses, claims, damages, liabilities and related expenses, including the fees, charges and disbursements of any counsel for any Indemnitee, incurred by or asserted against any Indemnitee by any third party or by any Borrower or any Related Party of any Borrower arising out of, in connection with, or as a result of (i) the preparation, negotiation, execution, delivery or administration of this Agreement, any other Margin Loan Documentation or any agreement or instrument contemplated hereby or thereby, the performance by the parties hereto of their respective obligations hereunder or thereunder, the enforcement or protection of their rights hereunder and thereunder or the consummation of the transactions contemplated by this Agreement (which, for the avoidance of doubt, shall not include any hedging activities by any Indemnitee), any other Margin Loan Documentation or any agreement or instrument contemplated hereby or thereby, (ii) any Advance or the use or proposed use of the proceeds therefrom, or (iii) any actual or prospective claim, litigation, investigation or proceeding relating to any of the foregoing, whether based on contract, tort or any other theory, whether brought by a third party or by any Borrower or any other Related Party of any Borrower, and regardless of whether any Indemnitee is a party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any of its Related Parties or (y) arise out of any dispute among Indemnitees (other than a dispute involving claims against Administrative Agent or any Calculation Agent, in each case, in their respective capacities as such) that did not involve actions or omissions of any Borrower or any Affiliate of any Borrower. This Section 9.04 shall not apply to Taxes, other than any Taxes that represent losses, claims, damages or liabilities in respect of a non-Tax claim. With respect to expenses of counsel that are indemnifiable hereunder, the Borrowers shall provide an indemnity only if all Indemnitees that obtain indemnification hereunder with respect to a substantially-related claim engage a single counsel in each relevant jurisdiction unless the interest of such Indemnitees are materially adverse to one another or to the extent it would be advisable with respect to applicable legal, regulatory or self-regulatory requirements or with related policies and procedures applicable to such Indemnitees to engage separate counsel.</w:t>
      </w:r>
    </w:p>
    <w:p>
      <w:pPr>
        <w:spacing w:after="0" w:line="374" w:lineRule="exact"/>
        <w:rPr>
          <w:rFonts w:ascii="Arial" w:cs="Arial" w:eastAsia="Arial" w:hAnsi="Arial"/>
          <w:sz w:val="19"/>
          <w:szCs w:val="19"/>
          <w:color w:val="auto"/>
        </w:rPr>
      </w:pPr>
    </w:p>
    <w:p>
      <w:pPr>
        <w:ind w:left="-20" w:firstLine="850"/>
        <w:spacing w:after="0" w:line="220" w:lineRule="auto"/>
        <w:tabs>
          <w:tab w:leader="none" w:pos="1264"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Waiver of Consequential Damages, Etc</w:t>
      </w:r>
      <w:r>
        <w:rPr>
          <w:rFonts w:ascii="Arial" w:cs="Arial" w:eastAsia="Arial" w:hAnsi="Arial"/>
          <w:sz w:val="21"/>
          <w:szCs w:val="21"/>
          <w:color w:val="auto"/>
        </w:rPr>
        <w:t>. To the fullest extent permitted by applicable Law, Borrowers shall not assert, and hereby waive, any claim against any Indemnitee, on any theory of liability, for special, indirect, consequential or punitive damages (as opposed to direct or actual damages) arising out of, in connection with, or as a result of, this Agreement, any other Margin Loan Documentation or any agreement or instrument contemplated hereby, the transactions contemplated hereby or thereby, any Advance or the use of the proceeds thereof. No Indemnitee referred to in Section 9.04(b) shall be liable for any damages arising from the use by unintended recipients of any information or other materials distributed by it through telecommunications, electronic or other information transmission systems in connection with this Agreement or the other Margin Loan Documentation or the transactions contemplated hereby or thereby, except to the extent such charges result from the willful misconduct, bad faith or gross negligence of such Indemnitee as determined by a final and non-appealable judgment of a court of competent jurisdiction.</w:t>
      </w:r>
    </w:p>
    <w:p>
      <w:pPr>
        <w:spacing w:after="0" w:line="162" w:lineRule="exact"/>
        <w:rPr>
          <w:rFonts w:ascii="Arial" w:cs="Arial" w:eastAsia="Arial" w:hAnsi="Arial"/>
          <w:sz w:val="21"/>
          <w:szCs w:val="21"/>
          <w:color w:val="auto"/>
        </w:rPr>
      </w:pPr>
    </w:p>
    <w:p>
      <w:pPr>
        <w:ind w:left="-20" w:right="60" w:firstLine="850"/>
        <w:spacing w:after="0" w:line="268" w:lineRule="auto"/>
        <w:tabs>
          <w:tab w:leader="none" w:pos="1263"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Post-Default Hedging Costs</w:t>
      </w:r>
      <w:r>
        <w:rPr>
          <w:rFonts w:ascii="Arial" w:cs="Arial" w:eastAsia="Arial" w:hAnsi="Arial"/>
          <w:sz w:val="19"/>
          <w:szCs w:val="19"/>
          <w:color w:val="auto"/>
        </w:rPr>
        <w:t>. After (i) the occurrence of an Event of Default and (ii) acceleration of Obligations of any Lender, Borrowers shall pay, on demand, each Lender’s costs, charges, losses (including market losses), fees, expenses, Taxes or duties of any kind (including, for these purposes, a reduction in rebate received by such Lender in respect of its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00"/>
          </w:cols>
          <w:pgMar w:left="340" w:top="1440" w:right="359" w:bottom="1440" w:gutter="0" w:footer="0" w:header="0"/>
        </w:sectPr>
      </w:pPr>
    </w:p>
    <w:bookmarkStart w:id="145" w:name="page146"/>
    <w:bookmarkEnd w:id="145"/>
    <w:p>
      <w:pPr>
        <w:spacing w:after="0" w:line="200" w:lineRule="exact"/>
        <w:rPr>
          <w:sz w:val="20"/>
          <w:szCs w:val="20"/>
          <w:color w:val="auto"/>
        </w:rPr>
      </w:pPr>
    </w:p>
    <w:p>
      <w:pPr>
        <w:spacing w:after="0" w:line="233" w:lineRule="exact"/>
        <w:rPr>
          <w:sz w:val="20"/>
          <w:szCs w:val="20"/>
          <w:color w:val="auto"/>
        </w:rPr>
      </w:pPr>
    </w:p>
    <w:p>
      <w:pPr>
        <w:spacing w:after="0" w:line="221" w:lineRule="auto"/>
        <w:rPr>
          <w:sz w:val="20"/>
          <w:szCs w:val="20"/>
          <w:color w:val="auto"/>
        </w:rPr>
      </w:pPr>
      <w:r>
        <w:rPr>
          <w:rFonts w:ascii="Arial" w:cs="Arial" w:eastAsia="Arial" w:hAnsi="Arial"/>
          <w:sz w:val="21"/>
          <w:szCs w:val="21"/>
          <w:color w:val="auto"/>
        </w:rPr>
        <w:t>borrowing of securities) in connection with such Lender’s (i) Advances or (ii) acquisition, establishment, re-establishment, substitution, maintenance, unwinding or disposition of, or realization or recovery of the proceeds of (or partial proceeds of) any transaction(s), position(s) or asset(s) that such Lender deems necessary (in its sole discretion) to hedge the market risk of the Collateral, with respect to each hedge entered into after the occurrence, and during the continuance, of an Event of Default that has not been waived or deemed not to occur pursuant to the last sentence of Section 7.01, in each case regardless of whether such funding is obtained from third parties, an Affiliate of such Lender or such Lender’s internal sources. Notwithstanding anything to the contrary contained in this Agreement, Borrowers shall not be responsible for any costs, charges, fees, expenses, Taxes or duties of any kind related to any hedging activities of such Lender in connection with this Facility other than as set forth in this Section 9.04(d).</w:t>
      </w:r>
    </w:p>
    <w:p>
      <w:pPr>
        <w:spacing w:after="0" w:line="159" w:lineRule="exact"/>
        <w:rPr>
          <w:sz w:val="20"/>
          <w:szCs w:val="20"/>
          <w:color w:val="auto"/>
        </w:rPr>
      </w:pPr>
    </w:p>
    <w:p>
      <w:pPr>
        <w:ind w:left="1300" w:hanging="450"/>
        <w:spacing w:after="0"/>
        <w:tabs>
          <w:tab w:leader="none" w:pos="1300" w:val="left"/>
        </w:tabs>
        <w:numPr>
          <w:ilvl w:val="0"/>
          <w:numId w:val="129"/>
        </w:numPr>
        <w:rPr>
          <w:rFonts w:ascii="Arial" w:cs="Arial" w:eastAsia="Arial" w:hAnsi="Arial"/>
          <w:sz w:val="21"/>
          <w:szCs w:val="21"/>
          <w:color w:val="auto"/>
        </w:rPr>
      </w:pPr>
      <w:r>
        <w:rPr>
          <w:rFonts w:ascii="Arial" w:cs="Arial" w:eastAsia="Arial" w:hAnsi="Arial"/>
          <w:sz w:val="21"/>
          <w:szCs w:val="21"/>
          <w:u w:val="single" w:color="auto"/>
          <w:color w:val="auto"/>
        </w:rPr>
        <w:t>Payments</w:t>
      </w:r>
      <w:r>
        <w:rPr>
          <w:rFonts w:ascii="Arial" w:cs="Arial" w:eastAsia="Arial" w:hAnsi="Arial"/>
          <w:sz w:val="21"/>
          <w:szCs w:val="21"/>
          <w:color w:val="auto"/>
        </w:rPr>
        <w:t>. All amounts due under this Section 9.04 shall be payable immediately upon demand therefor.</w:t>
      </w:r>
    </w:p>
    <w:p>
      <w:pPr>
        <w:spacing w:after="0" w:line="190" w:lineRule="exact"/>
        <w:rPr>
          <w:rFonts w:ascii="Arial" w:cs="Arial" w:eastAsia="Arial" w:hAnsi="Arial"/>
          <w:sz w:val="21"/>
          <w:szCs w:val="21"/>
          <w:color w:val="auto"/>
        </w:rPr>
      </w:pPr>
    </w:p>
    <w:p>
      <w:pPr>
        <w:ind w:right="460" w:firstLine="850"/>
        <w:spacing w:after="0" w:line="232" w:lineRule="auto"/>
        <w:tabs>
          <w:tab w:leader="none" w:pos="1288"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agreements in this Section 9.04 shall survive the termination of the Facility and the repayment, satisfaction or discharge of all the other Obligations.</w:t>
      </w:r>
    </w:p>
    <w:p>
      <w:pPr>
        <w:spacing w:after="0" w:line="159" w:lineRule="exact"/>
        <w:rPr>
          <w:sz w:val="20"/>
          <w:szCs w:val="20"/>
          <w:color w:val="auto"/>
        </w:rPr>
      </w:pPr>
    </w:p>
    <w:p>
      <w:pPr>
        <w:ind w:right="20" w:firstLine="648"/>
        <w:spacing w:after="0" w:line="211" w:lineRule="auto"/>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i w:val="1"/>
          <w:iCs w:val="1"/>
          <w:color w:val="auto"/>
        </w:rPr>
        <w:t>Payments Set Aside.</w:t>
      </w:r>
      <w:r>
        <w:rPr>
          <w:rFonts w:ascii="Arial" w:cs="Arial" w:eastAsia="Arial" w:hAnsi="Arial"/>
          <w:sz w:val="22"/>
          <w:szCs w:val="22"/>
          <w:color w:val="auto"/>
        </w:rPr>
        <w:t xml:space="preserve"> To the extent that any payment by or on behalf of a Borrower is made to any of Administrative Agent or Lenders (or Administrative Agent on behalf of the Lenders), or Administrative Agent or any Lender exercises its right of setoff, and such payment or the proceeds of such setoff or any part thereof is subsequently invalidated, declared to be fraudulent or preferential, set aside or required (including pursuant to any settlement entered into by Administrative Agent or any Lender in its discretion) to be repaid to a trustee, receiver or any other party, in connection with any proceeding under any Debtor Relief Law or otherwise, then to the extent of such recovery, the obligation or part thereof originally intended to be satisfied shall be revived and continued in full force and effect as if such payment had not been made or such setoff had not occurred.</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9.06</w:t>
      </w:r>
      <w:r>
        <w:rPr>
          <w:sz w:val="20"/>
          <w:szCs w:val="20"/>
          <w:color w:val="auto"/>
        </w:rPr>
        <w:tab/>
      </w:r>
      <w:r>
        <w:rPr>
          <w:rFonts w:ascii="Arial" w:cs="Arial" w:eastAsia="Arial" w:hAnsi="Arial"/>
          <w:sz w:val="19"/>
          <w:szCs w:val="19"/>
          <w:i w:val="1"/>
          <w:iCs w:val="1"/>
          <w:color w:val="auto"/>
        </w:rPr>
        <w:t>Governing Law; Submission To Jurisdiction</w:t>
      </w:r>
      <w:r>
        <w:rPr>
          <w:rFonts w:ascii="Arial" w:cs="Arial" w:eastAsia="Arial" w:hAnsi="Arial"/>
          <w:sz w:val="19"/>
          <w:szCs w:val="19"/>
          <w:color w:val="auto"/>
        </w:rPr>
        <w:t>.</w:t>
      </w:r>
    </w:p>
    <w:p>
      <w:pPr>
        <w:spacing w:after="0" w:line="179" w:lineRule="exact"/>
        <w:rPr>
          <w:sz w:val="20"/>
          <w:szCs w:val="20"/>
          <w:color w:val="auto"/>
        </w:rPr>
      </w:pPr>
    </w:p>
    <w:p>
      <w:pPr>
        <w:ind w:right="180" w:firstLine="850"/>
        <w:spacing w:after="0" w:line="223" w:lineRule="auto"/>
        <w:tabs>
          <w:tab w:leader="none" w:pos="1284"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Margin Loan Documentation shall be governed by, and construed in accordance with, laws of the State of New York without giving effect to its conflict of laws provisions other than Section 5 1401 of the New York General Obligations Law.</w:t>
      </w:r>
    </w:p>
    <w:p>
      <w:pPr>
        <w:spacing w:after="0" w:line="158" w:lineRule="exact"/>
        <w:rPr>
          <w:rFonts w:ascii="Arial" w:cs="Arial" w:eastAsia="Arial" w:hAnsi="Arial"/>
          <w:sz w:val="22"/>
          <w:szCs w:val="22"/>
          <w:color w:val="auto"/>
        </w:rPr>
      </w:pPr>
    </w:p>
    <w:p>
      <w:pPr>
        <w:ind w:firstLine="850"/>
        <w:spacing w:after="0" w:line="220" w:lineRule="auto"/>
        <w:tabs>
          <w:tab w:leader="none" w:pos="1283"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Submission to Jurisdiction</w:t>
      </w:r>
      <w:r>
        <w:rPr>
          <w:rFonts w:ascii="Arial" w:cs="Arial" w:eastAsia="Arial" w:hAnsi="Arial"/>
          <w:sz w:val="21"/>
          <w:szCs w:val="21"/>
          <w:color w:val="auto"/>
        </w:rPr>
        <w:t>. Each of the parties hereto hereby irrevocably and unconditionally submits, for itself and its property, to the nonexclusive jurisdiction of any U.S. Federal or New York State court sitting in New York, New York in any action or proceeding arising out of or relating to any Margin Loan Documentation,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Margin Loan Documentation shall affect any right that any Agent or Lender may otherwise have to bring any action or proceeding relating to this Agreement or any other Margin Loan Documentation against any Borrower or its properties in the courts of any jurisdiction.</w:t>
      </w:r>
    </w:p>
    <w:p>
      <w:pPr>
        <w:spacing w:after="0" w:line="162" w:lineRule="exact"/>
        <w:rPr>
          <w:rFonts w:ascii="Arial" w:cs="Arial" w:eastAsia="Arial" w:hAnsi="Arial"/>
          <w:sz w:val="21"/>
          <w:szCs w:val="21"/>
          <w:color w:val="auto"/>
        </w:rPr>
      </w:pPr>
    </w:p>
    <w:p>
      <w:pPr>
        <w:ind w:right="80" w:firstLine="850"/>
        <w:spacing w:after="0" w:line="232" w:lineRule="auto"/>
        <w:tabs>
          <w:tab w:leader="none" w:pos="1284"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Waiver of Venue</w:t>
      </w:r>
      <w:r>
        <w:rPr>
          <w:rFonts w:ascii="Arial" w:cs="Arial" w:eastAsia="Arial" w:hAnsi="Arial"/>
          <w:sz w:val="22"/>
          <w:szCs w:val="22"/>
          <w:color w:val="auto"/>
        </w:rPr>
        <w:t>. Each of the parties hereto hereby irrevocably and unconditionally waives, to the fullest extent it may legally and effectively do so, any objection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180"/>
          </w:cols>
          <w:pgMar w:left="320" w:top="1440" w:right="399" w:bottom="1440" w:gutter="0" w:footer="0" w:header="0"/>
        </w:sectPr>
      </w:pPr>
    </w:p>
    <w:bookmarkStart w:id="146" w:name="page147"/>
    <w:bookmarkEnd w:id="146"/>
    <w:p>
      <w:pPr>
        <w:spacing w:after="0" w:line="200" w:lineRule="exact"/>
        <w:rPr>
          <w:sz w:val="20"/>
          <w:szCs w:val="20"/>
          <w:color w:val="auto"/>
        </w:rPr>
      </w:pPr>
    </w:p>
    <w:p>
      <w:pPr>
        <w:spacing w:after="0" w:line="233" w:lineRule="exact"/>
        <w:rPr>
          <w:sz w:val="20"/>
          <w:szCs w:val="20"/>
          <w:color w:val="auto"/>
        </w:rPr>
      </w:pPr>
    </w:p>
    <w:p>
      <w:pPr>
        <w:ind w:right="420"/>
        <w:spacing w:after="0" w:line="218" w:lineRule="auto"/>
        <w:rPr>
          <w:sz w:val="20"/>
          <w:szCs w:val="20"/>
          <w:color w:val="auto"/>
        </w:rPr>
      </w:pPr>
      <w:r>
        <w:rPr>
          <w:rFonts w:ascii="Arial" w:cs="Arial" w:eastAsia="Arial" w:hAnsi="Arial"/>
          <w:sz w:val="22"/>
          <w:szCs w:val="22"/>
          <w:color w:val="auto"/>
        </w:rPr>
        <w:t>which it may now or hereafter have to the laying of venue of any suit, action or proceeding arising out of or relating to this Agreement or any other Margin Loan Documentation in any court referred to in Section 9.06(b). Each of the parties hereto hereby irrevocably waives, to the fullest extent permitted by law, the defense of an inconvenient forum to the maintenance of such action or proceeding in any such court.</w:t>
      </w:r>
    </w:p>
    <w:p>
      <w:pPr>
        <w:spacing w:after="0" w:line="161" w:lineRule="exact"/>
        <w:rPr>
          <w:sz w:val="20"/>
          <w:szCs w:val="20"/>
          <w:color w:val="auto"/>
        </w:rPr>
      </w:pPr>
    </w:p>
    <w:p>
      <w:pPr>
        <w:ind w:firstLine="850"/>
        <w:spacing w:after="0" w:line="223" w:lineRule="auto"/>
        <w:tabs>
          <w:tab w:leader="none" w:pos="1283"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Service of Process</w:t>
      </w:r>
      <w:r>
        <w:rPr>
          <w:rFonts w:ascii="Arial" w:cs="Arial" w:eastAsia="Arial" w:hAnsi="Arial"/>
          <w:sz w:val="22"/>
          <w:szCs w:val="22"/>
          <w:color w:val="auto"/>
        </w:rPr>
        <w:t>. Each party hereto irrevocably consents to service of process in the manner provided for notices in Section 9.02(a). Nothing in this Agreement will affect the right of any party hereto to serve process in any other manner permitted by applicable Law.</w:t>
      </w:r>
    </w:p>
    <w:p>
      <w:pPr>
        <w:spacing w:after="0" w:line="158" w:lineRule="exact"/>
        <w:rPr>
          <w:rFonts w:ascii="Arial" w:cs="Arial" w:eastAsia="Arial" w:hAnsi="Arial"/>
          <w:sz w:val="22"/>
          <w:szCs w:val="22"/>
          <w:color w:val="auto"/>
        </w:rPr>
      </w:pPr>
    </w:p>
    <w:p>
      <w:pPr>
        <w:ind w:right="60" w:firstLine="850"/>
        <w:spacing w:after="0" w:line="244" w:lineRule="auto"/>
        <w:tabs>
          <w:tab w:leader="none" w:pos="1284"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IRREVOCABLY WAIVES, TO THE FULLEST EXTENT PERMITTED BY APPLICABLE LAW, ANY RIGHT IT MAY HAVE TO A TRIAL BY JURY IN ANY LEGAL PROCEEDING DIRECTLY OR INDIRECTLY ARISING OUT OF OR RELATING TO THIS AGREEMENT OR ANY OTHER MARGIN LOAN DOCUMENTATION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MARGIN LOAN DOCUMENTATION BY, AMONG OTHER THINGS, THE MUTUAL WAIVERS AND CERTIFICATIONS IN THIS SECTION 9.06(E).</w:t>
      </w:r>
    </w:p>
    <w:p>
      <w:pPr>
        <w:spacing w:after="0" w:line="15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9.07</w:t>
      </w:r>
      <w:r>
        <w:rPr>
          <w:sz w:val="20"/>
          <w:szCs w:val="20"/>
          <w:color w:val="auto"/>
        </w:rPr>
        <w:tab/>
      </w:r>
      <w:r>
        <w:rPr>
          <w:rFonts w:ascii="Arial" w:cs="Arial" w:eastAsia="Arial" w:hAnsi="Arial"/>
          <w:sz w:val="18"/>
          <w:szCs w:val="18"/>
          <w:i w:val="1"/>
          <w:iCs w:val="1"/>
          <w:color w:val="auto"/>
        </w:rPr>
        <w:t>Successors and Assigns</w:t>
      </w:r>
      <w:r>
        <w:rPr>
          <w:rFonts w:ascii="Arial" w:cs="Arial" w:eastAsia="Arial" w:hAnsi="Arial"/>
          <w:sz w:val="18"/>
          <w:szCs w:val="18"/>
          <w:color w:val="auto"/>
        </w:rPr>
        <w:t>.</w:t>
      </w:r>
    </w:p>
    <w:p>
      <w:pPr>
        <w:spacing w:after="0" w:line="179" w:lineRule="exact"/>
        <w:rPr>
          <w:sz w:val="20"/>
          <w:szCs w:val="20"/>
          <w:color w:val="auto"/>
        </w:rPr>
      </w:pPr>
    </w:p>
    <w:p>
      <w:pPr>
        <w:ind w:right="120" w:firstLine="850"/>
        <w:spacing w:after="0"/>
        <w:tabs>
          <w:tab w:leader="none" w:pos="128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The provisions of this Agreement shall be binding upon and inure to the benefit of the parties hereto and their respective successors and assigns permitted hereby, except that Borrowers may not assign or otherwise transfer any rights or obligations of Borrowers hereunder, or under any other Margin Loan Documentation, without the prior written consent of each Lender (and any attempted assignment or transfer by a Borrower without such consent shall be null and void). Nothing in this Agreement, expressed or implied, shall be construed to confer upon any Person (other than the parties hereto, their respective successors and assigns permitted hereby and, to the extent expressly contemplated hereby, the Related Parties of each Lender) any legal or equitable right, remedy or claim under or by reason of this Agreement. Any Lender may assign to one or more assignees that make the Purchaser Representations for the benefit of each “Lender” hereunder all or a portion of its rights and obligations under this Agreement (including all or a portion of the Advances);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in the case of an assignment to an Affiliate of such Lender (other than a special purpose vehicle, securitization vehicle or other similar Person), an Approved Fund or an Approved Lender, each Borrower must give its prior written consent to such assignment (which consent shall not be unreasonably withheld, it being understood that it shall be reasonable for a Borrower to withhold consent from a proposed assignee or transferee with which such Borrower or its Affiliates do not have a commercial relationship);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any consent of a Borrower otherwise required under this Section 9.07(a) shall not be required if a payment or bankruptcy Event of Default has occurred and is continuing;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solely to the extent such assignment would cause such Lender’s Applicable Percentage to be reduced from at or above 50% immediately prior to such assignment to below 50% immediately after giving effect to such assignment, such assigning Lender shall offer each Original Lender and/or any of its Affiliates a right of first refusal to acquire the interests, rights and obligations of such Lender by assignment ratably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20"/>
          </w:cols>
          <w:pgMar w:left="320" w:top="1440" w:right="359" w:bottom="1440" w:gutter="0" w:footer="0" w:header="0"/>
        </w:sectPr>
      </w:pPr>
    </w:p>
    <w:bookmarkStart w:id="147" w:name="page148"/>
    <w:bookmarkEnd w:id="147"/>
    <w:p>
      <w:pPr>
        <w:spacing w:after="0" w:line="200" w:lineRule="exact"/>
        <w:rPr>
          <w:sz w:val="20"/>
          <w:szCs w:val="20"/>
          <w:color w:val="auto"/>
        </w:rPr>
      </w:pPr>
    </w:p>
    <w:p>
      <w:pPr>
        <w:spacing w:after="0" w:line="233" w:lineRule="exact"/>
        <w:rPr>
          <w:sz w:val="20"/>
          <w:szCs w:val="20"/>
          <w:color w:val="auto"/>
        </w:rPr>
      </w:pPr>
    </w:p>
    <w:p>
      <w:pPr>
        <w:ind w:right="60"/>
        <w:spacing w:after="0" w:line="241" w:lineRule="auto"/>
        <w:rPr>
          <w:sz w:val="20"/>
          <w:szCs w:val="20"/>
          <w:color w:val="auto"/>
        </w:rPr>
      </w:pPr>
      <w:r>
        <w:rPr>
          <w:rFonts w:ascii="Arial" w:cs="Arial" w:eastAsia="Arial" w:hAnsi="Arial"/>
          <w:sz w:val="19"/>
          <w:szCs w:val="19"/>
          <w:color w:val="auto"/>
        </w:rPr>
        <w:t>with such Original Lender’s ratable share based upon the relative amount of such Lender’s Advances and if any such Original Lender and/or any of its Permitted Affiliates do not accept such offer within ten (10) Business Days, then it shall be deemed to have waived its right of first refusal. Subject to notification of an assignment, the assignee shall be a party hereto and, to the extent of the interest assigned, have the rights and obligations of the related assigning Lender under this Agreement, and such Lender shall, to the extent of the interest assigned, be released from its obligations under this Agreement (and, in the case of an assignment covering all of such Lender's rights and obligations under this Agreement, such Lender shall cease to be a party hereto but shall continue to be entitled to the benefits of Sections 2.09, 2.10, 2.12, 9.04 and 9.14). Each Borrower hereby agrees to execute any amendment and/or any other document that may be necessary to effectuate such an assignment. Borrowers shall maintain a copy of each assignment delivered to Borrowers and a register for the recordation of the names and addresses of Lenders and their respective successors and assigns, and the commitments of, and principal amounts of and interest on the Obligations owing to, each assignee pursuant to the terms hereof from time to time (the “</w:t>
      </w:r>
      <w:r>
        <w:rPr>
          <w:rFonts w:ascii="Arial" w:cs="Arial" w:eastAsia="Arial" w:hAnsi="Arial"/>
          <w:sz w:val="19"/>
          <w:szCs w:val="19"/>
          <w:b w:val="1"/>
          <w:bCs w:val="1"/>
          <w:i w:val="1"/>
          <w:iCs w:val="1"/>
          <w:color w:val="auto"/>
        </w:rPr>
        <w:t>Register</w:t>
      </w:r>
      <w:r>
        <w:rPr>
          <w:rFonts w:ascii="Arial" w:cs="Arial" w:eastAsia="Arial" w:hAnsi="Arial"/>
          <w:sz w:val="19"/>
          <w:szCs w:val="19"/>
          <w:color w:val="auto"/>
        </w:rPr>
        <w:t>”). The entries in the Register shall be conclusive absent manifest error, and Borrowers, Lenders and the assignees shall treat each Person whose name is recorded in the Register pursuant to the terms hereof as a lender hereunder for all purposes of this Agreement. The Register shall be available for inspection by Borrowers and each Lender or assignee (but only as to its own holdings), at any reasonable time and from time to time upon reasonable prior notice.</w:t>
      </w:r>
    </w:p>
    <w:p>
      <w:pPr>
        <w:spacing w:after="0" w:line="165" w:lineRule="exact"/>
        <w:rPr>
          <w:sz w:val="20"/>
          <w:szCs w:val="20"/>
          <w:color w:val="auto"/>
        </w:rPr>
      </w:pPr>
    </w:p>
    <w:p>
      <w:pPr>
        <w:ind w:firstLine="850"/>
        <w:spacing w:after="0" w:line="241" w:lineRule="auto"/>
        <w:tabs>
          <w:tab w:leader="none" w:pos="1283"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Any Lender may sell participations to one or more banks or other entities (other than Borrowers or any Affiliates of Borrowers) (a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xml:space="preserve">”) that make the Purchaser Representations for the benefit of each Lender hereunder in all or a portion of such Lender's rights and obligations under this Agreement and the other Margin Loan Documentation (including all or a portion of the Advances);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Lender’s obligations under the Margin Loan Documentation shall remain unchanged, (ii) such Lender shall remain solely responsible to Borrowers for the performance of such obligations, (iii) Borrowers shall continue to deal solely and directly with such Lender in connection with such Lender's rights and obligations under this Agreement, (iv) such Lender shall maintain a register of all Participants detailing each Participant’s entitlement to principal and interest and (v) if the participation provides the Participant with control rights with respect to the Lender’s rights under this Agreement, (A) such Participant shall be an Affiliate of such Lender (other than a special purpose vehicle, securitization vehicle or other similar Person), an Approved Fund or an Approved Lender or (B) each Borrower shall have given its prior written consent to such participation (which consent shall not be unreasonably withheld, it being understood that it shall be reasonable for a Borrower to withhold consent from a proposed participant with which such Borrower or its Affiliates do not have a commercial relationship). Subject to Section 9.07(c), Borrowers agree that each Participant shall be entitled to the benefits of Sections 2.10, 2.11, and 2.13 to the same extent as if it were a Lender and had acquired its interest by assignment pursuant to this Section 9.07(b). To the extent permitted by law, each Participant also shall be entitled to the benefits of Section 9.14 as though it were a Lender.</w:t>
      </w:r>
    </w:p>
    <w:p>
      <w:pPr>
        <w:spacing w:after="0" w:line="381" w:lineRule="exact"/>
        <w:rPr>
          <w:rFonts w:ascii="Arial" w:cs="Arial" w:eastAsia="Arial" w:hAnsi="Arial"/>
          <w:sz w:val="19"/>
          <w:szCs w:val="19"/>
          <w:color w:val="auto"/>
        </w:rPr>
      </w:pPr>
    </w:p>
    <w:p>
      <w:pPr>
        <w:ind w:right="20" w:firstLine="850"/>
        <w:spacing w:after="0" w:line="249" w:lineRule="auto"/>
        <w:tabs>
          <w:tab w:leader="none" w:pos="128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 Participant shall not be entitled to receive any greater payment under Section 2.09 and Section 2.10 than a Lender would have been entitled to receive with respect to the participation sold to such Participant, unless the sale of the participation to such Participant is made with Borrowers’ prior written consent or results from a Change in Law that occurs after the Participant acquired the applicable participation. Each Participant will comply with Section 2.10(e) as though it were a Lender, except that such Tax forms shall be provided to Lender and not Borrowers. A participating Lender shall, acting solely for this purpose as a non-fiduciary agent of Borrowers, maintain a register on which it enters the name and address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00"/>
          </w:cols>
          <w:pgMar w:left="320" w:top="1440" w:right="379" w:bottom="1440" w:gutter="0" w:footer="0" w:header="0"/>
        </w:sectPr>
      </w:pPr>
    </w:p>
    <w:bookmarkStart w:id="148" w:name="page149"/>
    <w:bookmarkEnd w:id="148"/>
    <w:p>
      <w:pPr>
        <w:spacing w:after="0" w:line="200" w:lineRule="exact"/>
        <w:rPr>
          <w:sz w:val="20"/>
          <w:szCs w:val="20"/>
          <w:color w:val="auto"/>
        </w:rPr>
      </w:pPr>
    </w:p>
    <w:p>
      <w:pPr>
        <w:spacing w:after="0" w:line="233" w:lineRule="exact"/>
        <w:rPr>
          <w:sz w:val="20"/>
          <w:szCs w:val="20"/>
          <w:color w:val="auto"/>
        </w:rPr>
      </w:pPr>
    </w:p>
    <w:p>
      <w:pPr>
        <w:ind w:right="60"/>
        <w:spacing w:after="0" w:line="220" w:lineRule="auto"/>
        <w:rPr>
          <w:sz w:val="20"/>
          <w:szCs w:val="20"/>
          <w:color w:val="auto"/>
        </w:rPr>
      </w:pPr>
      <w:r>
        <w:rPr>
          <w:rFonts w:ascii="Arial" w:cs="Arial" w:eastAsia="Arial" w:hAnsi="Arial"/>
          <w:sz w:val="21"/>
          <w:szCs w:val="21"/>
          <w:color w:val="auto"/>
        </w:rPr>
        <w:t>Participant and the principal amounts of (and stated interest on) each Participant’s interest in the Advances or other obligations under the Margin Loan Documentation (the “</w:t>
      </w:r>
      <w:r>
        <w:rPr>
          <w:rFonts w:ascii="Arial" w:cs="Arial" w:eastAsia="Arial" w:hAnsi="Arial"/>
          <w:sz w:val="21"/>
          <w:szCs w:val="21"/>
          <w:b w:val="1"/>
          <w:bCs w:val="1"/>
          <w:i w:val="1"/>
          <w:iCs w:val="1"/>
          <w:color w:val="auto"/>
        </w:rPr>
        <w:t>Participant Register</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Lender shall not have any obligation to disclose all or any portion of the Participant Register (including the identity of any Participant or any information relating to a Participant’s interest in any commitments, loans, letters of credit or its other obligations under any Margin Loan Documentation) to any Person except to the extent that such disclosure is necessary to establish that such commitment, loan, letter of credit or other obligation is in registered form under Treasury Regulations Section 5f.103-1(c) and Proposed Treasury Regulations Section 1.163-5(b) (or any amended or successor version) or in order to obtain the consent set forth in Section 9.07(b)(v). The entries in the Participant Register shall be conclusive absent manifest error, and any Lender shall treat each Person whose name is recorded in the Participant Register as the owner of such participation for all purposes of this Agreement notwithstanding any notice to the contrary.</w:t>
      </w:r>
    </w:p>
    <w:p>
      <w:pPr>
        <w:spacing w:after="0" w:line="162" w:lineRule="exact"/>
        <w:rPr>
          <w:sz w:val="20"/>
          <w:szCs w:val="20"/>
          <w:color w:val="auto"/>
        </w:rPr>
      </w:pPr>
    </w:p>
    <w:p>
      <w:pPr>
        <w:ind w:right="540" w:firstLine="850"/>
        <w:spacing w:after="0" w:line="257" w:lineRule="auto"/>
        <w:tabs>
          <w:tab w:leader="none" w:pos="1283"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Any Lender may at any time pledge or assign a security interest in all or any portion of its rights under this Agreement to secure obligations of such Lender, and this Section 9.07 shall not apply to any such pledge or assignment of a security interest;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pledge or assignment of a security interest shall release such Lender from any of its obligations hereunder or substitute any such pledgee or assignee for such Lender as a party hereto.</w:t>
      </w:r>
    </w:p>
    <w:p>
      <w:pPr>
        <w:spacing w:after="0" w:line="144" w:lineRule="exact"/>
        <w:rPr>
          <w:rFonts w:ascii="Arial" w:cs="Arial" w:eastAsia="Arial" w:hAnsi="Arial"/>
          <w:sz w:val="19"/>
          <w:szCs w:val="19"/>
          <w:color w:val="auto"/>
        </w:rPr>
      </w:pPr>
    </w:p>
    <w:p>
      <w:pPr>
        <w:ind w:right="100" w:firstLine="850"/>
        <w:spacing w:after="0" w:line="212" w:lineRule="auto"/>
        <w:tabs>
          <w:tab w:leader="none" w:pos="1284" w:val="left"/>
        </w:tabs>
        <w:numPr>
          <w:ilvl w:val="0"/>
          <w:numId w:val="134"/>
        </w:numPr>
        <w:rPr>
          <w:rFonts w:ascii="Arial" w:cs="Arial" w:eastAsia="Arial" w:hAnsi="Arial"/>
          <w:sz w:val="22"/>
          <w:szCs w:val="22"/>
          <w:color w:val="auto"/>
        </w:rPr>
      </w:pPr>
      <w:r>
        <w:rPr>
          <w:rFonts w:ascii="Arial" w:cs="Arial" w:eastAsia="Arial" w:hAnsi="Arial"/>
          <w:sz w:val="22"/>
          <w:szCs w:val="22"/>
          <w:color w:val="auto"/>
        </w:rPr>
        <w:t>No Lender may acquire credit protection or similar derivative arrangement, including a total return swap, with respect to an Advance if such instrument provides the seller thereof with control rights with respect to the Lender’s rights under this Agreement unless (i) such seller is an Affiliate of such Lender (other than a special purpose vehicle, securitization vehicle or other similar Person), an Approved Fund or an Approved Lender or (ii) each Borrower has given its prior written consent thereto (which consent shall not be unreasonably withheld, it being understood that it shall be reasonable for a Borrower to withhold consent to a proposed seller of credit protection with which such Borrower or its Affiliates do not have a commercial relationship).</w:t>
      </w:r>
    </w:p>
    <w:p>
      <w:pPr>
        <w:spacing w:after="0" w:line="164" w:lineRule="exact"/>
        <w:rPr>
          <w:sz w:val="20"/>
          <w:szCs w:val="20"/>
          <w:color w:val="auto"/>
        </w:rPr>
      </w:pPr>
    </w:p>
    <w:p>
      <w:pPr>
        <w:ind w:right="20" w:firstLine="648"/>
        <w:spacing w:after="0" w:line="229" w:lineRule="auto"/>
        <w:rPr>
          <w:sz w:val="20"/>
          <w:szCs w:val="20"/>
          <w:color w:val="auto"/>
        </w:rPr>
      </w:pPr>
      <w:r>
        <w:rPr>
          <w:rFonts w:ascii="Arial" w:cs="Arial" w:eastAsia="Arial" w:hAnsi="Arial"/>
          <w:sz w:val="21"/>
          <w:szCs w:val="21"/>
          <w:color w:val="auto"/>
        </w:rPr>
        <w:t xml:space="preserve">Section 9.08 </w:t>
      </w:r>
      <w:r>
        <w:rPr>
          <w:rFonts w:ascii="Arial" w:cs="Arial" w:eastAsia="Arial" w:hAnsi="Arial"/>
          <w:sz w:val="21"/>
          <w:szCs w:val="21"/>
          <w:i w:val="1"/>
          <w:iCs w:val="1"/>
          <w:color w:val="auto"/>
        </w:rPr>
        <w:t>Severability.</w:t>
      </w:r>
      <w:r>
        <w:rPr>
          <w:rFonts w:ascii="Arial" w:cs="Arial" w:eastAsia="Arial" w:hAnsi="Arial"/>
          <w:sz w:val="21"/>
          <w:szCs w:val="21"/>
          <w:color w:val="auto"/>
        </w:rPr>
        <w:t xml:space="preserve"> Any provision of any Margin Loan Documentation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58" w:lineRule="exact"/>
        <w:rPr>
          <w:sz w:val="20"/>
          <w:szCs w:val="20"/>
          <w:color w:val="auto"/>
        </w:rPr>
      </w:pPr>
    </w:p>
    <w:p>
      <w:pPr>
        <w:ind w:firstLine="648"/>
        <w:spacing w:after="0" w:line="243" w:lineRule="auto"/>
        <w:rPr>
          <w:sz w:val="20"/>
          <w:szCs w:val="20"/>
          <w:color w:val="auto"/>
        </w:rPr>
      </w:pPr>
      <w:r>
        <w:rPr>
          <w:rFonts w:ascii="Arial" w:cs="Arial" w:eastAsia="Arial" w:hAnsi="Arial"/>
          <w:sz w:val="19"/>
          <w:szCs w:val="19"/>
          <w:color w:val="auto"/>
        </w:rPr>
        <w:t xml:space="preserve">Section 9.09 </w:t>
      </w:r>
      <w:r>
        <w:rPr>
          <w:rFonts w:ascii="Arial" w:cs="Arial" w:eastAsia="Arial" w:hAnsi="Arial"/>
          <w:sz w:val="19"/>
          <w:szCs w:val="19"/>
          <w:i w:val="1"/>
          <w:iCs w:val="1"/>
          <w:color w:val="auto"/>
        </w:rPr>
        <w:t>Counterparts; Integration; Effectiveness; Electronic Execution.</w:t>
      </w:r>
      <w:r>
        <w:rPr>
          <w:rFonts w:ascii="Arial" w:cs="Arial" w:eastAsia="Arial" w:hAnsi="Arial"/>
          <w:sz w:val="19"/>
          <w:szCs w:val="19"/>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Margin Loan Documentation and any separate letter agreements with respect to fees payable to any Agent or Lender constitute the entire contract among the parties relating to the subject matter hereof and supersede any and all previous agreements and understandings, oral or written, relating to the subject matter hereof. Except as provided in Article 4, this Agreement shall become effective when it shall have been executed by each Agent and Lender and when each Agent and Lender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e-mail transmission shall be effective as delivery of a manually-executed counterpart of this Agreement. The words “execution,” “execute,” “signed,”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0" w:lineRule="exact"/>
        <w:rPr>
          <w:sz w:val="20"/>
          <w:szCs w:val="20"/>
          <w:color w:val="auto"/>
        </w:rPr>
      </w:pPr>
    </w:p>
    <w:p>
      <w:pPr>
        <w:spacing w:after="0" w:line="233" w:lineRule="exact"/>
        <w:rPr>
          <w:sz w:val="20"/>
          <w:szCs w:val="20"/>
          <w:color w:val="auto"/>
        </w:rPr>
      </w:pPr>
    </w:p>
    <w:p>
      <w:pPr>
        <w:spacing w:after="0" w:line="247" w:lineRule="auto"/>
        <w:rPr>
          <w:sz w:val="20"/>
          <w:szCs w:val="20"/>
          <w:color w:val="auto"/>
        </w:rPr>
      </w:pPr>
      <w:r>
        <w:rPr>
          <w:rFonts w:ascii="Arial" w:cs="Arial" w:eastAsia="Arial" w:hAnsi="Arial"/>
          <w:sz w:val="19"/>
          <w:szCs w:val="19"/>
          <w:color w:val="auto"/>
        </w:rPr>
        <w:t>“signature”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4" w:lineRule="exact"/>
        <w:rPr>
          <w:sz w:val="20"/>
          <w:szCs w:val="20"/>
          <w:color w:val="auto"/>
        </w:rPr>
      </w:pPr>
    </w:p>
    <w:p>
      <w:pPr>
        <w:ind w:right="60" w:firstLine="648"/>
        <w:spacing w:after="0" w:line="244" w:lineRule="auto"/>
        <w:rPr>
          <w:sz w:val="20"/>
          <w:szCs w:val="20"/>
          <w:color w:val="auto"/>
        </w:rPr>
      </w:pPr>
      <w:r>
        <w:rPr>
          <w:rFonts w:ascii="Arial" w:cs="Arial" w:eastAsia="Arial" w:hAnsi="Arial"/>
          <w:sz w:val="19"/>
          <w:szCs w:val="19"/>
          <w:color w:val="auto"/>
        </w:rPr>
        <w:t xml:space="preserve">Section 9.10 </w:t>
      </w:r>
      <w:r>
        <w:rPr>
          <w:rFonts w:ascii="Arial" w:cs="Arial" w:eastAsia="Arial" w:hAnsi="Arial"/>
          <w:sz w:val="19"/>
          <w:szCs w:val="19"/>
          <w:i w:val="1"/>
          <w:iCs w:val="1"/>
          <w:color w:val="auto"/>
        </w:rPr>
        <w:t>Survival Of Representations.</w:t>
      </w:r>
      <w:r>
        <w:rPr>
          <w:rFonts w:ascii="Arial" w:cs="Arial" w:eastAsia="Arial" w:hAnsi="Arial"/>
          <w:sz w:val="19"/>
          <w:szCs w:val="19"/>
          <w:color w:val="auto"/>
        </w:rPr>
        <w:t xml:space="preserve"> All covenants, agreements, representations and warranties made by the Borrowers or CHI in the Margin Loan Documentation and in the certificates or other instruments delivered in connection with or pursuant to this Agreement or any other Margin Loan Documentation shall be considered to have been relied upon by the other parties hereto and shall survive the execution and delivery of the Margin Loan Documentation and the making of any Advances, regardless of any investigation made by any such other party or on its behalf and notwithstanding that any Agent or Lender may have had notice or knowledge of any Event of Default or incorrect representation or warranty at the time any credit is extended hereunder, and shall continue in full force and effect as long as the principal of or any accrued interest on any Advance or any other Obligation under this Agreement is outstanding and unpaid or unsatisfied. The provisions of Sections 2.09, 2.10 and 2.12 and Article 9 shall survive and remain in full force and effect regardless of the consummation of the transactions contemplated hereby, the repayment of the Advances or the termination of this Agreement or any provision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00"/>
          </w:cols>
          <w:pgMar w:left="320" w:top="1440" w:right="379" w:bottom="1440" w:gutter="0" w:footer="0" w:header="0"/>
        </w:sectPr>
      </w:pPr>
    </w:p>
    <w:bookmarkStart w:id="150" w:name="page151"/>
    <w:bookmarkEnd w:id="150"/>
    <w:p>
      <w:pPr>
        <w:spacing w:after="0" w:line="200" w:lineRule="exact"/>
        <w:rPr>
          <w:sz w:val="20"/>
          <w:szCs w:val="20"/>
          <w:color w:val="auto"/>
        </w:rPr>
      </w:pPr>
    </w:p>
    <w:p>
      <w:pPr>
        <w:spacing w:after="0" w:line="233" w:lineRule="exact"/>
        <w:rPr>
          <w:sz w:val="20"/>
          <w:szCs w:val="20"/>
          <w:color w:val="auto"/>
        </w:rPr>
      </w:pPr>
    </w:p>
    <w:p>
      <w:pPr>
        <w:ind w:firstLine="648"/>
        <w:spacing w:after="0" w:line="238" w:lineRule="auto"/>
        <w:rPr>
          <w:sz w:val="20"/>
          <w:szCs w:val="20"/>
          <w:color w:val="auto"/>
        </w:rPr>
      </w:pPr>
      <w:r>
        <w:rPr>
          <w:rFonts w:ascii="Arial" w:cs="Arial" w:eastAsia="Arial" w:hAnsi="Arial"/>
          <w:sz w:val="19"/>
          <w:szCs w:val="19"/>
          <w:color w:val="auto"/>
        </w:rPr>
        <w:t xml:space="preserve">Section 9.11 </w:t>
      </w:r>
      <w:r>
        <w:rPr>
          <w:rFonts w:ascii="Arial" w:cs="Arial" w:eastAsia="Arial" w:hAnsi="Arial"/>
          <w:sz w:val="19"/>
          <w:szCs w:val="19"/>
          <w:i w:val="1"/>
          <w:iCs w:val="1"/>
          <w:color w:val="auto"/>
        </w:rPr>
        <w:t>Confidentiality.</w:t>
      </w:r>
      <w:r>
        <w:rPr>
          <w:rFonts w:ascii="Arial" w:cs="Arial" w:eastAsia="Arial" w:hAnsi="Arial"/>
          <w:sz w:val="19"/>
          <w:szCs w:val="19"/>
          <w:color w:val="auto"/>
        </w:rPr>
        <w:t xml:space="preserve"> Subject to Section 5.06, each Agent and Lender agrees to maintain the confidentiality of the Information (as defined below) pursuant to the requirements hereof in accordance with its customary procedures for handling confidential information of such nature, except that Information may be (1) used by any Agent or Lender, its affiliates, agents and/or hedging counterparties in connection with, or upon, the exercise of any remedies hereunder or under any other Margin Loan Documentation or any action or proceeding relating to this Agreement or any other Margin Loan Documentation or the enforcement of rights hereunder or thereunder or (2)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having jurisdiction over such Agent or Lender (in which case the disclosing party agrees to inform Borrowers promptly of such disclosure, unless such notice is prohibited by applicable Law and except in connection with any request as part of a regulatory examination of an audit or examination conducted by bank accountants), (c) to the extent required by applicable laws or regulations or by any subpoena or similar legal process (in which case the disclosing party agrees to inform Borrowers promptly of such disclosure to the extent permitted by Law and except in connection with a regulatory examination of an audit or examination conducted by bank accountants), (d) to any other party to this Agreement, (e) in connection with the exercise of any remedies hereunder or any suit, action or proceeding relating to this Agreement or any other Margin Loan Documentation or the enforcement of rights hereunder or thereunder, (f) subject to an agreement containing provisions substantially the same as those of this Section 9.11, to (i) any assignee of or Participant in, or any prospective assignee of or Participant in, any of its rights or obligations under this Agreement or (ii) any actual or prospective counterparty (or its advisors) to any swap or derivative transaction relating to any Borrower and its obligations hereunder, (g) with the consent of Borrowers or (h) to the extent such Information (i) becomes publicly available other than as a result of a breach of this Section</w:t>
      </w:r>
    </w:p>
    <w:p>
      <w:pPr>
        <w:spacing w:after="0" w:line="5" w:lineRule="exact"/>
        <w:rPr>
          <w:sz w:val="20"/>
          <w:szCs w:val="20"/>
          <w:color w:val="auto"/>
        </w:rPr>
      </w:pPr>
    </w:p>
    <w:p>
      <w:pPr>
        <w:spacing w:after="0" w:line="209" w:lineRule="auto"/>
        <w:rPr>
          <w:sz w:val="20"/>
          <w:szCs w:val="20"/>
          <w:color w:val="auto"/>
        </w:rPr>
      </w:pPr>
      <w:r>
        <w:rPr>
          <w:rFonts w:ascii="Arial" w:cs="Arial" w:eastAsia="Arial" w:hAnsi="Arial"/>
          <w:sz w:val="22"/>
          <w:szCs w:val="22"/>
          <w:color w:val="auto"/>
        </w:rPr>
        <w:t>9.11 or (ii) becomes available to such Agent or Lender on a non-confidential basis from a source other than any Borrower or its Affiliates. For the purposes of this Section 9.11, “</w:t>
      </w:r>
      <w:r>
        <w:rPr>
          <w:rFonts w:ascii="Arial" w:cs="Arial" w:eastAsia="Arial" w:hAnsi="Arial"/>
          <w:sz w:val="22"/>
          <w:szCs w:val="22"/>
          <w:b w:val="1"/>
          <w:bCs w:val="1"/>
          <w:i w:val="1"/>
          <w:iCs w:val="1"/>
          <w:color w:val="auto"/>
        </w:rPr>
        <w:t>Information</w:t>
      </w:r>
      <w:r>
        <w:rPr>
          <w:rFonts w:ascii="Arial" w:cs="Arial" w:eastAsia="Arial" w:hAnsi="Arial"/>
          <w:sz w:val="22"/>
          <w:szCs w:val="22"/>
          <w:color w:val="auto"/>
        </w:rPr>
        <w:t xml:space="preserve">” means all information received from CHI, any Borrower or its Affiliates relating to CHI, Borrowers or Affiliates of Borrowers or the business of Borrowers hereunder or pursuant hereto, other than any such information that is available to an Agent or Lender on a non-confidential basis prior to disclosure by a Borrower or its Affiliates,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the case of information received from a Borrower or its Affiliates after the date hereof, such information is clearly identified at the time of delivery as confidential. Any Person required to maintain the confidentiality of Information as provided in this Section 9.11 shall be considered to have complied with its obligation to do so if such Person has exercised the same degree of care to maintain the confidentiality of such Information as such Person would accord to its own confidential information.</w:t>
      </w:r>
    </w:p>
    <w:p>
      <w:pPr>
        <w:spacing w:after="0" w:line="159" w:lineRule="exact"/>
        <w:rPr>
          <w:sz w:val="20"/>
          <w:szCs w:val="20"/>
          <w:color w:val="auto"/>
        </w:rPr>
      </w:pPr>
    </w:p>
    <w:p>
      <w:pPr>
        <w:ind w:right="80" w:firstLine="648"/>
        <w:spacing w:after="0" w:line="221" w:lineRule="auto"/>
        <w:rPr>
          <w:sz w:val="20"/>
          <w:szCs w:val="20"/>
          <w:color w:val="auto"/>
        </w:rPr>
      </w:pPr>
      <w:r>
        <w:rPr>
          <w:rFonts w:ascii="Arial" w:cs="Arial" w:eastAsia="Arial" w:hAnsi="Arial"/>
          <w:sz w:val="21"/>
          <w:szCs w:val="21"/>
          <w:color w:val="auto"/>
        </w:rPr>
        <w:t xml:space="preserve">Section 9.12 </w:t>
      </w:r>
      <w:r>
        <w:rPr>
          <w:rFonts w:ascii="Arial" w:cs="Arial" w:eastAsia="Arial" w:hAnsi="Arial"/>
          <w:sz w:val="21"/>
          <w:szCs w:val="21"/>
          <w:i w:val="1"/>
          <w:iCs w:val="1"/>
          <w:color w:val="auto"/>
        </w:rPr>
        <w:t>No Advisory Or Fiduciary Relationship.</w:t>
      </w:r>
      <w:r>
        <w:rPr>
          <w:rFonts w:ascii="Arial" w:cs="Arial" w:eastAsia="Arial" w:hAnsi="Arial"/>
          <w:sz w:val="21"/>
          <w:szCs w:val="21"/>
          <w:color w:val="auto"/>
        </w:rPr>
        <w:t xml:space="preserve"> In connection with all aspects of each transaction contemplated hereby (including in connection with any amendment, waiver or other modification hereof or of any other Margin Loan Documentation), each Borrower acknowledges and agrees that: (a)(i) the arranging and other services regarding this Agreement provided by any Agent or Lender are arm’s-length commercial transactions between such Borrower and its Affiliates, on the one hand, and such Agent or Lender and its Affiliates, on the other hand, (ii) such Borrower has consulted its own legal, accounting, regulatory and tax advisors to the extent it has deemed appropriate and (iii) such Borrower is capable of evaluating, and understands and accepts, the terms, risks and conditions of the transactions contemplated hereby and by the other Margin Loan Documentation; (b)(i) each Agent and Lender is and has been acting solely as a principal and, except as expressly agreed in writing herein or otherwise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00"/>
          </w:cols>
          <w:pgMar w:left="320" w:top="1440" w:right="379" w:bottom="1440" w:gutter="0" w:footer="0" w:header="0"/>
        </w:sectPr>
      </w:pPr>
    </w:p>
    <w:bookmarkStart w:id="151" w:name="page152"/>
    <w:bookmarkEnd w:id="151"/>
    <w:p>
      <w:pPr>
        <w:spacing w:after="0" w:line="200" w:lineRule="exact"/>
        <w:rPr>
          <w:sz w:val="20"/>
          <w:szCs w:val="20"/>
          <w:color w:val="auto"/>
        </w:rPr>
      </w:pPr>
    </w:p>
    <w:p>
      <w:pPr>
        <w:spacing w:after="0" w:line="233" w:lineRule="exact"/>
        <w:rPr>
          <w:sz w:val="20"/>
          <w:szCs w:val="20"/>
          <w:color w:val="auto"/>
        </w:rPr>
      </w:pPr>
    </w:p>
    <w:p>
      <w:pPr>
        <w:ind w:right="160"/>
        <w:spacing w:after="0" w:line="246" w:lineRule="auto"/>
        <w:rPr>
          <w:sz w:val="20"/>
          <w:szCs w:val="20"/>
          <w:color w:val="auto"/>
        </w:rPr>
      </w:pPr>
      <w:r>
        <w:rPr>
          <w:rFonts w:ascii="Arial" w:cs="Arial" w:eastAsia="Arial" w:hAnsi="Arial"/>
          <w:sz w:val="19"/>
          <w:szCs w:val="19"/>
          <w:color w:val="auto"/>
        </w:rPr>
        <w:t>the relevant parties, has not been, is not, and will not be acting as an advisor, agent or fiduciary for such Borrower, any of its Affiliates or any other Person and (ii) each Agent and Lender has no obligation to such Borrower or any of its Affiliates with respect to the transactions contemplated hereby except those obligations expressly set forth herein and in the other Margin Loan Documentation; and (c) each Agent and Lender and its Affiliates may be engaged in a broad range of transactions that involve interests that differ from those of such Borrower and its Affiliates, and each Lender has no obligations to disclose any of such interests to such Borrower or any of its Affiliates. To the fullest extent permitted by law, each Borrower hereby waives and releases any claims that it may have against each Agent and Lender or its Affiliates with respect to any breach or alleged breach of agency or fiduciary duty in connection with any aspect of any transaction contemplated hereby.</w:t>
      </w:r>
    </w:p>
    <w:p>
      <w:pPr>
        <w:spacing w:after="0" w:line="179" w:lineRule="exact"/>
        <w:rPr>
          <w:sz w:val="20"/>
          <w:szCs w:val="20"/>
          <w:color w:val="auto"/>
        </w:rPr>
      </w:pPr>
    </w:p>
    <w:p>
      <w:pPr>
        <w:ind w:right="20" w:firstLine="648"/>
        <w:spacing w:after="0" w:line="244" w:lineRule="auto"/>
        <w:rPr>
          <w:sz w:val="20"/>
          <w:szCs w:val="20"/>
          <w:color w:val="auto"/>
        </w:rPr>
      </w:pPr>
      <w:r>
        <w:rPr>
          <w:rFonts w:ascii="Arial" w:cs="Arial" w:eastAsia="Arial" w:hAnsi="Arial"/>
          <w:sz w:val="19"/>
          <w:szCs w:val="19"/>
          <w:color w:val="auto"/>
        </w:rPr>
        <w:t xml:space="preserve">Section 9.13 </w:t>
      </w:r>
      <w:r>
        <w:rPr>
          <w:rFonts w:ascii="Arial" w:cs="Arial" w:eastAsia="Arial" w:hAnsi="Arial"/>
          <w:sz w:val="19"/>
          <w:szCs w:val="19"/>
          <w:i w:val="1"/>
          <w:iCs w:val="1"/>
          <w:color w:val="auto"/>
        </w:rPr>
        <w:t>Right Of Setoff.</w:t>
      </w:r>
      <w:r>
        <w:rPr>
          <w:rFonts w:ascii="Arial" w:cs="Arial" w:eastAsia="Arial" w:hAnsi="Arial"/>
          <w:sz w:val="19"/>
          <w:szCs w:val="19"/>
          <w:color w:val="auto"/>
        </w:rPr>
        <w:t xml:space="preserve"> If an Event of Default shall have occurred and be continuing, each Agent and Lender and each of their respective Affiliates (each, a “</w:t>
      </w:r>
      <w:r>
        <w:rPr>
          <w:rFonts w:ascii="Arial" w:cs="Arial" w:eastAsia="Arial" w:hAnsi="Arial"/>
          <w:sz w:val="19"/>
          <w:szCs w:val="19"/>
          <w:b w:val="1"/>
          <w:bCs w:val="1"/>
          <w:i w:val="1"/>
          <w:iCs w:val="1"/>
          <w:color w:val="auto"/>
        </w:rPr>
        <w:t>Set-off Party</w:t>
      </w:r>
      <w:r>
        <w:rPr>
          <w:rFonts w:ascii="Arial" w:cs="Arial" w:eastAsia="Arial" w:hAnsi="Arial"/>
          <w:sz w:val="19"/>
          <w:szCs w:val="19"/>
          <w:color w:val="auto"/>
        </w:rPr>
        <w:t xml:space="preserve">”) is hereby authorized at any time and from time to time, to the fullest extent permitted by law, to set off and apply any and all deposits (general or special, time or demand, provisional or final) at any time held and other obligations at any time owing by such Set-off Party to or for the credit or the account of Borrowers against any of and all the obligations and liabilities of Borrowers, irrespective of whether or not the relevant Set-off Party shall have made any demand under the Margin Loan Documentation and although such obligations may be unmatured. The rights of each Set-off Party under this Section 9.13 are in addition to other rights and remedies (including other rights of setoff) which such Set-off Party may have. Each Lender agrees to notify the Borrowers promptly after any such setoff and application,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161" w:lineRule="exact"/>
        <w:rPr>
          <w:sz w:val="20"/>
          <w:szCs w:val="20"/>
          <w:color w:val="auto"/>
        </w:rPr>
      </w:pPr>
    </w:p>
    <w:p>
      <w:pPr>
        <w:ind w:right="40" w:firstLine="648"/>
        <w:spacing w:after="0" w:line="242" w:lineRule="auto"/>
        <w:rPr>
          <w:sz w:val="20"/>
          <w:szCs w:val="20"/>
          <w:color w:val="auto"/>
        </w:rPr>
      </w:pPr>
      <w:r>
        <w:rPr>
          <w:rFonts w:ascii="Arial" w:cs="Arial" w:eastAsia="Arial" w:hAnsi="Arial"/>
          <w:sz w:val="19"/>
          <w:szCs w:val="19"/>
          <w:color w:val="auto"/>
        </w:rPr>
        <w:t xml:space="preserve">Section 9.14 </w:t>
      </w:r>
      <w:r>
        <w:rPr>
          <w:rFonts w:ascii="Arial" w:cs="Arial" w:eastAsia="Arial" w:hAnsi="Arial"/>
          <w:sz w:val="19"/>
          <w:szCs w:val="19"/>
          <w:i w:val="1"/>
          <w:iCs w:val="1"/>
          <w:color w:val="auto"/>
        </w:rPr>
        <w:t>Judgment Currency.</w:t>
      </w:r>
      <w:r>
        <w:rPr>
          <w:rFonts w:ascii="Arial" w:cs="Arial" w:eastAsia="Arial" w:hAnsi="Arial"/>
          <w:sz w:val="19"/>
          <w:szCs w:val="19"/>
          <w:color w:val="auto"/>
        </w:rPr>
        <w:t xml:space="preserve"> If a judgment, order or award is rendered by any court or tribunal for the payment of any amounts owing to any Agent or Lender under this Agreement or any other Margin Loan Documentation or for the payment of damages in respect of a judgment or order of another court or tribunal for the payment of such amount or damages, such judgment, order or award being expressed in a currency (the “</w:t>
      </w:r>
      <w:r>
        <w:rPr>
          <w:rFonts w:ascii="Arial" w:cs="Arial" w:eastAsia="Arial" w:hAnsi="Arial"/>
          <w:sz w:val="19"/>
          <w:szCs w:val="19"/>
          <w:b w:val="1"/>
          <w:bCs w:val="1"/>
          <w:i w:val="1"/>
          <w:iCs w:val="1"/>
          <w:color w:val="auto"/>
        </w:rPr>
        <w:t>Judgment Currency</w:t>
      </w:r>
      <w:r>
        <w:rPr>
          <w:rFonts w:ascii="Arial" w:cs="Arial" w:eastAsia="Arial" w:hAnsi="Arial"/>
          <w:sz w:val="19"/>
          <w:szCs w:val="19"/>
          <w:color w:val="auto"/>
        </w:rPr>
        <w:t>”) other than Dollars, Borrowers agree (a) that the obligations of the Borrowers in respect of any such amounts owing shall be discharged only to the extent that on the Business Day following such Agent’s or Lender’s receipt of any sum adjudged in the Judgment Currency, such Agent or Lender may purchase Dollars with the Judgment Currency and (b) to indemnify and hold harmless such Agent or Lender against any deficiency in terms of Dollars in the amounts actually received by such Agent or Lender following any such purchase (after deduction of any premiums and costs of exchange payable in connection with the purchase of, or conversion into, Dollars). The indemnity set forth in the preceding sentence shall (notwithstanding any judgment referred to in the preceding sentence) constitute an obligation of Borrowers separate and independent from its other obligations hereunder, shall apply irrespective of any indulgence granted by any Agent or Lender, and shall survive the termination of this Agreement.</w:t>
      </w:r>
    </w:p>
    <w:p>
      <w:pPr>
        <w:spacing w:after="0" w:line="164"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 xml:space="preserve">Section 9.15 </w:t>
      </w:r>
      <w:r>
        <w:rPr>
          <w:rFonts w:ascii="Arial" w:cs="Arial" w:eastAsia="Arial" w:hAnsi="Arial"/>
          <w:sz w:val="21"/>
          <w:szCs w:val="21"/>
          <w:i w:val="1"/>
          <w:iCs w:val="1"/>
          <w:color w:val="auto"/>
        </w:rPr>
        <w:t>USA PATRIOT Act Notice.</w:t>
      </w:r>
      <w:r>
        <w:rPr>
          <w:rFonts w:ascii="Arial" w:cs="Arial" w:eastAsia="Arial" w:hAnsi="Arial"/>
          <w:sz w:val="21"/>
          <w:szCs w:val="21"/>
          <w:color w:val="auto"/>
        </w:rPr>
        <w:t xml:space="preserve"> Each Agent and Lender is subject to the requirements of the USA Patriot Act (Title III of Pub. L. 107-56 (signed into law October 26, 2001)), as amended (the “</w:t>
      </w:r>
      <w:r>
        <w:rPr>
          <w:rFonts w:ascii="Arial" w:cs="Arial" w:eastAsia="Arial" w:hAnsi="Arial"/>
          <w:sz w:val="21"/>
          <w:szCs w:val="21"/>
          <w:b w:val="1"/>
          <w:bCs w:val="1"/>
          <w:i w:val="1"/>
          <w:iCs w:val="1"/>
          <w:color w:val="auto"/>
        </w:rPr>
        <w:t>Patriot Act</w:t>
      </w:r>
      <w:r>
        <w:rPr>
          <w:rFonts w:ascii="Arial" w:cs="Arial" w:eastAsia="Arial" w:hAnsi="Arial"/>
          <w:sz w:val="21"/>
          <w:szCs w:val="21"/>
          <w:color w:val="auto"/>
        </w:rPr>
        <w:t>”) and hereby notifies Borrowers that pursuant to the requirements of the Patriot Act, it is required to obtain, verify and record information that identifies the Borrowers, which information includes the name and address of such Persons and other information that will allow such Agent or Lender to identify such Persons in accordance with the Patriot Act. Borrowers agree to promptly provide each Agent and Lender with all of the information requested by such Agent or Lender to the extent such Agent or Lender deems such information reasonably necessary to identify the Borrowers in accordance with the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20"/>
          </w:cols>
          <w:pgMar w:left="320" w:top="1440" w:right="359" w:bottom="1440" w:gutter="0" w:footer="0" w:header="0"/>
        </w:sectPr>
      </w:pPr>
    </w:p>
    <w:bookmarkStart w:id="152" w:name="page153"/>
    <w:bookmarkEnd w:id="152"/>
    <w:p>
      <w:pPr>
        <w:spacing w:after="0" w:line="200" w:lineRule="exact"/>
        <w:rPr>
          <w:sz w:val="20"/>
          <w:szCs w:val="20"/>
          <w:color w:val="auto"/>
        </w:rPr>
      </w:pPr>
    </w:p>
    <w:p>
      <w:pPr>
        <w:spacing w:after="0" w:line="234" w:lineRule="exact"/>
        <w:rPr>
          <w:sz w:val="20"/>
          <w:szCs w:val="20"/>
          <w:color w:val="auto"/>
        </w:rPr>
      </w:pPr>
    </w:p>
    <w:p>
      <w:pPr>
        <w:ind w:right="560"/>
        <w:spacing w:after="0" w:line="232" w:lineRule="auto"/>
        <w:rPr>
          <w:sz w:val="20"/>
          <w:szCs w:val="20"/>
          <w:color w:val="auto"/>
        </w:rPr>
      </w:pPr>
      <w:r>
        <w:rPr>
          <w:rFonts w:ascii="Arial" w:cs="Arial" w:eastAsia="Arial" w:hAnsi="Arial"/>
          <w:sz w:val="22"/>
          <w:szCs w:val="22"/>
          <w:color w:val="auto"/>
        </w:rPr>
        <w:t>and any other information or documentation reasonably requested by such Agent or Lender in connection with “know your customer” requirements and such Agent or Lender’s customary client on-boarding process.</w:t>
      </w:r>
    </w:p>
    <w:p>
      <w:pPr>
        <w:spacing w:after="0" w:line="159" w:lineRule="exact"/>
        <w:rPr>
          <w:sz w:val="20"/>
          <w:szCs w:val="20"/>
          <w:color w:val="auto"/>
        </w:rPr>
      </w:pPr>
    </w:p>
    <w:p>
      <w:pPr>
        <w:ind w:firstLine="648"/>
        <w:spacing w:after="0" w:line="220" w:lineRule="auto"/>
        <w:rPr>
          <w:sz w:val="20"/>
          <w:szCs w:val="20"/>
          <w:color w:val="auto"/>
        </w:rPr>
      </w:pPr>
      <w:r>
        <w:rPr>
          <w:rFonts w:ascii="Arial" w:cs="Arial" w:eastAsia="Arial" w:hAnsi="Arial"/>
          <w:sz w:val="21"/>
          <w:szCs w:val="21"/>
          <w:color w:val="auto"/>
        </w:rPr>
        <w:t xml:space="preserve">Section 9.16 </w:t>
      </w:r>
      <w:r>
        <w:rPr>
          <w:rFonts w:ascii="Arial" w:cs="Arial" w:eastAsia="Arial" w:hAnsi="Arial"/>
          <w:sz w:val="21"/>
          <w:szCs w:val="21"/>
          <w:i w:val="1"/>
          <w:iCs w:val="1"/>
          <w:color w:val="auto"/>
        </w:rPr>
        <w:t>Interest Rate Limitation.</w:t>
      </w:r>
      <w:r>
        <w:rPr>
          <w:rFonts w:ascii="Arial" w:cs="Arial" w:eastAsia="Arial" w:hAnsi="Arial"/>
          <w:sz w:val="21"/>
          <w:szCs w:val="21"/>
          <w:color w:val="auto"/>
        </w:rPr>
        <w:t xml:space="preserve"> Notwithstanding anything herein to the contrary, if at any time the interest rate applicable to any Advance, together with all fees, charges and other amounts which are treated as interest on such Advance under applicable law (collectively, the “</w:t>
      </w:r>
      <w:r>
        <w:rPr>
          <w:rFonts w:ascii="Arial" w:cs="Arial" w:eastAsia="Arial" w:hAnsi="Arial"/>
          <w:sz w:val="21"/>
          <w:szCs w:val="21"/>
          <w:b w:val="1"/>
          <w:bCs w:val="1"/>
          <w:i w:val="1"/>
          <w:iCs w:val="1"/>
          <w:color w:val="auto"/>
        </w:rPr>
        <w:t>Charges</w:t>
      </w:r>
      <w:r>
        <w:rPr>
          <w:rFonts w:ascii="Arial" w:cs="Arial" w:eastAsia="Arial" w:hAnsi="Arial"/>
          <w:sz w:val="21"/>
          <w:szCs w:val="21"/>
          <w:color w:val="auto"/>
        </w:rPr>
        <w:t>”), shall exceed the maximum lawful rate (the “</w:t>
      </w:r>
      <w:r>
        <w:rPr>
          <w:rFonts w:ascii="Arial" w:cs="Arial" w:eastAsia="Arial" w:hAnsi="Arial"/>
          <w:sz w:val="21"/>
          <w:szCs w:val="21"/>
          <w:b w:val="1"/>
          <w:bCs w:val="1"/>
          <w:i w:val="1"/>
          <w:iCs w:val="1"/>
          <w:color w:val="auto"/>
        </w:rPr>
        <w:t>Maximum Rate</w:t>
      </w:r>
      <w:r>
        <w:rPr>
          <w:rFonts w:ascii="Arial" w:cs="Arial" w:eastAsia="Arial" w:hAnsi="Arial"/>
          <w:sz w:val="21"/>
          <w:szCs w:val="21"/>
          <w:color w:val="auto"/>
        </w:rPr>
        <w:t>”) which may be contracted for, charged, taken, received or reserved by any Lender holding such Advance in accordance with applicable law, the rate of interest payable in respect of such Advance hereunder, together with all Charges payable in respect thereof, shall be limited to the Maximum Rate and, to the extent lawful, the interest and Charges that would have been payable in respect of such Advance but were not payable as a result of the operation of this Section 9.16 shall be cumulated and the interest and Charges payable to such Lender in respect of other Advances or periods shall be increased (but not above the Maximum Rate therefor) until such cumulated amount, together with interest thereon at the Federal Funds Effective Rate to the date of repayment, shall have been received by such Lender.</w:t>
      </w:r>
    </w:p>
    <w:p>
      <w:pPr>
        <w:spacing w:after="0" w:line="162" w:lineRule="exact"/>
        <w:rPr>
          <w:sz w:val="20"/>
          <w:szCs w:val="20"/>
          <w:color w:val="auto"/>
        </w:rPr>
      </w:pPr>
    </w:p>
    <w:p>
      <w:pPr>
        <w:ind w:right="240" w:firstLine="648"/>
        <w:spacing w:after="0" w:line="223" w:lineRule="auto"/>
        <w:rPr>
          <w:sz w:val="20"/>
          <w:szCs w:val="20"/>
          <w:color w:val="auto"/>
        </w:rPr>
      </w:pPr>
      <w:r>
        <w:rPr>
          <w:rFonts w:ascii="Arial" w:cs="Arial" w:eastAsia="Arial" w:hAnsi="Arial"/>
          <w:sz w:val="22"/>
          <w:szCs w:val="22"/>
          <w:color w:val="auto"/>
        </w:rPr>
        <w:t xml:space="preserve">Section 9.17 </w:t>
      </w:r>
      <w:r>
        <w:rPr>
          <w:rFonts w:ascii="Arial" w:cs="Arial" w:eastAsia="Arial" w:hAnsi="Arial"/>
          <w:sz w:val="22"/>
          <w:szCs w:val="22"/>
          <w:i w:val="1"/>
          <w:iCs w:val="1"/>
          <w:color w:val="auto"/>
        </w:rPr>
        <w:t>Disclosure.</w:t>
      </w:r>
      <w:r>
        <w:rPr>
          <w:rFonts w:ascii="Arial" w:cs="Arial" w:eastAsia="Arial" w:hAnsi="Arial"/>
          <w:sz w:val="22"/>
          <w:szCs w:val="22"/>
          <w:color w:val="auto"/>
        </w:rPr>
        <w:t xml:space="preserve"> Borrowers hereby acknowledges and agrees that each Agent and Lender and/or its Affiliates from time to time may hold investments in, make other loans to or have other relationships with Borrowers or Affiliates of Borrowers.</w:t>
      </w:r>
    </w:p>
    <w:p>
      <w:pPr>
        <w:spacing w:after="0" w:line="159" w:lineRule="exact"/>
        <w:rPr>
          <w:sz w:val="20"/>
          <w:szCs w:val="20"/>
          <w:color w:val="auto"/>
        </w:rPr>
      </w:pPr>
    </w:p>
    <w:p>
      <w:pPr>
        <w:ind w:right="20" w:firstLine="648"/>
        <w:spacing w:after="0" w:line="221" w:lineRule="auto"/>
        <w:rPr>
          <w:sz w:val="20"/>
          <w:szCs w:val="20"/>
          <w:color w:val="auto"/>
        </w:rPr>
      </w:pPr>
      <w:r>
        <w:rPr>
          <w:rFonts w:ascii="Arial" w:cs="Arial" w:eastAsia="Arial" w:hAnsi="Arial"/>
          <w:sz w:val="21"/>
          <w:szCs w:val="21"/>
          <w:color w:val="auto"/>
        </w:rPr>
        <w:t xml:space="preserve">Section 9.18 </w:t>
      </w:r>
      <w:r>
        <w:rPr>
          <w:rFonts w:ascii="Arial" w:cs="Arial" w:eastAsia="Arial" w:hAnsi="Arial"/>
          <w:sz w:val="21"/>
          <w:szCs w:val="21"/>
          <w:i w:val="1"/>
          <w:iCs w:val="1"/>
          <w:color w:val="auto"/>
        </w:rPr>
        <w:t>Calculation Agent Determinations</w:t>
      </w:r>
      <w:r>
        <w:rPr>
          <w:rFonts w:ascii="Arial" w:cs="Arial" w:eastAsia="Arial" w:hAnsi="Arial"/>
          <w:sz w:val="21"/>
          <w:szCs w:val="21"/>
          <w:color w:val="auto"/>
        </w:rPr>
        <w:t>. All calculations and determinations made by Calculation Agent shall be made in good faith and in a commercially reasonable manner. Upon receipt of written request from any Borrower, Calculation Agent shall promptly provide Borrowers with a written explanation describing in reasonable detail any calculation, adjustment or determination made by it (including any quotations, market data or information from internal or external sources used in making such calculation, adjustment or determination, as the case may be, but without disclosing Calculation Agent’s proprietary models or other information that may be proprietary or subject to contractual, legal or regulatory obligations to not disclose such information), and shall use commercially reasonable efforts to provide such written explanation within five (5) Business Days from the receipt of such request.</w:t>
      </w:r>
    </w:p>
    <w:p>
      <w:pPr>
        <w:spacing w:after="0" w:line="165" w:lineRule="exact"/>
        <w:rPr>
          <w:sz w:val="20"/>
          <w:szCs w:val="20"/>
          <w:color w:val="auto"/>
        </w:rPr>
      </w:pPr>
    </w:p>
    <w:p>
      <w:pPr>
        <w:ind w:firstLine="648"/>
        <w:spacing w:after="0" w:line="246" w:lineRule="auto"/>
        <w:rPr>
          <w:sz w:val="20"/>
          <w:szCs w:val="20"/>
          <w:color w:val="auto"/>
        </w:rPr>
      </w:pPr>
      <w:r>
        <w:rPr>
          <w:rFonts w:ascii="Arial" w:cs="Arial" w:eastAsia="Arial" w:hAnsi="Arial"/>
          <w:sz w:val="19"/>
          <w:szCs w:val="19"/>
          <w:color w:val="auto"/>
        </w:rPr>
        <w:t xml:space="preserve">Section 9.19 </w:t>
      </w:r>
      <w:r>
        <w:rPr>
          <w:rFonts w:ascii="Arial" w:cs="Arial" w:eastAsia="Arial" w:hAnsi="Arial"/>
          <w:sz w:val="19"/>
          <w:szCs w:val="19"/>
          <w:i w:val="1"/>
          <w:iCs w:val="1"/>
          <w:color w:val="auto"/>
        </w:rPr>
        <w:t>Joint and Several Liability</w:t>
      </w:r>
      <w:r>
        <w:rPr>
          <w:rFonts w:ascii="Arial" w:cs="Arial" w:eastAsia="Arial" w:hAnsi="Arial"/>
          <w:sz w:val="19"/>
          <w:szCs w:val="19"/>
          <w:color w:val="auto"/>
        </w:rPr>
        <w:t>. The Advances are made with full recourse to each Borrower and constitute direct, general, unconditional and unsubordinated Indebtedness of each Borrower, and each Borrower is jointly and severally liable for the Obligations as a primary obligor in respect thereof. For the avoidance of doubt, unless expressly set forth herein or under any other Margin Loan Documentation, any payment or delivery obligation owed to or owed by any Borrower hereunder or under any other Margin Loan Documentation shall be made without duplication with any payment or delivery obligation owed to or owed by any other Borrower. The Obligations of each Borrower are independent of the Obligations of the other Borrower, and a separate action or actions may be brought and prosecuted against any Borrower to enforce this Agreement, irrespective of whether any action has been brought against the other Borrower or whether the other Borrower is joined in any such action.</w:t>
      </w:r>
    </w:p>
    <w:p>
      <w:pPr>
        <w:spacing w:after="0" w:line="152" w:lineRule="exact"/>
        <w:rPr>
          <w:sz w:val="20"/>
          <w:szCs w:val="20"/>
          <w:color w:val="auto"/>
        </w:rPr>
      </w:pPr>
    </w:p>
    <w:p>
      <w:pPr>
        <w:ind w:right="60" w:firstLine="648"/>
        <w:spacing w:after="0" w:line="247" w:lineRule="auto"/>
        <w:rPr>
          <w:sz w:val="20"/>
          <w:szCs w:val="20"/>
          <w:color w:val="auto"/>
        </w:rPr>
      </w:pPr>
      <w:r>
        <w:rPr>
          <w:rFonts w:ascii="Arial" w:cs="Arial" w:eastAsia="Arial" w:hAnsi="Arial"/>
          <w:sz w:val="19"/>
          <w:szCs w:val="19"/>
          <w:color w:val="auto"/>
        </w:rPr>
        <w:t xml:space="preserve">Section 9.20 </w:t>
      </w:r>
      <w:r>
        <w:rPr>
          <w:rFonts w:ascii="Arial" w:cs="Arial" w:eastAsia="Arial" w:hAnsi="Arial"/>
          <w:sz w:val="19"/>
          <w:szCs w:val="19"/>
          <w:i w:val="1"/>
          <w:iCs w:val="1"/>
          <w:color w:val="auto"/>
        </w:rPr>
        <w:t>Conflicts</w:t>
      </w:r>
      <w:r>
        <w:rPr>
          <w:rFonts w:ascii="Arial" w:cs="Arial" w:eastAsia="Arial" w:hAnsi="Arial"/>
          <w:sz w:val="19"/>
          <w:szCs w:val="19"/>
          <w:color w:val="auto"/>
        </w:rPr>
        <w:t>. The parties acknowledge that (a) there is no hedging arrangement relating to any Advance between any Lender or any of its Affiliates on one hand and any Borrower or any of their respective Affiliates on the other hand,</w:t>
      </w:r>
    </w:p>
    <w:p>
      <w:pPr>
        <w:jc w:val="both"/>
        <w:ind w:right="460" w:firstLine="8"/>
        <w:spacing w:after="0" w:line="217" w:lineRule="auto"/>
        <w:tabs>
          <w:tab w:leader="none" w:pos="306"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there is no understanding between any Lender or any of its Affiliates on one hand and any Borrower or any Affiliate of a Borrower on the other hand regarding any hedging related to any Advance by any Lender or its Affiliates and (c) there is no arrangement or understanding for any Lender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200"/>
          </w:cols>
          <w:pgMar w:left="320" w:top="1440" w:right="379" w:bottom="1440" w:gutter="0" w:footer="0" w:header="0"/>
        </w:sectPr>
      </w:pPr>
    </w:p>
    <w:bookmarkStart w:id="153" w:name="page154"/>
    <w:bookmarkEnd w:id="153"/>
    <w:p>
      <w:pPr>
        <w:spacing w:after="0" w:line="200" w:lineRule="exact"/>
        <w:rPr>
          <w:sz w:val="20"/>
          <w:szCs w:val="20"/>
          <w:color w:val="auto"/>
        </w:rPr>
      </w:pPr>
    </w:p>
    <w:p>
      <w:pPr>
        <w:spacing w:after="0" w:line="234"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Affiliates to provide, and each Lender agrees not to provide and will use its reasonable best efforts to cause its Affiliates not to provide, any Borrower with any information regarding how, when or whether such Lender or its Affiliates hedges, or will hedge, any Advance; provided that neither any Borrower nor any Affiliate of a Borrower will request such information from such Lender or any Affiliate of such Lender. Each Borrower will not seek to control or influence how, when or whether any Lender will make any “purchases or sales” (within the meaning of Rule 10b5-1(c)(1)(i)(B)(3) under the Exchange Act) under any Advance entered into under this Agreement, including any Lender’s decision to enter into any hedging transactions or to conduct foreclosure sales of any shares of Pledged Shares made in accordance with the terms of the Advance Documents. The Borrower acknowledges that: (i) during the term of the Advances, any Lender and its affiliates may buy or sell Shares or other securities or buy or sell options or futures contracts or enter into swaps or other derivative securities in order to establish, adjust or unwind its hedge position with respect to its portion of the Advances; (ii) any Lender and its affiliates may also be active in the market for the Shares other than in connection with any hedging activities in relation to its portion of the Advances; (iii) any Lender shall make its own determination as to whether, when or in what manner any hedging or market activities in Shares or other securities shall be conducted and shall do so in a manner that it deems appropriate; and (iv) any market activities of any Lender and its affiliates with respect to the Shares may affect the market price and volatility of the Shares, as well as the LTV Level, each in a manner that may be adverse to the Borrower.</w:t>
      </w:r>
    </w:p>
    <w:p>
      <w:pPr>
        <w:spacing w:after="0" w:line="38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9.21</w:t>
      </w:r>
      <w:r>
        <w:rPr>
          <w:sz w:val="20"/>
          <w:szCs w:val="20"/>
          <w:color w:val="auto"/>
        </w:rPr>
        <w:tab/>
      </w:r>
      <w:r>
        <w:rPr>
          <w:rFonts w:ascii="Arial" w:cs="Arial" w:eastAsia="Arial" w:hAnsi="Arial"/>
          <w:sz w:val="19"/>
          <w:szCs w:val="19"/>
          <w:i w:val="1"/>
          <w:iCs w:val="1"/>
          <w:color w:val="auto"/>
        </w:rPr>
        <w:t>U.S. QFC Contractual Stay Requirements</w:t>
      </w:r>
      <w:r>
        <w:rPr>
          <w:rFonts w:ascii="Arial" w:cs="Arial" w:eastAsia="Arial" w:hAnsi="Arial"/>
          <w:sz w:val="19"/>
          <w:szCs w:val="19"/>
          <w:color w:val="auto"/>
        </w:rPr>
        <w:t>.</w:t>
      </w:r>
    </w:p>
    <w:p>
      <w:pPr>
        <w:spacing w:after="0" w:line="179" w:lineRule="exact"/>
        <w:rPr>
          <w:sz w:val="20"/>
          <w:szCs w:val="20"/>
          <w:color w:val="auto"/>
        </w:rPr>
      </w:pPr>
    </w:p>
    <w:p>
      <w:pPr>
        <w:ind w:right="40" w:firstLine="850"/>
        <w:spacing w:after="0" w:line="219" w:lineRule="auto"/>
        <w:tabs>
          <w:tab w:leader="none" w:pos="1284"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Recognition of U.S. Regimes</w:t>
      </w:r>
      <w:r>
        <w:rPr>
          <w:rFonts w:ascii="Arial" w:cs="Arial" w:eastAsia="Arial" w:hAnsi="Arial"/>
          <w:sz w:val="21"/>
          <w:szCs w:val="21"/>
          <w:color w:val="auto"/>
        </w:rPr>
        <w:t>. In the event one or more of the Covered Parties becomes subject to a proceeding under a U.S. Special Resolution Regime, the transfer of this Agreement, any transaction under this Agreement or any related Credit Enhancement (each, a “</w:t>
      </w:r>
      <w:r>
        <w:rPr>
          <w:rFonts w:ascii="Arial" w:cs="Arial" w:eastAsia="Arial" w:hAnsi="Arial"/>
          <w:sz w:val="21"/>
          <w:szCs w:val="21"/>
          <w:b w:val="1"/>
          <w:bCs w:val="1"/>
          <w:i w:val="1"/>
          <w:iCs w:val="1"/>
          <w:color w:val="auto"/>
        </w:rPr>
        <w:t>Relevant Agreement</w:t>
      </w:r>
      <w:r>
        <w:rPr>
          <w:rFonts w:ascii="Arial" w:cs="Arial" w:eastAsia="Arial" w:hAnsi="Arial"/>
          <w:sz w:val="21"/>
          <w:szCs w:val="21"/>
          <w:color w:val="auto"/>
        </w:rPr>
        <w:t>”) and any interest and obligation in or under, and any property securing, such Relevant Agreement (“</w:t>
      </w:r>
      <w:r>
        <w:rPr>
          <w:rFonts w:ascii="Arial" w:cs="Arial" w:eastAsia="Arial" w:hAnsi="Arial"/>
          <w:sz w:val="21"/>
          <w:szCs w:val="21"/>
          <w:b w:val="1"/>
          <w:bCs w:val="1"/>
          <w:i w:val="1"/>
          <w:iCs w:val="1"/>
          <w:color w:val="auto"/>
        </w:rPr>
        <w:t>Relevant Interests</w:t>
      </w:r>
      <w:r>
        <w:rPr>
          <w:rFonts w:ascii="Arial" w:cs="Arial" w:eastAsia="Arial" w:hAnsi="Arial"/>
          <w:sz w:val="21"/>
          <w:szCs w:val="21"/>
          <w:color w:val="auto"/>
        </w:rPr>
        <w:t>”) from one or more of the Covered Parties will be effective to the same extent as the transfer would be effective under the U.S. Special Resolution Regime if the Relevant Agreement and Relevant Interests were governed by the laws of the United States or a state of the United States. In the event one or more of the Covered Parties or any Covered Affiliate becomes subject to a proceeding under a U.S. Special Resolution Regime, Default Rights with respect to any Relevant Agreement against the Covered Party or Relevant Covered Party are permitted to be exercised to no greater extent than such Default Rights could be exercised under the U.S. Special Resolution Regime if the Relevant Agreement were governed by the laws of the United States or a state of the United States. The requirements of this Section 9.20(a) apply notwithstanding Section 9.20(b).</w:t>
      </w:r>
    </w:p>
    <w:p>
      <w:pPr>
        <w:spacing w:after="0" w:line="195" w:lineRule="exact"/>
        <w:rPr>
          <w:rFonts w:ascii="Arial" w:cs="Arial" w:eastAsia="Arial" w:hAnsi="Arial"/>
          <w:sz w:val="21"/>
          <w:szCs w:val="21"/>
          <w:color w:val="auto"/>
        </w:rPr>
      </w:pPr>
    </w:p>
    <w:p>
      <w:pPr>
        <w:ind w:right="60" w:firstLine="850"/>
        <w:spacing w:after="0" w:line="244" w:lineRule="auto"/>
        <w:tabs>
          <w:tab w:leader="none" w:pos="1283"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Limitation on Exercise of Certain Default Rights</w:t>
      </w:r>
      <w:r>
        <w:rPr>
          <w:rFonts w:ascii="Arial" w:cs="Arial" w:eastAsia="Arial" w:hAnsi="Arial"/>
          <w:sz w:val="19"/>
          <w:szCs w:val="19"/>
          <w:color w:val="auto"/>
        </w:rPr>
        <w:t>. Notwithstanding anything to the contrary in any Relevant Agreement or any other agreement, the parties expressly agree that each Borrower shall not be permitted to exercise any Default Right against the Relevant Covered Parties with respect to any Relevant Agreement that is related, directly or indirectly, to a Covered Affiliate becoming subject to an Insolvency Proceeding, other than a Default Right that arises as a result of the Relevant Covered Parties becoming subject to an Insolvency Proceeding or the Relevant Covered Parties not satisfying a payment or delivery obligation pursuant to such Relevant Agreement or another contract between the Relevant Covered Parties and any Borrower that gives rise to a Default Right under such Relevant Agreement. After a Covered Affiliate has become subject to an Insolvency Proceeding, if any Borrower seeks to exercise any Default Right with respect to any Relevant Agreement with the Relevant Covered Parties, such Borrower shall have the burden of proof, by clear and convincing evidence, that the exercise of such Default Right is permitted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0" w:lineRule="exact"/>
        <w:rPr>
          <w:sz w:val="20"/>
          <w:szCs w:val="20"/>
          <w:color w:val="auto"/>
        </w:rPr>
      </w:pPr>
    </w:p>
    <w:p>
      <w:pPr>
        <w:spacing w:after="0" w:line="234" w:lineRule="exact"/>
        <w:rPr>
          <w:sz w:val="20"/>
          <w:szCs w:val="20"/>
          <w:color w:val="auto"/>
        </w:rPr>
      </w:pPr>
    </w:p>
    <w:p>
      <w:pPr>
        <w:ind w:right="60" w:firstLine="850"/>
        <w:spacing w:after="0" w:line="232" w:lineRule="auto"/>
        <w:tabs>
          <w:tab w:leader="none" w:pos="1284"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The provisions of this Section 9.20 will come into effect on the later of the date of this Agreement and the Applicable Compliance Date.</w:t>
      </w:r>
    </w:p>
    <w:p>
      <w:pPr>
        <w:spacing w:after="0" w:line="158" w:lineRule="exact"/>
        <w:rPr>
          <w:rFonts w:ascii="Arial" w:cs="Arial" w:eastAsia="Arial" w:hAnsi="Arial"/>
          <w:sz w:val="22"/>
          <w:szCs w:val="22"/>
          <w:color w:val="auto"/>
        </w:rPr>
      </w:pPr>
    </w:p>
    <w:p>
      <w:pPr>
        <w:ind w:left="1300" w:hanging="450"/>
        <w:spacing w:after="0"/>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the purposes of this Section 9.20, the following definitions apply:</w:t>
      </w:r>
    </w:p>
    <w:p>
      <w:pPr>
        <w:spacing w:after="0" w:line="179" w:lineRule="exact"/>
        <w:rPr>
          <w:sz w:val="20"/>
          <w:szCs w:val="20"/>
          <w:color w:val="auto"/>
        </w:rPr>
      </w:pPr>
    </w:p>
    <w:p>
      <w:pPr>
        <w:ind w:firstLine="21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Compliance Date</w:t>
      </w:r>
      <w:r>
        <w:rPr>
          <w:rFonts w:ascii="Arial" w:cs="Arial" w:eastAsia="Arial" w:hAnsi="Arial"/>
          <w:sz w:val="22"/>
          <w:szCs w:val="22"/>
          <w:color w:val="auto"/>
        </w:rPr>
        <w:t>” means: (a) July 1, 2019, if any Borrower is a “financial counterparty” other than a “small financial institution” (as such terms are defined under, and interpreted in accordance with, the QFC Stay Rules); or (b) otherwise, January 1, 2020.</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Covered Affiliate</w:t>
      </w:r>
      <w:r>
        <w:rPr>
          <w:rFonts w:ascii="Arial" w:cs="Arial" w:eastAsia="Arial" w:hAnsi="Arial"/>
          <w:sz w:val="19"/>
          <w:szCs w:val="19"/>
          <w:color w:val="auto"/>
        </w:rPr>
        <w:t>” means an “affiliate” (as such term is defined under, and interpreted in accordance with, 12 U.S.C.</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1841(k)) of one or more of the Covered Parties.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Covered Parties</w:t>
      </w:r>
      <w:r>
        <w:rPr>
          <w:rFonts w:ascii="Arial" w:cs="Arial" w:eastAsia="Arial" w:hAnsi="Arial"/>
          <w:sz w:val="22"/>
          <w:szCs w:val="22"/>
          <w:color w:val="auto"/>
        </w:rPr>
        <w:t>” means any Lender that is a “covered entity” as defined under the QFC Stay Rules.</w:t>
      </w:r>
    </w:p>
    <w:p>
      <w:pPr>
        <w:spacing w:after="0" w:line="179" w:lineRule="exact"/>
        <w:rPr>
          <w:sz w:val="20"/>
          <w:szCs w:val="20"/>
          <w:color w:val="auto"/>
        </w:rPr>
      </w:pPr>
    </w:p>
    <w:p>
      <w:pPr>
        <w:ind w:right="120"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Credit Enhancement</w:t>
      </w:r>
      <w:r>
        <w:rPr>
          <w:rFonts w:ascii="Arial" w:cs="Arial" w:eastAsia="Arial" w:hAnsi="Arial"/>
          <w:sz w:val="22"/>
          <w:szCs w:val="22"/>
          <w:color w:val="auto"/>
        </w:rPr>
        <w:t>” means, with respect to this Agreement or any transaction under this Agreement, any credit enhancement or other credit support arrangement in support of the obligations of one or more of the Covered Parties or Borrowers thereunder or with respect thereto, including any guarantee, pledge, charge, mortgage or other security interest in collateral or title transfer collateral arrangement, trust or similar arrangement, letter of credit, transfer of margin, reimbursement obligation or any similar arrangement.</w:t>
      </w:r>
    </w:p>
    <w:p>
      <w:pPr>
        <w:spacing w:after="0" w:line="158" w:lineRule="exact"/>
        <w:rPr>
          <w:sz w:val="20"/>
          <w:szCs w:val="20"/>
          <w:color w:val="auto"/>
        </w:rPr>
      </w:pPr>
    </w:p>
    <w:p>
      <w:pPr>
        <w:ind w:right="120" w:firstLine="648"/>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Default Right</w:t>
      </w:r>
      <w:r>
        <w:rPr>
          <w:rFonts w:ascii="Arial" w:cs="Arial" w:eastAsia="Arial" w:hAnsi="Arial"/>
          <w:sz w:val="19"/>
          <w:szCs w:val="19"/>
          <w:color w:val="auto"/>
        </w:rPr>
        <w:t>” has the meaning assigned to that term in, and shall be interpreted in accordance with, the QFC Stay Rules, including without limitation any right of a party to liquidate, terminate, cancel, rescind, or accelerate an agreement or transactions thereunder, set off or net amounts owed, exercise remedies in respect of collateral or other credit support or related property, demand payment or delivery, suspend, delay, or defer payment or performance, alter the amount of, demand the return of or modify any right to reuse collateral or margin provided, otherwise modify the obligations of a party, or any similar rights.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Insolvency Proceeding</w:t>
      </w:r>
      <w:r>
        <w:rPr>
          <w:rFonts w:ascii="Arial" w:cs="Arial" w:eastAsia="Arial" w:hAnsi="Arial"/>
          <w:sz w:val="22"/>
          <w:szCs w:val="22"/>
          <w:color w:val="auto"/>
        </w:rPr>
        <w:t>” means a receivership, insolvency, liquidation, resolution, or similar proceeding.</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QFC Stay Rules</w:t>
      </w:r>
      <w:r>
        <w:rPr>
          <w:rFonts w:ascii="Arial" w:cs="Arial" w:eastAsia="Arial" w:hAnsi="Arial"/>
          <w:sz w:val="19"/>
          <w:szCs w:val="19"/>
          <w:color w:val="auto"/>
        </w:rPr>
        <w:t>” means the regulations codified at 12 C.F.R. §§ 252.2, 252.81–8; 12 C.F.R. §§ 382.1-7; and 12 C.F.R.</w:t>
      </w:r>
    </w:p>
    <w:p>
      <w:pPr>
        <w:spacing w:after="0" w:line="16" w:lineRule="exact"/>
        <w:rPr>
          <w:sz w:val="20"/>
          <w:szCs w:val="20"/>
          <w:color w:val="auto"/>
        </w:rPr>
      </w:pPr>
    </w:p>
    <w:p>
      <w:pPr>
        <w:ind w:right="320" w:firstLine="8"/>
        <w:spacing w:after="0" w:line="224" w:lineRule="auto"/>
        <w:tabs>
          <w:tab w:leader="none" w:pos="27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47.1-8. All references herein to the QFC Stay Rules shall be construed, with respect to any Covered Party, to the particular QFC Stay Rule(s) applicable to it.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Relevant Covered Party</w:t>
      </w:r>
      <w:r>
        <w:rPr>
          <w:rFonts w:ascii="Arial" w:cs="Arial" w:eastAsia="Arial" w:hAnsi="Arial"/>
          <w:sz w:val="22"/>
          <w:szCs w:val="22"/>
          <w:color w:val="auto"/>
        </w:rPr>
        <w:t>” means the Covered Party that is affiliated with the relevant Covered Affiliate.</w:t>
      </w:r>
    </w:p>
    <w:p>
      <w:pPr>
        <w:spacing w:after="0" w:line="179" w:lineRule="exact"/>
        <w:rPr>
          <w:sz w:val="20"/>
          <w:szCs w:val="20"/>
          <w:color w:val="auto"/>
        </w:rPr>
      </w:pPr>
    </w:p>
    <w:p>
      <w:pPr>
        <w:jc w:val="both"/>
        <w:ind w:right="6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U.S. Special Resolution Regime</w:t>
      </w:r>
      <w:r>
        <w:rPr>
          <w:rFonts w:ascii="Arial" w:cs="Arial" w:eastAsia="Arial" w:hAnsi="Arial"/>
          <w:sz w:val="22"/>
          <w:szCs w:val="22"/>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[END OF TEXT]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180"/>
          </w:cols>
          <w:pgMar w:left="320" w:top="1440" w:right="399"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firstLine="648"/>
        <w:spacing w:after="0" w:line="253"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hereto have caused this Agreement to be duly executed and delivered by their</w:t>
      </w:r>
      <w:r>
        <w:rPr>
          <w:rFonts w:ascii="Arial" w:cs="Arial" w:eastAsia="Arial" w:hAnsi="Arial"/>
          <w:sz w:val="21"/>
          <w:szCs w:val="21"/>
          <w:b w:val="1"/>
          <w:bCs w:val="1"/>
          <w:color w:val="auto"/>
        </w:rPr>
        <w:t xml:space="preserve"> </w:t>
      </w:r>
      <w:r>
        <w:rPr>
          <w:rFonts w:ascii="Arial" w:cs="Arial" w:eastAsia="Arial" w:hAnsi="Arial"/>
          <w:sz w:val="21"/>
          <w:szCs w:val="21"/>
          <w:color w:val="auto"/>
        </w:rPr>
        <w:t>respective officers or representatives 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CANNAE FUNDING C, LLC,</w:t>
      </w:r>
    </w:p>
    <w:p>
      <w:pPr>
        <w:ind w:left="2760"/>
        <w:spacing w:after="0"/>
        <w:rPr>
          <w:sz w:val="20"/>
          <w:szCs w:val="20"/>
          <w:color w:val="auto"/>
        </w:rPr>
      </w:pPr>
      <w:r>
        <w:rPr>
          <w:rFonts w:ascii="Arial" w:cs="Arial" w:eastAsia="Arial" w:hAnsi="Arial"/>
          <w:sz w:val="22"/>
          <w:szCs w:val="22"/>
          <w:color w:val="auto"/>
        </w:rPr>
        <w:t>as Borrower 1</w:t>
      </w:r>
    </w:p>
    <w:p>
      <w:pPr>
        <w:spacing w:after="0" w:line="215" w:lineRule="exact"/>
        <w:rPr>
          <w:sz w:val="20"/>
          <w:szCs w:val="20"/>
          <w:color w:val="auto"/>
        </w:rPr>
      </w:pPr>
    </w:p>
    <w:p>
      <w:pPr>
        <w:ind w:left="2760"/>
        <w:spacing w:after="0"/>
        <w:tabs>
          <w:tab w:leader="none" w:pos="3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15875</wp:posOffset>
            </wp:positionV>
            <wp:extent cx="22371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1"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Name: Bryan D. Coy</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361"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CANNAE FUNDING D, LLC,</w:t>
      </w:r>
    </w:p>
    <w:p>
      <w:pPr>
        <w:ind w:left="2760"/>
        <w:spacing w:after="0"/>
        <w:rPr>
          <w:sz w:val="20"/>
          <w:szCs w:val="20"/>
          <w:color w:val="auto"/>
        </w:rPr>
      </w:pPr>
      <w:r>
        <w:rPr>
          <w:rFonts w:ascii="Arial" w:cs="Arial" w:eastAsia="Arial" w:hAnsi="Arial"/>
          <w:sz w:val="22"/>
          <w:szCs w:val="22"/>
          <w:color w:val="auto"/>
        </w:rPr>
        <w:t>as Borrower 2</w:t>
      </w:r>
    </w:p>
    <w:p>
      <w:pPr>
        <w:spacing w:after="0" w:line="215" w:lineRule="exact"/>
        <w:rPr>
          <w:sz w:val="20"/>
          <w:szCs w:val="20"/>
          <w:color w:val="auto"/>
        </w:rPr>
      </w:pPr>
    </w:p>
    <w:p>
      <w:pPr>
        <w:ind w:left="2760"/>
        <w:spacing w:after="0"/>
        <w:tabs>
          <w:tab w:leader="none" w:pos="3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15875</wp:posOffset>
            </wp:positionV>
            <wp:extent cx="22371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1"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Name: Bryan D. Coy</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i w:val="1"/>
          <w:iCs w:val="1"/>
          <w:color w:val="auto"/>
        </w:rPr>
        <w:t>[Signature Page to Margin Loan Agreement]</w:t>
      </w:r>
    </w:p>
    <w:p>
      <w:pPr>
        <w:sectPr>
          <w:pgSz w:w="11900" w:h="16838" w:orient="portrait"/>
          <w:cols w:equalWidth="0" w:num="1">
            <w:col w:w="10880"/>
          </w:cols>
          <w:pgMar w:left="320" w:top="1440" w:right="699" w:bottom="1440" w:gutter="0" w:footer="0" w:header="0"/>
        </w:sectPr>
      </w:pPr>
    </w:p>
    <w:bookmarkStart w:id="156" w:name="page157"/>
    <w:bookmarkEnd w:id="156"/>
    <w:p>
      <w:pPr>
        <w:spacing w:after="0" w:line="200" w:lineRule="exact"/>
        <w:rPr>
          <w:sz w:val="20"/>
          <w:szCs w:val="20"/>
          <w:color w:val="auto"/>
        </w:rPr>
      </w:pPr>
    </w:p>
    <w:p>
      <w:pPr>
        <w:spacing w:after="0" w:line="269" w:lineRule="exact"/>
        <w:rPr>
          <w:sz w:val="20"/>
          <w:szCs w:val="20"/>
          <w:color w:val="auto"/>
        </w:rPr>
      </w:pPr>
    </w:p>
    <w:p>
      <w:pPr>
        <w:ind w:left="1640"/>
        <w:spacing w:after="0"/>
        <w:rPr>
          <w:sz w:val="20"/>
          <w:szCs w:val="20"/>
          <w:color w:val="auto"/>
        </w:rPr>
      </w:pPr>
      <w:r>
        <w:rPr>
          <w:rFonts w:ascii="Arial" w:cs="Arial" w:eastAsia="Arial" w:hAnsi="Arial"/>
          <w:sz w:val="22"/>
          <w:szCs w:val="22"/>
          <w:b w:val="1"/>
          <w:bCs w:val="1"/>
          <w:color w:val="auto"/>
        </w:rPr>
        <w:t>ROYAL BANK OF CANADA,</w:t>
      </w:r>
    </w:p>
    <w:p>
      <w:pPr>
        <w:ind w:left="1640"/>
        <w:spacing w:after="0"/>
        <w:rPr>
          <w:sz w:val="20"/>
          <w:szCs w:val="20"/>
          <w:color w:val="auto"/>
        </w:rPr>
      </w:pPr>
      <w:r>
        <w:rPr>
          <w:rFonts w:ascii="Arial" w:cs="Arial" w:eastAsia="Arial" w:hAnsi="Arial"/>
          <w:sz w:val="22"/>
          <w:szCs w:val="22"/>
          <w:color w:val="auto"/>
        </w:rPr>
        <w:t>as Administrative Agent</w:t>
      </w:r>
    </w:p>
    <w:p>
      <w:pPr>
        <w:spacing w:after="0" w:line="215" w:lineRule="exact"/>
        <w:rPr>
          <w:sz w:val="20"/>
          <w:szCs w:val="20"/>
          <w:color w:val="auto"/>
        </w:rPr>
      </w:pPr>
    </w:p>
    <w:tbl>
      <w:tblPr>
        <w:tblLayout w:type="fixed"/>
        <w:tblInd w:w="1640" w:type="dxa"/>
        <w:tblCellMar>
          <w:top w:w="0" w:type="dxa"/>
          <w:left w:w="0" w:type="dxa"/>
          <w:bottom w:w="0" w:type="dxa"/>
          <w:right w:w="0" w:type="dxa"/>
        </w:tblCellMar>
      </w:tblPr>
      <w:tr>
        <w:trPr>
          <w:trHeight w:val="276"/>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35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Annie Lee</w:t>
            </w:r>
          </w:p>
        </w:tc>
      </w:tr>
      <w:tr>
        <w:trPr>
          <w:trHeight w:val="257"/>
        </w:trPr>
        <w:tc>
          <w:tcPr>
            <w:tcW w:w="1100" w:type="dxa"/>
            <w:vAlign w:val="bottom"/>
          </w:tcPr>
          <w:p>
            <w:pPr>
              <w:spacing w:after="0"/>
              <w:rPr>
                <w:sz w:val="22"/>
                <w:szCs w:val="22"/>
                <w:color w:val="auto"/>
              </w:rPr>
            </w:pPr>
          </w:p>
        </w:tc>
        <w:tc>
          <w:tcPr>
            <w:tcW w:w="3540" w:type="dxa"/>
            <w:vAlign w:val="bottom"/>
          </w:tcPr>
          <w:p>
            <w:pPr>
              <w:ind w:left="80"/>
              <w:spacing w:after="0"/>
              <w:rPr>
                <w:sz w:val="20"/>
                <w:szCs w:val="20"/>
                <w:color w:val="auto"/>
              </w:rPr>
            </w:pPr>
            <w:r>
              <w:rPr>
                <w:rFonts w:ascii="Arial" w:cs="Arial" w:eastAsia="Arial" w:hAnsi="Arial"/>
                <w:sz w:val="22"/>
                <w:szCs w:val="22"/>
                <w:color w:val="auto"/>
              </w:rPr>
              <w:t>Name: Annie Lee</w:t>
            </w:r>
          </w:p>
        </w:tc>
      </w:tr>
      <w:tr>
        <w:trPr>
          <w:trHeight w:val="274"/>
        </w:trPr>
        <w:tc>
          <w:tcPr>
            <w:tcW w:w="1100" w:type="dxa"/>
            <w:vAlign w:val="bottom"/>
          </w:tcPr>
          <w:p>
            <w:pPr>
              <w:spacing w:after="0"/>
              <w:rPr>
                <w:sz w:val="23"/>
                <w:szCs w:val="23"/>
                <w:color w:val="auto"/>
              </w:rPr>
            </w:pPr>
          </w:p>
        </w:tc>
        <w:tc>
          <w:tcPr>
            <w:tcW w:w="3540" w:type="dxa"/>
            <w:vAlign w:val="bottom"/>
          </w:tcPr>
          <w:p>
            <w:pPr>
              <w:ind w:left="80"/>
              <w:spacing w:after="0"/>
              <w:rPr>
                <w:sz w:val="20"/>
                <w:szCs w:val="20"/>
                <w:color w:val="auto"/>
              </w:rPr>
            </w:pPr>
            <w:r>
              <w:rPr>
                <w:rFonts w:ascii="Arial" w:cs="Arial" w:eastAsia="Arial" w:hAnsi="Arial"/>
                <w:sz w:val="22"/>
                <w:szCs w:val="22"/>
                <w:color w:val="auto"/>
              </w:rPr>
              <w:t>Title: Manager, Agency Services</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40"/>
        <w:spacing w:after="0"/>
        <w:rPr>
          <w:sz w:val="20"/>
          <w:szCs w:val="20"/>
          <w:color w:val="auto"/>
        </w:rPr>
      </w:pPr>
      <w:r>
        <w:rPr>
          <w:rFonts w:ascii="Arial" w:cs="Arial" w:eastAsia="Arial" w:hAnsi="Arial"/>
          <w:sz w:val="22"/>
          <w:szCs w:val="22"/>
          <w:b w:val="1"/>
          <w:bCs w:val="1"/>
          <w:color w:val="auto"/>
        </w:rPr>
        <w:t>ROYAL BANK OF CANADA,</w:t>
      </w:r>
    </w:p>
    <w:p>
      <w:pPr>
        <w:ind w:left="1640"/>
        <w:spacing w:after="0"/>
        <w:rPr>
          <w:sz w:val="20"/>
          <w:szCs w:val="20"/>
          <w:color w:val="auto"/>
        </w:rPr>
      </w:pPr>
      <w:r>
        <w:rPr>
          <w:rFonts w:ascii="Arial" w:cs="Arial" w:eastAsia="Arial" w:hAnsi="Arial"/>
          <w:sz w:val="22"/>
          <w:szCs w:val="22"/>
          <w:color w:val="auto"/>
        </w:rPr>
        <w:t>as Calculation Agent</w:t>
      </w:r>
    </w:p>
    <w:p>
      <w:pPr>
        <w:spacing w:after="0" w:line="215" w:lineRule="exact"/>
        <w:rPr>
          <w:sz w:val="20"/>
          <w:szCs w:val="20"/>
          <w:color w:val="auto"/>
        </w:rPr>
      </w:pPr>
    </w:p>
    <w:tbl>
      <w:tblPr>
        <w:tblLayout w:type="fixed"/>
        <w:tblInd w:w="1640" w:type="dxa"/>
        <w:tblCellMar>
          <w:top w:w="0" w:type="dxa"/>
          <w:left w:w="0" w:type="dxa"/>
          <w:bottom w:w="0" w:type="dxa"/>
          <w:right w:w="0" w:type="dxa"/>
        </w:tblCellMar>
      </w:tblPr>
      <w:tr>
        <w:trPr>
          <w:trHeight w:val="276"/>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35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Brian Ward</w:t>
            </w:r>
          </w:p>
        </w:tc>
      </w:tr>
      <w:tr>
        <w:trPr>
          <w:trHeight w:val="257"/>
        </w:trPr>
        <w:tc>
          <w:tcPr>
            <w:tcW w:w="1100" w:type="dxa"/>
            <w:vAlign w:val="bottom"/>
          </w:tcPr>
          <w:p>
            <w:pPr>
              <w:spacing w:after="0"/>
              <w:rPr>
                <w:sz w:val="22"/>
                <w:szCs w:val="22"/>
                <w:color w:val="auto"/>
              </w:rPr>
            </w:pPr>
          </w:p>
        </w:tc>
        <w:tc>
          <w:tcPr>
            <w:tcW w:w="3540" w:type="dxa"/>
            <w:vAlign w:val="bottom"/>
          </w:tcPr>
          <w:p>
            <w:pPr>
              <w:ind w:left="80"/>
              <w:spacing w:after="0"/>
              <w:rPr>
                <w:sz w:val="20"/>
                <w:szCs w:val="20"/>
                <w:color w:val="auto"/>
              </w:rPr>
            </w:pPr>
            <w:r>
              <w:rPr>
                <w:rFonts w:ascii="Arial" w:cs="Arial" w:eastAsia="Arial" w:hAnsi="Arial"/>
                <w:sz w:val="22"/>
                <w:szCs w:val="22"/>
                <w:color w:val="auto"/>
              </w:rPr>
              <w:t>Name: Brian Ward</w:t>
            </w:r>
          </w:p>
        </w:tc>
      </w:tr>
      <w:tr>
        <w:trPr>
          <w:trHeight w:val="274"/>
        </w:trPr>
        <w:tc>
          <w:tcPr>
            <w:tcW w:w="1100" w:type="dxa"/>
            <w:vAlign w:val="bottom"/>
          </w:tcPr>
          <w:p>
            <w:pPr>
              <w:spacing w:after="0"/>
              <w:rPr>
                <w:sz w:val="23"/>
                <w:szCs w:val="23"/>
                <w:color w:val="auto"/>
              </w:rPr>
            </w:pPr>
          </w:p>
        </w:tc>
        <w:tc>
          <w:tcPr>
            <w:tcW w:w="3540" w:type="dxa"/>
            <w:vAlign w:val="bottom"/>
          </w:tcPr>
          <w:p>
            <w:pPr>
              <w:ind w:left="80"/>
              <w:spacing w:after="0"/>
              <w:rPr>
                <w:sz w:val="20"/>
                <w:szCs w:val="20"/>
                <w:color w:val="auto"/>
              </w:rPr>
            </w:pPr>
            <w:r>
              <w:rPr>
                <w:rFonts w:ascii="Arial" w:cs="Arial" w:eastAsia="Arial" w:hAnsi="Arial"/>
                <w:sz w:val="22"/>
                <w:szCs w:val="22"/>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40"/>
        <w:spacing w:after="0"/>
        <w:rPr>
          <w:sz w:val="20"/>
          <w:szCs w:val="20"/>
          <w:color w:val="auto"/>
        </w:rPr>
      </w:pPr>
      <w:r>
        <w:rPr>
          <w:rFonts w:ascii="Arial" w:cs="Arial" w:eastAsia="Arial" w:hAnsi="Arial"/>
          <w:sz w:val="22"/>
          <w:szCs w:val="22"/>
          <w:b w:val="1"/>
          <w:bCs w:val="1"/>
          <w:color w:val="auto"/>
        </w:rPr>
        <w:t>ROYAL BANK OF CANADA,</w:t>
      </w:r>
    </w:p>
    <w:p>
      <w:pPr>
        <w:ind w:left="1640"/>
        <w:spacing w:after="0"/>
        <w:rPr>
          <w:sz w:val="20"/>
          <w:szCs w:val="20"/>
          <w:color w:val="auto"/>
        </w:rPr>
      </w:pPr>
      <w:r>
        <w:rPr>
          <w:rFonts w:ascii="Arial" w:cs="Arial" w:eastAsia="Arial" w:hAnsi="Arial"/>
          <w:sz w:val="22"/>
          <w:szCs w:val="22"/>
          <w:color w:val="auto"/>
        </w:rPr>
        <w:t>as Lender</w:t>
      </w:r>
    </w:p>
    <w:p>
      <w:pPr>
        <w:spacing w:after="0" w:line="186" w:lineRule="exact"/>
        <w:rPr>
          <w:sz w:val="20"/>
          <w:szCs w:val="20"/>
          <w:color w:val="auto"/>
        </w:rPr>
      </w:pPr>
    </w:p>
    <w:tbl>
      <w:tblPr>
        <w:tblLayout w:type="fixed"/>
        <w:tblInd w:w="16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Arial" w:cs="Arial" w:eastAsia="Arial" w:hAnsi="Arial"/>
                <w:sz w:val="22"/>
                <w:szCs w:val="22"/>
                <w:color w:val="auto"/>
              </w:rPr>
              <w:t>By:</w:t>
            </w:r>
          </w:p>
        </w:tc>
        <w:tc>
          <w:tcPr>
            <w:tcW w:w="3220" w:type="dxa"/>
            <w:vAlign w:val="bottom"/>
            <w:gridSpan w:val="2"/>
          </w:tcPr>
          <w:p>
            <w:pPr>
              <w:spacing w:after="0"/>
              <w:rPr>
                <w:sz w:val="20"/>
                <w:szCs w:val="20"/>
                <w:color w:val="auto"/>
              </w:rPr>
            </w:pPr>
            <w:r>
              <w:rPr>
                <w:rFonts w:ascii="Arial" w:cs="Arial" w:eastAsia="Arial" w:hAnsi="Arial"/>
                <w:sz w:val="22"/>
                <w:szCs w:val="22"/>
                <w:color w:val="auto"/>
                <w:w w:val="88"/>
              </w:rPr>
              <w:t>/s/ Glenn Van Allen______________</w:t>
            </w:r>
          </w:p>
        </w:tc>
      </w:tr>
      <w:tr>
        <w:trPr>
          <w:trHeight w:val="20"/>
        </w:trPr>
        <w:tc>
          <w:tcPr>
            <w:tcW w:w="11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96"/>
        </w:trPr>
        <w:tc>
          <w:tcPr>
            <w:tcW w:w="114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22"/>
                <w:szCs w:val="22"/>
                <w:color w:val="auto"/>
              </w:rPr>
              <w:t>Name: Glenn Van Allen</w:t>
            </w:r>
          </w:p>
        </w:tc>
      </w:tr>
      <w:tr>
        <w:trPr>
          <w:trHeight w:val="274"/>
        </w:trPr>
        <w:tc>
          <w:tcPr>
            <w:tcW w:w="1140" w:type="dxa"/>
            <w:vAlign w:val="bottom"/>
          </w:tcPr>
          <w:p>
            <w:pPr>
              <w:spacing w:after="0"/>
              <w:rPr>
                <w:sz w:val="23"/>
                <w:szCs w:val="23"/>
                <w:color w:val="auto"/>
              </w:rPr>
            </w:pPr>
          </w:p>
        </w:tc>
        <w:tc>
          <w:tcPr>
            <w:tcW w:w="3220" w:type="dxa"/>
            <w:vAlign w:val="bottom"/>
            <w:gridSpan w:val="2"/>
          </w:tcPr>
          <w:p>
            <w:pPr>
              <w:spacing w:after="0"/>
              <w:rPr>
                <w:sz w:val="20"/>
                <w:szCs w:val="20"/>
                <w:color w:val="auto"/>
              </w:rPr>
            </w:pPr>
            <w:r>
              <w:rPr>
                <w:rFonts w:ascii="Arial" w:cs="Arial" w:eastAsia="Arial" w:hAnsi="Arial"/>
                <w:sz w:val="22"/>
                <w:szCs w:val="22"/>
                <w:color w:val="auto"/>
              </w:rPr>
              <w:t>Title: Authorized Signatory</w:t>
            </w: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[Signature Page to Margin Loan Agreement]</w:t>
      </w:r>
    </w:p>
    <w:p>
      <w:pPr>
        <w:sectPr>
          <w:pgSz w:w="11900" w:h="16838" w:orient="portrait"/>
          <w:cols w:equalWidth="0" w:num="1">
            <w:col w:w="9019"/>
          </w:cols>
          <w:pgMar w:left="1440" w:top="1440" w:right="1440" w:bottom="1440" w:gutter="0" w:footer="0" w:header="0"/>
          <w:type w:val="continuous"/>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40"/>
        <w:spacing w:after="0"/>
        <w:rPr>
          <w:sz w:val="20"/>
          <w:szCs w:val="20"/>
          <w:color w:val="auto"/>
        </w:rPr>
      </w:pPr>
      <w:r>
        <w:rPr>
          <w:rFonts w:ascii="Arial" w:cs="Arial" w:eastAsia="Arial" w:hAnsi="Arial"/>
          <w:sz w:val="22"/>
          <w:szCs w:val="22"/>
          <w:b w:val="1"/>
          <w:bCs w:val="1"/>
          <w:color w:val="auto"/>
        </w:rPr>
        <w:t>JPMORGAN CHASE BANK, N.A.,</w:t>
      </w:r>
    </w:p>
    <w:p>
      <w:pPr>
        <w:spacing w:after="0" w:line="31" w:lineRule="exact"/>
        <w:rPr>
          <w:sz w:val="20"/>
          <w:szCs w:val="20"/>
          <w:color w:val="auto"/>
        </w:rPr>
      </w:pPr>
    </w:p>
    <w:p>
      <w:pPr>
        <w:ind w:left="1640"/>
        <w:spacing w:after="0"/>
        <w:rPr>
          <w:sz w:val="20"/>
          <w:szCs w:val="20"/>
          <w:color w:val="auto"/>
        </w:rPr>
      </w:pPr>
      <w:r>
        <w:rPr>
          <w:rFonts w:ascii="Arial" w:cs="Arial" w:eastAsia="Arial" w:hAnsi="Arial"/>
          <w:sz w:val="22"/>
          <w:szCs w:val="22"/>
          <w:b w:val="1"/>
          <w:bCs w:val="1"/>
          <w:color w:val="auto"/>
        </w:rPr>
        <w:t>as Lender</w:t>
      </w:r>
    </w:p>
    <w:p>
      <w:pPr>
        <w:spacing w:after="0" w:line="266" w:lineRule="exact"/>
        <w:rPr>
          <w:sz w:val="20"/>
          <w:szCs w:val="20"/>
          <w:color w:val="auto"/>
        </w:rPr>
      </w:pPr>
    </w:p>
    <w:tbl>
      <w:tblPr>
        <w:tblLayout w:type="fixed"/>
        <w:tblInd w:w="1640" w:type="dxa"/>
        <w:tblCellMar>
          <w:top w:w="0" w:type="dxa"/>
          <w:left w:w="0" w:type="dxa"/>
          <w:bottom w:w="0" w:type="dxa"/>
          <w:right w:w="0" w:type="dxa"/>
        </w:tblCellMar>
      </w:tblPr>
      <w:tr>
        <w:trPr>
          <w:trHeight w:val="276"/>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35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Jeffrey Davidovitch</w:t>
            </w:r>
          </w:p>
        </w:tc>
      </w:tr>
      <w:tr>
        <w:trPr>
          <w:trHeight w:val="257"/>
        </w:trPr>
        <w:tc>
          <w:tcPr>
            <w:tcW w:w="1100" w:type="dxa"/>
            <w:vAlign w:val="bottom"/>
          </w:tcPr>
          <w:p>
            <w:pPr>
              <w:spacing w:after="0"/>
              <w:rPr>
                <w:sz w:val="22"/>
                <w:szCs w:val="22"/>
                <w:color w:val="auto"/>
              </w:rPr>
            </w:pPr>
          </w:p>
        </w:tc>
        <w:tc>
          <w:tcPr>
            <w:tcW w:w="3540" w:type="dxa"/>
            <w:vAlign w:val="bottom"/>
          </w:tcPr>
          <w:p>
            <w:pPr>
              <w:ind w:left="80"/>
              <w:spacing w:after="0"/>
              <w:rPr>
                <w:sz w:val="20"/>
                <w:szCs w:val="20"/>
                <w:color w:val="auto"/>
              </w:rPr>
            </w:pPr>
            <w:r>
              <w:rPr>
                <w:rFonts w:ascii="Arial" w:cs="Arial" w:eastAsia="Arial" w:hAnsi="Arial"/>
                <w:sz w:val="22"/>
                <w:szCs w:val="22"/>
                <w:color w:val="auto"/>
              </w:rPr>
              <w:t>Name: Jeffrey Davidovitch</w:t>
            </w:r>
          </w:p>
        </w:tc>
      </w:tr>
      <w:tr>
        <w:trPr>
          <w:trHeight w:val="274"/>
        </w:trPr>
        <w:tc>
          <w:tcPr>
            <w:tcW w:w="1100" w:type="dxa"/>
            <w:vAlign w:val="bottom"/>
          </w:tcPr>
          <w:p>
            <w:pPr>
              <w:spacing w:after="0"/>
              <w:rPr>
                <w:sz w:val="23"/>
                <w:szCs w:val="23"/>
                <w:color w:val="auto"/>
              </w:rPr>
            </w:pPr>
          </w:p>
        </w:tc>
        <w:tc>
          <w:tcPr>
            <w:tcW w:w="3540" w:type="dxa"/>
            <w:vAlign w:val="bottom"/>
          </w:tcPr>
          <w:p>
            <w:pPr>
              <w:ind w:left="80"/>
              <w:spacing w:after="0"/>
              <w:rPr>
                <w:sz w:val="20"/>
                <w:szCs w:val="20"/>
                <w:color w:val="auto"/>
              </w:rPr>
            </w:pPr>
            <w:r>
              <w:rPr>
                <w:rFonts w:ascii="Arial" w:cs="Arial" w:eastAsia="Arial" w:hAnsi="Arial"/>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[Signature Page to Margin Loan Agreement]</w:t>
      </w:r>
    </w:p>
    <w:p>
      <w:pPr>
        <w:sectPr>
          <w:pgSz w:w="11900" w:h="16838" w:orient="portrait"/>
          <w:cols w:equalWidth="0" w:num="1">
            <w:col w:w="9019"/>
          </w:cols>
          <w:pgMar w:left="1440" w:top="1440" w:right="1440"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660"/>
        <w:spacing w:after="0"/>
        <w:rPr>
          <w:sz w:val="20"/>
          <w:szCs w:val="20"/>
          <w:color w:val="auto"/>
        </w:rPr>
      </w:pPr>
      <w:r>
        <w:rPr>
          <w:rFonts w:ascii="Arial" w:cs="Arial" w:eastAsia="Arial" w:hAnsi="Arial"/>
          <w:sz w:val="22"/>
          <w:szCs w:val="22"/>
          <w:b w:val="1"/>
          <w:bCs w:val="1"/>
          <w:color w:val="auto"/>
        </w:rPr>
        <w:t>BANK OF AMERICA, N.A.,</w:t>
      </w:r>
    </w:p>
    <w:p>
      <w:pPr>
        <w:spacing w:after="0" w:line="37"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as Lender</w:t>
      </w:r>
    </w:p>
    <w:p>
      <w:pPr>
        <w:spacing w:after="0" w:line="260" w:lineRule="exact"/>
        <w:rPr>
          <w:sz w:val="20"/>
          <w:szCs w:val="20"/>
          <w:color w:val="auto"/>
        </w:rPr>
      </w:pPr>
    </w:p>
    <w:tbl>
      <w:tblPr>
        <w:tblLayout w:type="fixed"/>
        <w:tblInd w:w="1640" w:type="dxa"/>
        <w:tblCellMar>
          <w:top w:w="0" w:type="dxa"/>
          <w:left w:w="0" w:type="dxa"/>
          <w:bottom w:w="0" w:type="dxa"/>
          <w:right w:w="0" w:type="dxa"/>
        </w:tblCellMar>
      </w:tblPr>
      <w:tr>
        <w:trPr>
          <w:trHeight w:val="276"/>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Aurelien Bonnet</w:t>
            </w:r>
          </w:p>
        </w:tc>
      </w:tr>
      <w:tr>
        <w:trPr>
          <w:trHeight w:val="257"/>
        </w:trPr>
        <w:tc>
          <w:tcPr>
            <w:tcW w:w="1100" w:type="dxa"/>
            <w:vAlign w:val="bottom"/>
          </w:tcPr>
          <w:p>
            <w:pPr>
              <w:spacing w:after="0"/>
              <w:rPr>
                <w:sz w:val="22"/>
                <w:szCs w:val="22"/>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Name: Aurelien Bonnet</w:t>
            </w:r>
          </w:p>
        </w:tc>
      </w:tr>
      <w:tr>
        <w:trPr>
          <w:trHeight w:val="274"/>
        </w:trPr>
        <w:tc>
          <w:tcPr>
            <w:tcW w:w="110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Title: Director -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to Margin Loan Agreement]</w:t>
      </w:r>
    </w:p>
    <w:p>
      <w:pPr>
        <w:sectPr>
          <w:pgSz w:w="11900" w:h="16838" w:orient="portrait"/>
          <w:cols w:equalWidth="0" w:num="1">
            <w:col w:w="9019"/>
          </w:cols>
          <w:pgMar w:left="1440" w:top="1440" w:right="1440" w:bottom="1440" w:gutter="0" w:footer="0" w:header="0"/>
        </w:sectPr>
      </w:pPr>
    </w:p>
    <w:bookmarkStart w:id="159" w:name="page160"/>
    <w:bookmarkEnd w:id="159"/>
    <w:p>
      <w:pPr>
        <w:spacing w:after="0" w:line="200" w:lineRule="exact"/>
        <w:rPr>
          <w:sz w:val="20"/>
          <w:szCs w:val="20"/>
          <w:color w:val="auto"/>
        </w:rPr>
      </w:pPr>
    </w:p>
    <w:p>
      <w:pPr>
        <w:spacing w:after="0" w:line="322" w:lineRule="exact"/>
        <w:rPr>
          <w:sz w:val="20"/>
          <w:szCs w:val="20"/>
          <w:color w:val="auto"/>
        </w:rPr>
      </w:pPr>
    </w:p>
    <w:p>
      <w:pPr>
        <w:ind w:left="1660"/>
        <w:spacing w:after="0"/>
        <w:rPr>
          <w:sz w:val="20"/>
          <w:szCs w:val="20"/>
          <w:color w:val="auto"/>
        </w:rPr>
      </w:pPr>
      <w:r>
        <w:rPr>
          <w:rFonts w:ascii="Arial" w:cs="Arial" w:eastAsia="Arial" w:hAnsi="Arial"/>
          <w:sz w:val="22"/>
          <w:szCs w:val="22"/>
          <w:b w:val="1"/>
          <w:bCs w:val="1"/>
          <w:color w:val="auto"/>
        </w:rPr>
        <w:t>CREDIT SUISSE AG, CAYMAN ISLANDS</w:t>
      </w:r>
    </w:p>
    <w:p>
      <w:pPr>
        <w:spacing w:after="0" w:line="31" w:lineRule="exact"/>
        <w:rPr>
          <w:sz w:val="20"/>
          <w:szCs w:val="20"/>
          <w:color w:val="auto"/>
        </w:rPr>
      </w:pPr>
    </w:p>
    <w:p>
      <w:pPr>
        <w:ind w:left="1660"/>
        <w:spacing w:after="0"/>
        <w:rPr>
          <w:sz w:val="20"/>
          <w:szCs w:val="20"/>
          <w:color w:val="auto"/>
        </w:rPr>
      </w:pPr>
      <w:r>
        <w:rPr>
          <w:rFonts w:ascii="Arial" w:cs="Arial" w:eastAsia="Arial" w:hAnsi="Arial"/>
          <w:sz w:val="22"/>
          <w:szCs w:val="22"/>
          <w:b w:val="1"/>
          <w:bCs w:val="1"/>
          <w:color w:val="auto"/>
        </w:rPr>
        <w:t>BRANCH,</w:t>
      </w:r>
    </w:p>
    <w:p>
      <w:pPr>
        <w:spacing w:after="0" w:line="37"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as Lender</w:t>
      </w:r>
    </w:p>
    <w:p>
      <w:pPr>
        <w:spacing w:after="0" w:line="44" w:lineRule="exact"/>
        <w:rPr>
          <w:sz w:val="20"/>
          <w:szCs w:val="20"/>
          <w:color w:val="auto"/>
        </w:rPr>
      </w:pPr>
    </w:p>
    <w:p>
      <w:pPr>
        <w:ind w:left="1640"/>
        <w:spacing w:after="0"/>
        <w:tabs>
          <w:tab w:leader="none" w:pos="2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Tucker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15875</wp:posOffset>
            </wp:positionV>
            <wp:extent cx="23831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Name: Tucker Martin</w:t>
      </w:r>
    </w:p>
    <w:p>
      <w:pPr>
        <w:spacing w:after="0" w:line="21"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Title: Authorized Signatory</w:t>
      </w:r>
    </w:p>
    <w:p>
      <w:pPr>
        <w:spacing w:after="0" w:line="283" w:lineRule="exact"/>
        <w:rPr>
          <w:sz w:val="20"/>
          <w:szCs w:val="20"/>
          <w:color w:val="auto"/>
        </w:rPr>
      </w:pPr>
    </w:p>
    <w:tbl>
      <w:tblPr>
        <w:tblLayout w:type="fixed"/>
        <w:tblInd w:w="1640" w:type="dxa"/>
        <w:tblCellMar>
          <w:top w:w="0" w:type="dxa"/>
          <w:left w:w="0" w:type="dxa"/>
          <w:bottom w:w="0" w:type="dxa"/>
          <w:right w:w="0" w:type="dxa"/>
        </w:tblCellMar>
      </w:tblPr>
      <w:tr>
        <w:trPr>
          <w:trHeight w:val="276"/>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Will Brett</w:t>
            </w:r>
          </w:p>
        </w:tc>
      </w:tr>
      <w:tr>
        <w:trPr>
          <w:trHeight w:val="257"/>
        </w:trPr>
        <w:tc>
          <w:tcPr>
            <w:tcW w:w="1100" w:type="dxa"/>
            <w:vAlign w:val="bottom"/>
          </w:tcPr>
          <w:p>
            <w:pPr>
              <w:spacing w:after="0"/>
              <w:rPr>
                <w:sz w:val="22"/>
                <w:szCs w:val="22"/>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Name: Will Brett</w:t>
            </w:r>
          </w:p>
        </w:tc>
      </w:tr>
      <w:tr>
        <w:trPr>
          <w:trHeight w:val="274"/>
        </w:trPr>
        <w:tc>
          <w:tcPr>
            <w:tcW w:w="110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to Margin Loan Agreement]</w:t>
      </w:r>
    </w:p>
    <w:p>
      <w:pPr>
        <w:sectPr>
          <w:pgSz w:w="11900" w:h="16838" w:orient="portrait"/>
          <w:cols w:equalWidth="0" w:num="1">
            <w:col w:w="9019"/>
          </w:cols>
          <w:pgMar w:left="1440" w:top="1440" w:right="1440" w:bottom="1440" w:gutter="0" w:footer="0" w:header="0"/>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tabs>
          <w:tab w:leader="none" w:pos="300" w:val="left"/>
        </w:tabs>
        <w:rPr>
          <w:sz w:val="20"/>
          <w:szCs w:val="20"/>
          <w:color w:val="auto"/>
        </w:rPr>
      </w:pPr>
      <w:r>
        <w:rPr>
          <w:rFonts w:ascii="Arial" w:cs="Arial" w:eastAsia="Arial" w:hAnsi="Arial"/>
          <w:sz w:val="22"/>
          <w:szCs w:val="22"/>
          <w:b w:val="1"/>
          <w:bCs w:val="1"/>
          <w:color w:val="auto"/>
        </w:rPr>
        <w:t>Schedule I</w:t>
        <w:tab/>
        <w:t>- COMMITMENTS AND LENDER INFORMATION</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Commitments and Lender Information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060" w:type="dxa"/>
            <w:vAlign w:val="bottom"/>
            <w:tcBorders>
              <w:top w:val="single" w:sz="8" w:color="auto"/>
              <w:left w:val="single" w:sz="8" w:color="auto"/>
              <w:right w:val="single" w:sz="8" w:color="auto"/>
            </w:tcBorders>
            <w:shd w:val="clear" w:color="auto" w:fill="DBDBDB"/>
          </w:tcPr>
          <w:p>
            <w:pPr>
              <w:ind w:left="80"/>
              <w:spacing w:after="0" w:line="216" w:lineRule="exact"/>
              <w:rPr>
                <w:sz w:val="20"/>
                <w:szCs w:val="20"/>
                <w:color w:val="auto"/>
              </w:rPr>
            </w:pPr>
            <w:r>
              <w:rPr>
                <w:rFonts w:ascii="Arial" w:cs="Arial" w:eastAsia="Arial" w:hAnsi="Arial"/>
                <w:sz w:val="22"/>
                <w:szCs w:val="22"/>
                <w:b w:val="1"/>
                <w:bCs w:val="1"/>
                <w:color w:val="auto"/>
              </w:rPr>
              <w:t>Lender</w:t>
            </w:r>
          </w:p>
        </w:tc>
        <w:tc>
          <w:tcPr>
            <w:tcW w:w="1640" w:type="dxa"/>
            <w:vAlign w:val="bottom"/>
            <w:tcBorders>
              <w:top w:val="single" w:sz="8" w:color="auto"/>
              <w:right w:val="single" w:sz="8" w:color="auto"/>
            </w:tcBorders>
            <w:shd w:val="clear" w:color="auto" w:fill="DBDBDB"/>
          </w:tcPr>
          <w:p>
            <w:pPr>
              <w:jc w:val="right"/>
              <w:ind w:right="244"/>
              <w:spacing w:after="0" w:line="216" w:lineRule="exact"/>
              <w:rPr>
                <w:sz w:val="20"/>
                <w:szCs w:val="20"/>
                <w:color w:val="auto"/>
              </w:rPr>
            </w:pPr>
            <w:r>
              <w:rPr>
                <w:rFonts w:ascii="Arial" w:cs="Arial" w:eastAsia="Arial" w:hAnsi="Arial"/>
                <w:sz w:val="22"/>
                <w:szCs w:val="22"/>
                <w:b w:val="1"/>
                <w:bCs w:val="1"/>
                <w:color w:val="auto"/>
                <w:w w:val="95"/>
              </w:rPr>
              <w:t>Commitment</w:t>
            </w:r>
          </w:p>
        </w:tc>
        <w:tc>
          <w:tcPr>
            <w:tcW w:w="1480" w:type="dxa"/>
            <w:vAlign w:val="bottom"/>
            <w:tcBorders>
              <w:top w:val="single" w:sz="8" w:color="auto"/>
              <w:right w:val="single" w:sz="8" w:color="auto"/>
            </w:tcBorders>
            <w:shd w:val="clear" w:color="auto" w:fill="DBDBDB"/>
          </w:tcPr>
          <w:p>
            <w:pPr>
              <w:ind w:left="60"/>
              <w:spacing w:after="0" w:line="216" w:lineRule="exact"/>
              <w:rPr>
                <w:sz w:val="20"/>
                <w:szCs w:val="20"/>
                <w:color w:val="auto"/>
              </w:rPr>
            </w:pPr>
            <w:r>
              <w:rPr>
                <w:rFonts w:ascii="Arial" w:cs="Arial" w:eastAsia="Arial" w:hAnsi="Arial"/>
                <w:sz w:val="22"/>
                <w:szCs w:val="22"/>
                <w:b w:val="1"/>
                <w:bCs w:val="1"/>
                <w:color w:val="auto"/>
              </w:rPr>
              <w:t>Applicable</w:t>
            </w:r>
          </w:p>
        </w:tc>
        <w:tc>
          <w:tcPr>
            <w:tcW w:w="1400" w:type="dxa"/>
            <w:vAlign w:val="bottom"/>
            <w:tcBorders>
              <w:top w:val="single" w:sz="8" w:color="auto"/>
              <w:right w:val="single" w:sz="8" w:color="auto"/>
            </w:tcBorders>
            <w:shd w:val="clear" w:color="auto" w:fill="DBDBDB"/>
          </w:tcPr>
          <w:p>
            <w:pPr>
              <w:ind w:left="60"/>
              <w:spacing w:after="0" w:line="216" w:lineRule="exact"/>
              <w:rPr>
                <w:sz w:val="20"/>
                <w:szCs w:val="20"/>
                <w:color w:val="auto"/>
              </w:rPr>
            </w:pPr>
            <w:r>
              <w:rPr>
                <w:rFonts w:ascii="Arial" w:cs="Arial" w:eastAsia="Arial" w:hAnsi="Arial"/>
                <w:sz w:val="22"/>
                <w:szCs w:val="22"/>
                <w:b w:val="1"/>
                <w:bCs w:val="1"/>
                <w:color w:val="auto"/>
              </w:rPr>
              <w:t>Funding</w:t>
            </w:r>
          </w:p>
        </w:tc>
        <w:tc>
          <w:tcPr>
            <w:tcW w:w="1640" w:type="dxa"/>
            <w:vAlign w:val="bottom"/>
            <w:tcBorders>
              <w:top w:val="single" w:sz="8" w:color="auto"/>
              <w:right w:val="single" w:sz="8" w:color="auto"/>
            </w:tcBorders>
            <w:shd w:val="clear" w:color="auto" w:fill="DBDBDB"/>
          </w:tcPr>
          <w:p>
            <w:pPr>
              <w:ind w:left="60"/>
              <w:spacing w:after="0" w:line="216" w:lineRule="exact"/>
              <w:rPr>
                <w:sz w:val="20"/>
                <w:szCs w:val="20"/>
                <w:color w:val="auto"/>
              </w:rPr>
            </w:pPr>
            <w:r>
              <w:rPr>
                <w:rFonts w:ascii="Arial" w:cs="Arial" w:eastAsia="Arial" w:hAnsi="Arial"/>
                <w:sz w:val="22"/>
                <w:szCs w:val="22"/>
                <w:b w:val="1"/>
                <w:bCs w:val="1"/>
                <w:color w:val="auto"/>
              </w:rPr>
              <w:t>Incremental</w:t>
            </w:r>
          </w:p>
        </w:tc>
        <w:tc>
          <w:tcPr>
            <w:tcW w:w="3040" w:type="dxa"/>
            <w:vAlign w:val="bottom"/>
            <w:tcBorders>
              <w:top w:val="single" w:sz="8" w:color="auto"/>
              <w:right w:val="single" w:sz="8" w:color="auto"/>
            </w:tcBorders>
            <w:gridSpan w:val="6"/>
            <w:shd w:val="clear" w:color="auto" w:fill="DBDBDB"/>
          </w:tcPr>
          <w:p>
            <w:pPr>
              <w:ind w:left="60"/>
              <w:spacing w:after="0" w:line="216" w:lineRule="exact"/>
              <w:rPr>
                <w:sz w:val="20"/>
                <w:szCs w:val="20"/>
                <w:color w:val="auto"/>
              </w:rPr>
            </w:pPr>
            <w:r>
              <w:rPr>
                <w:rFonts w:ascii="Arial" w:cs="Arial" w:eastAsia="Arial" w:hAnsi="Arial"/>
                <w:sz w:val="22"/>
                <w:szCs w:val="22"/>
                <w:b w:val="1"/>
                <w:bCs w:val="1"/>
                <w:color w:val="auto"/>
              </w:rPr>
              <w:t>Delivery Address</w:t>
            </w:r>
          </w:p>
        </w:tc>
      </w:tr>
      <w:tr>
        <w:trPr>
          <w:trHeight w:val="216"/>
        </w:trPr>
        <w:tc>
          <w:tcPr>
            <w:tcW w:w="2060" w:type="dxa"/>
            <w:vAlign w:val="bottom"/>
            <w:tcBorders>
              <w:left w:val="single" w:sz="8" w:color="auto"/>
              <w:right w:val="single" w:sz="8" w:color="auto"/>
            </w:tcBorders>
            <w:shd w:val="clear" w:color="auto" w:fill="DBDBDB"/>
          </w:tcPr>
          <w:p>
            <w:pPr>
              <w:spacing w:after="0"/>
              <w:rPr>
                <w:sz w:val="18"/>
                <w:szCs w:val="18"/>
                <w:color w:val="auto"/>
              </w:rPr>
            </w:pPr>
          </w:p>
        </w:tc>
        <w:tc>
          <w:tcPr>
            <w:tcW w:w="1640" w:type="dxa"/>
            <w:vAlign w:val="bottom"/>
            <w:tcBorders>
              <w:right w:val="single" w:sz="8" w:color="auto"/>
            </w:tcBorders>
            <w:shd w:val="clear" w:color="auto" w:fill="DBDBDB"/>
          </w:tcPr>
          <w:p>
            <w:pPr>
              <w:spacing w:after="0"/>
              <w:rPr>
                <w:sz w:val="18"/>
                <w:szCs w:val="18"/>
                <w:color w:val="auto"/>
              </w:rPr>
            </w:pPr>
          </w:p>
        </w:tc>
        <w:tc>
          <w:tcPr>
            <w:tcW w:w="1480" w:type="dxa"/>
            <w:vAlign w:val="bottom"/>
            <w:tcBorders>
              <w:right w:val="single" w:sz="8" w:color="auto"/>
            </w:tcBorders>
            <w:shd w:val="clear" w:color="auto" w:fill="DBDBDB"/>
          </w:tcPr>
          <w:p>
            <w:pPr>
              <w:ind w:left="60"/>
              <w:spacing w:after="0" w:line="216" w:lineRule="exact"/>
              <w:rPr>
                <w:sz w:val="20"/>
                <w:szCs w:val="20"/>
                <w:color w:val="auto"/>
              </w:rPr>
            </w:pPr>
            <w:r>
              <w:rPr>
                <w:rFonts w:ascii="Arial" w:cs="Arial" w:eastAsia="Arial" w:hAnsi="Arial"/>
                <w:sz w:val="22"/>
                <w:szCs w:val="22"/>
                <w:b w:val="1"/>
                <w:bCs w:val="1"/>
                <w:color w:val="auto"/>
              </w:rPr>
              <w:t>Percentage</w:t>
            </w:r>
          </w:p>
        </w:tc>
        <w:tc>
          <w:tcPr>
            <w:tcW w:w="1400" w:type="dxa"/>
            <w:vAlign w:val="bottom"/>
            <w:tcBorders>
              <w:right w:val="single" w:sz="8" w:color="auto"/>
            </w:tcBorders>
            <w:shd w:val="clear" w:color="auto" w:fill="DBDBDB"/>
          </w:tcPr>
          <w:p>
            <w:pPr>
              <w:ind w:left="60"/>
              <w:spacing w:after="0" w:line="216" w:lineRule="exact"/>
              <w:rPr>
                <w:sz w:val="20"/>
                <w:szCs w:val="20"/>
                <w:color w:val="auto"/>
              </w:rPr>
            </w:pPr>
            <w:r>
              <w:rPr>
                <w:rFonts w:ascii="Arial" w:cs="Arial" w:eastAsia="Arial" w:hAnsi="Arial"/>
                <w:sz w:val="22"/>
                <w:szCs w:val="22"/>
                <w:b w:val="1"/>
                <w:bCs w:val="1"/>
                <w:color w:val="auto"/>
              </w:rPr>
              <w:t>Percentage</w:t>
            </w:r>
          </w:p>
        </w:tc>
        <w:tc>
          <w:tcPr>
            <w:tcW w:w="1640" w:type="dxa"/>
            <w:vAlign w:val="bottom"/>
            <w:tcBorders>
              <w:right w:val="single" w:sz="8" w:color="auto"/>
            </w:tcBorders>
            <w:shd w:val="clear" w:color="auto" w:fill="DBDBDB"/>
          </w:tcPr>
          <w:p>
            <w:pPr>
              <w:ind w:left="60"/>
              <w:spacing w:after="0" w:line="216" w:lineRule="exact"/>
              <w:rPr>
                <w:sz w:val="20"/>
                <w:szCs w:val="20"/>
                <w:color w:val="auto"/>
              </w:rPr>
            </w:pPr>
            <w:r>
              <w:rPr>
                <w:rFonts w:ascii="Arial" w:cs="Arial" w:eastAsia="Arial" w:hAnsi="Arial"/>
                <w:sz w:val="22"/>
                <w:szCs w:val="22"/>
                <w:b w:val="1"/>
                <w:bCs w:val="1"/>
                <w:color w:val="auto"/>
              </w:rPr>
              <w:t>Commitment</w:t>
            </w:r>
          </w:p>
        </w:tc>
        <w:tc>
          <w:tcPr>
            <w:tcW w:w="580" w:type="dxa"/>
            <w:vAlign w:val="bottom"/>
            <w:shd w:val="clear" w:color="auto" w:fill="DBDBDB"/>
          </w:tcPr>
          <w:p>
            <w:pPr>
              <w:spacing w:after="0"/>
              <w:rPr>
                <w:sz w:val="18"/>
                <w:szCs w:val="18"/>
                <w:color w:val="auto"/>
              </w:rPr>
            </w:pPr>
          </w:p>
        </w:tc>
        <w:tc>
          <w:tcPr>
            <w:tcW w:w="100" w:type="dxa"/>
            <w:vAlign w:val="bottom"/>
            <w:tcBorders>
              <w:right w:val="single" w:sz="8" w:color="DBDBDB"/>
            </w:tcBorders>
            <w:shd w:val="clear" w:color="auto" w:fill="DBDBDB"/>
          </w:tcPr>
          <w:p>
            <w:pPr>
              <w:spacing w:after="0"/>
              <w:rPr>
                <w:sz w:val="18"/>
                <w:szCs w:val="18"/>
                <w:color w:val="auto"/>
              </w:rPr>
            </w:pPr>
          </w:p>
        </w:tc>
        <w:tc>
          <w:tcPr>
            <w:tcW w:w="18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80" w:type="dxa"/>
            <w:vAlign w:val="bottom"/>
            <w:tcBorders>
              <w:right w:val="single" w:sz="8" w:color="auto"/>
            </w:tcBorders>
            <w:shd w:val="clear" w:color="auto" w:fill="DBDBDB"/>
          </w:tcPr>
          <w:p>
            <w:pPr>
              <w:spacing w:after="0"/>
              <w:rPr>
                <w:sz w:val="18"/>
                <w:szCs w:val="18"/>
                <w:color w:val="auto"/>
              </w:rPr>
            </w:pPr>
          </w:p>
        </w:tc>
      </w:tr>
      <w:tr>
        <w:trPr>
          <w:trHeight w:val="282"/>
        </w:trPr>
        <w:tc>
          <w:tcPr>
            <w:tcW w:w="2060" w:type="dxa"/>
            <w:vAlign w:val="bottom"/>
            <w:tcBorders>
              <w:left w:val="single" w:sz="8" w:color="auto"/>
              <w:bottom w:val="single" w:sz="8" w:color="auto"/>
              <w:right w:val="single" w:sz="8" w:color="auto"/>
            </w:tcBorders>
            <w:shd w:val="clear" w:color="auto" w:fill="DBDBDB"/>
          </w:tcPr>
          <w:p>
            <w:pPr>
              <w:spacing w:after="0"/>
              <w:rPr>
                <w:sz w:val="24"/>
                <w:szCs w:val="24"/>
                <w:color w:val="auto"/>
              </w:rPr>
            </w:pPr>
          </w:p>
        </w:tc>
        <w:tc>
          <w:tcPr>
            <w:tcW w:w="1640" w:type="dxa"/>
            <w:vAlign w:val="bottom"/>
            <w:tcBorders>
              <w:bottom w:val="single" w:sz="8" w:color="auto"/>
              <w:right w:val="single" w:sz="8" w:color="auto"/>
            </w:tcBorders>
            <w:shd w:val="clear" w:color="auto" w:fill="DBDBDB"/>
          </w:tcPr>
          <w:p>
            <w:pPr>
              <w:spacing w:after="0"/>
              <w:rPr>
                <w:sz w:val="24"/>
                <w:szCs w:val="24"/>
                <w:color w:val="auto"/>
              </w:rPr>
            </w:pPr>
          </w:p>
        </w:tc>
        <w:tc>
          <w:tcPr>
            <w:tcW w:w="1480" w:type="dxa"/>
            <w:vAlign w:val="bottom"/>
            <w:tcBorders>
              <w:bottom w:val="single" w:sz="8" w:color="auto"/>
              <w:right w:val="single" w:sz="8" w:color="auto"/>
            </w:tcBorders>
            <w:shd w:val="clear" w:color="auto" w:fill="DBDBDB"/>
          </w:tcPr>
          <w:p>
            <w:pPr>
              <w:spacing w:after="0"/>
              <w:rPr>
                <w:sz w:val="24"/>
                <w:szCs w:val="24"/>
                <w:color w:val="auto"/>
              </w:rPr>
            </w:pPr>
          </w:p>
        </w:tc>
        <w:tc>
          <w:tcPr>
            <w:tcW w:w="1400" w:type="dxa"/>
            <w:vAlign w:val="bottom"/>
            <w:tcBorders>
              <w:bottom w:val="single" w:sz="8" w:color="auto"/>
              <w:right w:val="single" w:sz="8" w:color="auto"/>
            </w:tcBorders>
            <w:shd w:val="clear" w:color="auto" w:fill="DBDBDB"/>
          </w:tcPr>
          <w:p>
            <w:pPr>
              <w:spacing w:after="0"/>
              <w:rPr>
                <w:sz w:val="24"/>
                <w:szCs w:val="24"/>
                <w:color w:val="auto"/>
              </w:rPr>
            </w:pPr>
          </w:p>
        </w:tc>
        <w:tc>
          <w:tcPr>
            <w:tcW w:w="1640" w:type="dxa"/>
            <w:vAlign w:val="bottom"/>
            <w:tcBorders>
              <w:bottom w:val="single" w:sz="8" w:color="auto"/>
              <w:right w:val="single" w:sz="8" w:color="auto"/>
            </w:tcBorders>
            <w:shd w:val="clear" w:color="auto" w:fill="DBDBDB"/>
          </w:tcPr>
          <w:p>
            <w:pPr>
              <w:ind w:left="60"/>
              <w:spacing w:after="0"/>
              <w:rPr>
                <w:sz w:val="20"/>
                <w:szCs w:val="20"/>
                <w:color w:val="auto"/>
              </w:rPr>
            </w:pPr>
            <w:r>
              <w:rPr>
                <w:rFonts w:ascii="Arial" w:cs="Arial" w:eastAsia="Arial" w:hAnsi="Arial"/>
                <w:sz w:val="22"/>
                <w:szCs w:val="22"/>
                <w:b w:val="1"/>
                <w:bCs w:val="1"/>
                <w:color w:val="auto"/>
              </w:rPr>
              <w:t>Percentage</w:t>
            </w:r>
          </w:p>
        </w:tc>
        <w:tc>
          <w:tcPr>
            <w:tcW w:w="580" w:type="dxa"/>
            <w:vAlign w:val="bottom"/>
            <w:tcBorders>
              <w:bottom w:val="single" w:sz="8" w:color="auto"/>
            </w:tcBorders>
            <w:shd w:val="clear" w:color="auto" w:fill="DBDBDB"/>
          </w:tcPr>
          <w:p>
            <w:pPr>
              <w:spacing w:after="0"/>
              <w:rPr>
                <w:sz w:val="24"/>
                <w:szCs w:val="24"/>
                <w:color w:val="auto"/>
              </w:rPr>
            </w:pPr>
          </w:p>
        </w:tc>
        <w:tc>
          <w:tcPr>
            <w:tcW w:w="100" w:type="dxa"/>
            <w:vAlign w:val="bottom"/>
            <w:tcBorders>
              <w:bottom w:val="single" w:sz="8" w:color="auto"/>
              <w:right w:val="single" w:sz="8" w:color="DBDBDB"/>
            </w:tcBorders>
            <w:shd w:val="clear" w:color="auto" w:fill="DBDBDB"/>
          </w:tcPr>
          <w:p>
            <w:pPr>
              <w:spacing w:after="0"/>
              <w:rPr>
                <w:sz w:val="24"/>
                <w:szCs w:val="24"/>
                <w:color w:val="auto"/>
              </w:rPr>
            </w:pPr>
          </w:p>
        </w:tc>
        <w:tc>
          <w:tcPr>
            <w:tcW w:w="1800" w:type="dxa"/>
            <w:vAlign w:val="bottom"/>
            <w:tcBorders>
              <w:bottom w:val="single" w:sz="8" w:color="auto"/>
            </w:tcBorders>
            <w:shd w:val="clear" w:color="auto" w:fill="DBDBDB"/>
          </w:tcPr>
          <w:p>
            <w:pPr>
              <w:spacing w:after="0"/>
              <w:rPr>
                <w:sz w:val="24"/>
                <w:szCs w:val="24"/>
                <w:color w:val="auto"/>
              </w:rPr>
            </w:pPr>
          </w:p>
        </w:tc>
        <w:tc>
          <w:tcPr>
            <w:tcW w:w="140" w:type="dxa"/>
            <w:vAlign w:val="bottom"/>
            <w:tcBorders>
              <w:bottom w:val="single" w:sz="8" w:color="auto"/>
            </w:tcBorders>
            <w:shd w:val="clear" w:color="auto" w:fill="DBDBDB"/>
          </w:tcPr>
          <w:p>
            <w:pPr>
              <w:spacing w:after="0"/>
              <w:rPr>
                <w:sz w:val="24"/>
                <w:szCs w:val="24"/>
                <w:color w:val="auto"/>
              </w:rPr>
            </w:pPr>
          </w:p>
        </w:tc>
        <w:tc>
          <w:tcPr>
            <w:tcW w:w="240" w:type="dxa"/>
            <w:vAlign w:val="bottom"/>
            <w:tcBorders>
              <w:bottom w:val="single" w:sz="8" w:color="auto"/>
            </w:tcBorders>
            <w:shd w:val="clear" w:color="auto" w:fill="DBDBDB"/>
          </w:tcPr>
          <w:p>
            <w:pPr>
              <w:spacing w:after="0"/>
              <w:rPr>
                <w:sz w:val="24"/>
                <w:szCs w:val="24"/>
                <w:color w:val="auto"/>
              </w:rPr>
            </w:pPr>
          </w:p>
        </w:tc>
        <w:tc>
          <w:tcPr>
            <w:tcW w:w="180" w:type="dxa"/>
            <w:vAlign w:val="bottom"/>
            <w:tcBorders>
              <w:bottom w:val="single" w:sz="8" w:color="auto"/>
              <w:right w:val="single" w:sz="8" w:color="auto"/>
            </w:tcBorders>
            <w:shd w:val="clear" w:color="auto" w:fill="DBDBDB"/>
          </w:tcPr>
          <w:p>
            <w:pPr>
              <w:spacing w:after="0"/>
              <w:rPr>
                <w:sz w:val="24"/>
                <w:szCs w:val="24"/>
                <w:color w:val="auto"/>
              </w:rPr>
            </w:pPr>
          </w:p>
        </w:tc>
      </w:tr>
      <w:tr>
        <w:trPr>
          <w:trHeight w:val="171"/>
        </w:trPr>
        <w:tc>
          <w:tcPr>
            <w:tcW w:w="2060" w:type="dxa"/>
            <w:vAlign w:val="bottom"/>
            <w:tcBorders>
              <w:left w:val="single" w:sz="8" w:color="auto"/>
              <w:right w:val="single" w:sz="8" w:color="auto"/>
            </w:tcBorders>
          </w:tcPr>
          <w:p>
            <w:pPr>
              <w:ind w:left="80"/>
              <w:spacing w:after="0" w:line="170" w:lineRule="exact"/>
              <w:rPr>
                <w:sz w:val="20"/>
                <w:szCs w:val="20"/>
                <w:color w:val="auto"/>
              </w:rPr>
            </w:pPr>
            <w:r>
              <w:rPr>
                <w:rFonts w:ascii="Arial" w:cs="Arial" w:eastAsia="Arial" w:hAnsi="Arial"/>
                <w:sz w:val="18"/>
                <w:szCs w:val="18"/>
                <w:color w:val="auto"/>
              </w:rPr>
              <w:t>Royal Bank of Canada</w:t>
            </w:r>
          </w:p>
        </w:tc>
        <w:tc>
          <w:tcPr>
            <w:tcW w:w="1640" w:type="dxa"/>
            <w:vAlign w:val="bottom"/>
            <w:tcBorders>
              <w:right w:val="single" w:sz="8" w:color="auto"/>
            </w:tcBorders>
          </w:tcPr>
          <w:p>
            <w:pPr>
              <w:jc w:val="right"/>
              <w:spacing w:after="0" w:line="170" w:lineRule="exact"/>
              <w:rPr>
                <w:sz w:val="20"/>
                <w:szCs w:val="20"/>
                <w:color w:val="auto"/>
              </w:rPr>
            </w:pPr>
            <w:r>
              <w:rPr>
                <w:rFonts w:ascii="Arial" w:cs="Arial" w:eastAsia="Arial" w:hAnsi="Arial"/>
                <w:sz w:val="18"/>
                <w:szCs w:val="18"/>
                <w:color w:val="auto"/>
              </w:rPr>
              <w:t>$166,675,000.00</w:t>
            </w:r>
          </w:p>
        </w:tc>
        <w:tc>
          <w:tcPr>
            <w:tcW w:w="1480" w:type="dxa"/>
            <w:vAlign w:val="bottom"/>
            <w:tcBorders>
              <w:right w:val="single" w:sz="8" w:color="auto"/>
            </w:tcBorders>
          </w:tcPr>
          <w:p>
            <w:pPr>
              <w:jc w:val="right"/>
              <w:ind w:right="1"/>
              <w:spacing w:after="0" w:line="170" w:lineRule="exact"/>
              <w:rPr>
                <w:sz w:val="20"/>
                <w:szCs w:val="20"/>
                <w:color w:val="auto"/>
              </w:rPr>
            </w:pPr>
            <w:r>
              <w:rPr>
                <w:rFonts w:ascii="Arial" w:cs="Arial" w:eastAsia="Arial" w:hAnsi="Arial"/>
                <w:sz w:val="18"/>
                <w:szCs w:val="18"/>
                <w:color w:val="auto"/>
              </w:rPr>
              <w:t>66.67%</w:t>
            </w:r>
          </w:p>
        </w:tc>
        <w:tc>
          <w:tcPr>
            <w:tcW w:w="1400" w:type="dxa"/>
            <w:vAlign w:val="bottom"/>
            <w:tcBorders>
              <w:right w:val="single" w:sz="8" w:color="auto"/>
            </w:tcBorders>
          </w:tcPr>
          <w:p>
            <w:pPr>
              <w:jc w:val="right"/>
              <w:ind w:right="1"/>
              <w:spacing w:after="0" w:line="170" w:lineRule="exact"/>
              <w:rPr>
                <w:sz w:val="20"/>
                <w:szCs w:val="20"/>
                <w:color w:val="auto"/>
              </w:rPr>
            </w:pPr>
            <w:r>
              <w:rPr>
                <w:rFonts w:ascii="Arial" w:cs="Arial" w:eastAsia="Arial" w:hAnsi="Arial"/>
                <w:sz w:val="18"/>
                <w:szCs w:val="18"/>
                <w:color w:val="auto"/>
              </w:rPr>
              <w:t>66.67%</w:t>
            </w:r>
          </w:p>
        </w:tc>
        <w:tc>
          <w:tcPr>
            <w:tcW w:w="1640" w:type="dxa"/>
            <w:vAlign w:val="bottom"/>
            <w:tcBorders>
              <w:right w:val="single" w:sz="8" w:color="auto"/>
            </w:tcBorders>
          </w:tcPr>
          <w:p>
            <w:pPr>
              <w:jc w:val="right"/>
              <w:spacing w:after="0" w:line="170" w:lineRule="exact"/>
              <w:rPr>
                <w:sz w:val="20"/>
                <w:szCs w:val="20"/>
                <w:color w:val="auto"/>
              </w:rPr>
            </w:pPr>
            <w:r>
              <w:rPr>
                <w:rFonts w:ascii="Arial" w:cs="Arial" w:eastAsia="Arial" w:hAnsi="Arial"/>
                <w:sz w:val="18"/>
                <w:szCs w:val="18"/>
                <w:color w:val="auto"/>
              </w:rPr>
              <w:t>66.67%</w:t>
            </w:r>
          </w:p>
        </w:tc>
        <w:tc>
          <w:tcPr>
            <w:tcW w:w="3040" w:type="dxa"/>
            <w:vAlign w:val="bottom"/>
            <w:tcBorders>
              <w:right w:val="single" w:sz="8" w:color="auto"/>
            </w:tcBorders>
            <w:gridSpan w:val="6"/>
          </w:tcPr>
          <w:p>
            <w:pPr>
              <w:ind w:left="100"/>
              <w:spacing w:after="0" w:line="170" w:lineRule="exact"/>
              <w:rPr>
                <w:sz w:val="20"/>
                <w:szCs w:val="20"/>
                <w:color w:val="auto"/>
              </w:rPr>
            </w:pPr>
            <w:r>
              <w:rPr>
                <w:rFonts w:ascii="Arial" w:cs="Arial" w:eastAsia="Arial" w:hAnsi="Arial"/>
                <w:sz w:val="18"/>
                <w:szCs w:val="18"/>
                <w:color w:val="auto"/>
              </w:rPr>
              <w:t>Royal Bank of Canada</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gridSpan w:val="6"/>
          </w:tcPr>
          <w:p>
            <w:pPr>
              <w:ind w:left="100"/>
              <w:spacing w:after="0" w:line="176" w:lineRule="exact"/>
              <w:rPr>
                <w:sz w:val="20"/>
                <w:szCs w:val="20"/>
                <w:color w:val="auto"/>
              </w:rPr>
            </w:pPr>
            <w:r>
              <w:rPr>
                <w:rFonts w:ascii="Arial" w:cs="Arial" w:eastAsia="Arial" w:hAnsi="Arial"/>
                <w:sz w:val="18"/>
                <w:szCs w:val="18"/>
                <w:color w:val="auto"/>
              </w:rPr>
              <w:t>Global Loan Administration</w:t>
            </w:r>
          </w:p>
        </w:tc>
      </w:tr>
      <w:tr>
        <w:trPr>
          <w:trHeight w:val="176"/>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gridSpan w:val="6"/>
          </w:tcPr>
          <w:p>
            <w:pPr>
              <w:ind w:left="100"/>
              <w:spacing w:after="0" w:line="176" w:lineRule="exact"/>
              <w:rPr>
                <w:sz w:val="20"/>
                <w:szCs w:val="20"/>
                <w:color w:val="auto"/>
              </w:rPr>
            </w:pPr>
            <w:r>
              <w:rPr>
                <w:rFonts w:ascii="Arial" w:cs="Arial" w:eastAsia="Arial" w:hAnsi="Arial"/>
                <w:sz w:val="18"/>
                <w:szCs w:val="18"/>
                <w:color w:val="auto"/>
              </w:rPr>
              <w:t>Three World Financial Center</w:t>
            </w:r>
          </w:p>
        </w:tc>
      </w:tr>
      <w:tr>
        <w:trPr>
          <w:trHeight w:val="176"/>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gridSpan w:val="6"/>
          </w:tcPr>
          <w:p>
            <w:pPr>
              <w:ind w:left="100"/>
              <w:spacing w:after="0" w:line="176" w:lineRule="exact"/>
              <w:rPr>
                <w:sz w:val="20"/>
                <w:szCs w:val="20"/>
                <w:color w:val="auto"/>
              </w:rPr>
            </w:pPr>
            <w:r>
              <w:rPr>
                <w:rFonts w:ascii="Arial" w:cs="Arial" w:eastAsia="Arial" w:hAnsi="Arial"/>
                <w:sz w:val="18"/>
                <w:szCs w:val="18"/>
                <w:color w:val="auto"/>
              </w:rPr>
              <w:t>200 Vesey Street</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gridSpan w:val="6"/>
          </w:tcPr>
          <w:p>
            <w:pPr>
              <w:ind w:left="100"/>
              <w:spacing w:after="0" w:line="176" w:lineRule="exact"/>
              <w:rPr>
                <w:sz w:val="20"/>
                <w:szCs w:val="20"/>
                <w:color w:val="auto"/>
              </w:rPr>
            </w:pPr>
            <w:r>
              <w:rPr>
                <w:rFonts w:ascii="Arial" w:cs="Arial" w:eastAsia="Arial" w:hAnsi="Arial"/>
                <w:sz w:val="18"/>
                <w:szCs w:val="18"/>
                <w:color w:val="auto"/>
              </w:rPr>
              <w:t>New York, NY 10281-8098</w:t>
            </w:r>
          </w:p>
        </w:tc>
      </w:tr>
      <w:tr>
        <w:trPr>
          <w:trHeight w:val="176"/>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gridSpan w:val="6"/>
          </w:tcPr>
          <w:p>
            <w:pPr>
              <w:ind w:left="100"/>
              <w:spacing w:after="0" w:line="176" w:lineRule="exact"/>
              <w:rPr>
                <w:sz w:val="20"/>
                <w:szCs w:val="20"/>
                <w:color w:val="auto"/>
              </w:rPr>
            </w:pPr>
            <w:r>
              <w:rPr>
                <w:rFonts w:ascii="Arial" w:cs="Arial" w:eastAsia="Arial" w:hAnsi="Arial"/>
                <w:sz w:val="18"/>
                <w:szCs w:val="18"/>
                <w:color w:val="auto"/>
              </w:rPr>
              <w:t>Attn: Olusola Balogun</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gridSpan w:val="6"/>
          </w:tcPr>
          <w:p>
            <w:pPr>
              <w:ind w:left="100"/>
              <w:spacing w:after="0" w:line="176" w:lineRule="exact"/>
              <w:rPr>
                <w:sz w:val="20"/>
                <w:szCs w:val="20"/>
                <w:color w:val="auto"/>
              </w:rPr>
            </w:pPr>
            <w:r>
              <w:rPr>
                <w:rFonts w:ascii="Arial" w:cs="Arial" w:eastAsia="Arial" w:hAnsi="Arial"/>
                <w:sz w:val="18"/>
                <w:szCs w:val="18"/>
                <w:color w:val="auto"/>
              </w:rPr>
              <w:t>Telephone No.: 437-226-0065</w:t>
            </w:r>
          </w:p>
        </w:tc>
      </w:tr>
      <w:tr>
        <w:trPr>
          <w:trHeight w:val="176"/>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gridSpan w:val="6"/>
          </w:tcPr>
          <w:p>
            <w:pPr>
              <w:ind w:left="100"/>
              <w:spacing w:after="0" w:line="176" w:lineRule="exact"/>
              <w:rPr>
                <w:sz w:val="20"/>
                <w:szCs w:val="20"/>
                <w:color w:val="auto"/>
              </w:rPr>
            </w:pPr>
            <w:r>
              <w:rPr>
                <w:rFonts w:ascii="Arial" w:cs="Arial" w:eastAsia="Arial" w:hAnsi="Arial"/>
                <w:sz w:val="18"/>
                <w:szCs w:val="18"/>
                <w:color w:val="auto"/>
              </w:rPr>
              <w:t>Facsimile No.: 212-428-2372</w:t>
            </w:r>
          </w:p>
        </w:tc>
      </w:tr>
      <w:tr>
        <w:trPr>
          <w:trHeight w:val="189"/>
        </w:trPr>
        <w:tc>
          <w:tcPr>
            <w:tcW w:w="206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gridSpan w:val="6"/>
          </w:tcPr>
          <w:p>
            <w:pPr>
              <w:ind w:left="100"/>
              <w:spacing w:after="0" w:line="189"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bcnewyorkgla3@rbc.com</w:t>
            </w:r>
          </w:p>
        </w:tc>
      </w:tr>
      <w:tr>
        <w:trPr>
          <w:trHeight w:val="20"/>
        </w:trPr>
        <w:tc>
          <w:tcPr>
            <w:tcW w:w="2060" w:type="dxa"/>
            <w:vAlign w:val="bottom"/>
            <w:tcBorders>
              <w:left w:val="single" w:sz="8" w:color="auto"/>
              <w:right w:val="single" w:sz="8" w:color="auto"/>
            </w:tcBorders>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r>
      <w:tr>
        <w:trPr>
          <w:trHeight w:val="142"/>
        </w:trPr>
        <w:tc>
          <w:tcPr>
            <w:tcW w:w="2060" w:type="dxa"/>
            <w:vAlign w:val="bottom"/>
            <w:tcBorders>
              <w:left w:val="single" w:sz="8" w:color="auto"/>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2480" w:type="dxa"/>
            <w:vAlign w:val="bottom"/>
            <w:gridSpan w:val="3"/>
          </w:tcPr>
          <w:p>
            <w:pPr>
              <w:ind w:left="100"/>
              <w:spacing w:after="0" w:line="142" w:lineRule="exact"/>
              <w:rPr>
                <w:sz w:val="20"/>
                <w:szCs w:val="20"/>
                <w:color w:val="auto"/>
              </w:rPr>
            </w:pPr>
            <w:r>
              <w:rPr>
                <w:rFonts w:ascii="Arial" w:cs="Arial" w:eastAsia="Arial" w:hAnsi="Arial"/>
                <w:sz w:val="16"/>
                <w:szCs w:val="16"/>
                <w:color w:val="auto"/>
              </w:rPr>
              <w:t>Attention: Roland Lewis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r>
      <w:tr>
        <w:trPr>
          <w:trHeight w:val="176"/>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gridSpan w:val="6"/>
          </w:tcPr>
          <w:p>
            <w:pPr>
              <w:ind w:left="100"/>
              <w:spacing w:after="0" w:line="176" w:lineRule="exact"/>
              <w:rPr>
                <w:sz w:val="20"/>
                <w:szCs w:val="20"/>
                <w:color w:val="auto"/>
              </w:rPr>
            </w:pPr>
            <w:r>
              <w:rPr>
                <w:rFonts w:ascii="Arial" w:cs="Arial" w:eastAsia="Arial" w:hAnsi="Arial"/>
                <w:sz w:val="18"/>
                <w:szCs w:val="18"/>
                <w:color w:val="auto"/>
              </w:rPr>
              <w:t>Email: roland.lewis@rbccm.com</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gridSpan w:val="6"/>
          </w:tcPr>
          <w:p>
            <w:pPr>
              <w:ind w:left="100"/>
              <w:spacing w:after="0" w:line="176" w:lineRule="exact"/>
              <w:rPr>
                <w:sz w:val="20"/>
                <w:szCs w:val="20"/>
                <w:color w:val="auto"/>
              </w:rPr>
            </w:pPr>
            <w:r>
              <w:rPr>
                <w:rFonts w:ascii="Arial" w:cs="Arial" w:eastAsia="Arial" w:hAnsi="Arial"/>
                <w:sz w:val="18"/>
                <w:szCs w:val="18"/>
                <w:color w:val="auto"/>
              </w:rPr>
              <w:t>Phone: +44-207-029-0533</w:t>
            </w:r>
          </w:p>
        </w:tc>
      </w:tr>
      <w:tr>
        <w:trPr>
          <w:trHeight w:val="176"/>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gridSpan w:val="6"/>
          </w:tcPr>
          <w:p>
            <w:pPr>
              <w:ind w:left="100"/>
              <w:spacing w:after="0" w:line="176" w:lineRule="exact"/>
              <w:rPr>
                <w:sz w:val="20"/>
                <w:szCs w:val="20"/>
                <w:color w:val="auto"/>
              </w:rPr>
            </w:pPr>
            <w:r>
              <w:rPr>
                <w:rFonts w:ascii="Arial" w:cs="Arial" w:eastAsia="Arial" w:hAnsi="Arial"/>
                <w:sz w:val="18"/>
                <w:szCs w:val="18"/>
                <w:color w:val="auto"/>
              </w:rPr>
              <w:t>Attention: Graeme Bath</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gridSpan w:val="6"/>
          </w:tcPr>
          <w:p>
            <w:pPr>
              <w:ind w:left="100"/>
              <w:spacing w:after="0" w:line="176" w:lineRule="exact"/>
              <w:rPr>
                <w:sz w:val="20"/>
                <w:szCs w:val="20"/>
                <w:color w:val="auto"/>
              </w:rPr>
            </w:pPr>
            <w:r>
              <w:rPr>
                <w:rFonts w:ascii="Arial" w:cs="Arial" w:eastAsia="Arial" w:hAnsi="Arial"/>
                <w:sz w:val="18"/>
                <w:szCs w:val="18"/>
                <w:color w:val="auto"/>
              </w:rPr>
              <w:t>Email:graeme.bath@rbccm.com</w:t>
            </w:r>
          </w:p>
        </w:tc>
      </w:tr>
      <w:tr>
        <w:trPr>
          <w:trHeight w:val="230"/>
        </w:trPr>
        <w:tc>
          <w:tcPr>
            <w:tcW w:w="2060" w:type="dxa"/>
            <w:vAlign w:val="bottom"/>
            <w:tcBorders>
              <w:left w:val="single" w:sz="8" w:color="auto"/>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Phone: +1 212 618 7611</w:t>
            </w:r>
          </w:p>
        </w:tc>
      </w:tr>
      <w:tr>
        <w:trPr>
          <w:trHeight w:val="364"/>
        </w:trPr>
        <w:tc>
          <w:tcPr>
            <w:tcW w:w="2060" w:type="dxa"/>
            <w:vAlign w:val="bottom"/>
            <w:tcBorders>
              <w:left w:val="single" w:sz="8" w:color="auto"/>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304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Attention: Glenn A. Van Allen</w:t>
            </w:r>
          </w:p>
        </w:tc>
      </w:tr>
      <w:tr>
        <w:trPr>
          <w:trHeight w:val="189"/>
        </w:trPr>
        <w:tc>
          <w:tcPr>
            <w:tcW w:w="206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gridSpan w:val="6"/>
          </w:tcPr>
          <w:p>
            <w:pPr>
              <w:ind w:left="60"/>
              <w:spacing w:after="0" w:line="189"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glenn.vanallen@rbccm.com</w:t>
            </w:r>
          </w:p>
        </w:tc>
      </w:tr>
      <w:tr>
        <w:trPr>
          <w:trHeight w:val="196"/>
        </w:trPr>
        <w:tc>
          <w:tcPr>
            <w:tcW w:w="206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w w:val="87"/>
              </w:rPr>
              <w:t>Phone:</w:t>
            </w:r>
          </w:p>
        </w:tc>
        <w:tc>
          <w:tcPr>
            <w:tcW w:w="2040" w:type="dxa"/>
            <w:vAlign w:val="bottom"/>
            <w:tcBorders>
              <w:top w:val="single" w:sz="8" w:color="0000FF"/>
              <w:bottom w:val="single" w:sz="8" w:color="auto"/>
            </w:tcBorders>
            <w:gridSpan w:val="3"/>
          </w:tcPr>
          <w:p>
            <w:pPr>
              <w:jc w:val="right"/>
              <w:ind w:right="780"/>
              <w:spacing w:after="0" w:line="196" w:lineRule="exact"/>
              <w:rPr>
                <w:sz w:val="20"/>
                <w:szCs w:val="20"/>
                <w:color w:val="auto"/>
              </w:rPr>
            </w:pPr>
            <w:r>
              <w:rPr>
                <w:rFonts w:ascii="Arial" w:cs="Arial" w:eastAsia="Arial" w:hAnsi="Arial"/>
                <w:sz w:val="18"/>
                <w:szCs w:val="18"/>
                <w:color w:val="auto"/>
                <w:w w:val="91"/>
              </w:rPr>
              <w:t>+1 551 235 6199</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r>
      <w:tr>
        <w:trPr>
          <w:trHeight w:val="169"/>
        </w:trPr>
        <w:tc>
          <w:tcPr>
            <w:tcW w:w="2060" w:type="dxa"/>
            <w:vAlign w:val="bottom"/>
            <w:tcBorders>
              <w:left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JPMorgan Chase Bank,</w:t>
            </w:r>
          </w:p>
        </w:tc>
        <w:tc>
          <w:tcPr>
            <w:tcW w:w="164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8"/>
                <w:szCs w:val="18"/>
                <w:color w:val="auto"/>
              </w:rPr>
              <w:t>$27,775,000.00</w:t>
            </w:r>
          </w:p>
        </w:tc>
        <w:tc>
          <w:tcPr>
            <w:tcW w:w="1480" w:type="dxa"/>
            <w:vAlign w:val="bottom"/>
            <w:tcBorders>
              <w:right w:val="single" w:sz="8" w:color="auto"/>
            </w:tcBorders>
          </w:tcPr>
          <w:p>
            <w:pPr>
              <w:jc w:val="right"/>
              <w:ind w:right="1"/>
              <w:spacing w:after="0" w:line="169" w:lineRule="exact"/>
              <w:rPr>
                <w:sz w:val="20"/>
                <w:szCs w:val="20"/>
                <w:color w:val="auto"/>
              </w:rPr>
            </w:pPr>
            <w:r>
              <w:rPr>
                <w:rFonts w:ascii="Arial" w:cs="Arial" w:eastAsia="Arial" w:hAnsi="Arial"/>
                <w:sz w:val="18"/>
                <w:szCs w:val="18"/>
                <w:color w:val="auto"/>
              </w:rPr>
              <w:t>11.11%</w:t>
            </w:r>
          </w:p>
        </w:tc>
        <w:tc>
          <w:tcPr>
            <w:tcW w:w="1400" w:type="dxa"/>
            <w:vAlign w:val="bottom"/>
            <w:tcBorders>
              <w:right w:val="single" w:sz="8" w:color="auto"/>
            </w:tcBorders>
          </w:tcPr>
          <w:p>
            <w:pPr>
              <w:jc w:val="right"/>
              <w:ind w:right="1"/>
              <w:spacing w:after="0" w:line="169" w:lineRule="exact"/>
              <w:rPr>
                <w:sz w:val="20"/>
                <w:szCs w:val="20"/>
                <w:color w:val="auto"/>
              </w:rPr>
            </w:pPr>
            <w:r>
              <w:rPr>
                <w:rFonts w:ascii="Arial" w:cs="Arial" w:eastAsia="Arial" w:hAnsi="Arial"/>
                <w:sz w:val="18"/>
                <w:szCs w:val="18"/>
                <w:color w:val="auto"/>
              </w:rPr>
              <w:t>11.11%</w:t>
            </w:r>
          </w:p>
        </w:tc>
        <w:tc>
          <w:tcPr>
            <w:tcW w:w="164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8"/>
                <w:szCs w:val="18"/>
                <w:color w:val="auto"/>
              </w:rPr>
              <w:t>11.11%</w:t>
            </w:r>
          </w:p>
        </w:tc>
        <w:tc>
          <w:tcPr>
            <w:tcW w:w="3040" w:type="dxa"/>
            <w:vAlign w:val="bottom"/>
            <w:tcBorders>
              <w:right w:val="single" w:sz="8" w:color="auto"/>
            </w:tcBorders>
            <w:gridSpan w:val="6"/>
          </w:tcPr>
          <w:p>
            <w:pPr>
              <w:ind w:left="100"/>
              <w:spacing w:after="0" w:line="169" w:lineRule="exact"/>
              <w:rPr>
                <w:sz w:val="20"/>
                <w:szCs w:val="20"/>
                <w:color w:val="auto"/>
              </w:rPr>
            </w:pPr>
            <w:r>
              <w:rPr>
                <w:rFonts w:ascii="Arial" w:cs="Arial" w:eastAsia="Arial" w:hAnsi="Arial"/>
                <w:sz w:val="18"/>
                <w:szCs w:val="18"/>
                <w:color w:val="auto"/>
              </w:rPr>
              <w:t>JPMorgan Chase Bank, National</w:t>
            </w:r>
          </w:p>
        </w:tc>
      </w:tr>
      <w:tr>
        <w:trPr>
          <w:trHeight w:val="175"/>
        </w:trPr>
        <w:tc>
          <w:tcPr>
            <w:tcW w:w="2060" w:type="dxa"/>
            <w:vAlign w:val="bottom"/>
            <w:tcBorders>
              <w:left w:val="single" w:sz="8" w:color="auto"/>
              <w:right w:val="single" w:sz="8" w:color="auto"/>
            </w:tcBorders>
          </w:tcPr>
          <w:p>
            <w:pPr>
              <w:ind w:left="80"/>
              <w:spacing w:after="0" w:line="176" w:lineRule="exact"/>
              <w:rPr>
                <w:sz w:val="20"/>
                <w:szCs w:val="20"/>
                <w:color w:val="auto"/>
              </w:rPr>
            </w:pPr>
            <w:r>
              <w:rPr>
                <w:rFonts w:ascii="Arial" w:cs="Arial" w:eastAsia="Arial" w:hAnsi="Arial"/>
                <w:sz w:val="18"/>
                <w:szCs w:val="18"/>
                <w:color w:val="auto"/>
              </w:rPr>
              <w:t>N.A.</w:t>
            </w: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gridSpan w:val="6"/>
          </w:tcPr>
          <w:p>
            <w:pPr>
              <w:ind w:left="100"/>
              <w:spacing w:after="0" w:line="176" w:lineRule="exact"/>
              <w:rPr>
                <w:sz w:val="20"/>
                <w:szCs w:val="20"/>
                <w:color w:val="auto"/>
              </w:rPr>
            </w:pPr>
            <w:r>
              <w:rPr>
                <w:rFonts w:ascii="Arial" w:cs="Arial" w:eastAsia="Arial" w:hAnsi="Arial"/>
                <w:sz w:val="18"/>
                <w:szCs w:val="18"/>
                <w:color w:val="auto"/>
              </w:rPr>
              <w:t>Association</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gridSpan w:val="6"/>
          </w:tcPr>
          <w:p>
            <w:pPr>
              <w:ind w:left="100"/>
              <w:spacing w:after="0" w:line="176" w:lineRule="exact"/>
              <w:rPr>
                <w:sz w:val="20"/>
                <w:szCs w:val="20"/>
                <w:color w:val="auto"/>
              </w:rPr>
            </w:pPr>
            <w:r>
              <w:rPr>
                <w:rFonts w:ascii="Arial" w:cs="Arial" w:eastAsia="Arial" w:hAnsi="Arial"/>
                <w:sz w:val="18"/>
                <w:szCs w:val="18"/>
                <w:color w:val="auto"/>
              </w:rPr>
              <w:t>Structured Equity Financing</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gridSpan w:val="6"/>
          </w:tcPr>
          <w:p>
            <w:pPr>
              <w:ind w:left="100"/>
              <w:spacing w:after="0" w:line="176" w:lineRule="exact"/>
              <w:rPr>
                <w:sz w:val="20"/>
                <w:szCs w:val="20"/>
                <w:color w:val="auto"/>
              </w:rPr>
            </w:pPr>
            <w:r>
              <w:rPr>
                <w:rFonts w:ascii="Arial" w:cs="Arial" w:eastAsia="Arial" w:hAnsi="Arial"/>
                <w:sz w:val="18"/>
                <w:szCs w:val="18"/>
                <w:color w:val="auto"/>
              </w:rPr>
              <w:t>Attn: Jason Shrednick</w:t>
            </w:r>
          </w:p>
        </w:tc>
      </w:tr>
      <w:tr>
        <w:trPr>
          <w:trHeight w:val="176"/>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gridSpan w:val="6"/>
          </w:tcPr>
          <w:p>
            <w:pPr>
              <w:ind w:left="100"/>
              <w:spacing w:after="0" w:line="176" w:lineRule="exact"/>
              <w:rPr>
                <w:sz w:val="20"/>
                <w:szCs w:val="20"/>
                <w:color w:val="auto"/>
              </w:rPr>
            </w:pPr>
            <w:r>
              <w:rPr>
                <w:rFonts w:ascii="Arial" w:cs="Arial" w:eastAsia="Arial" w:hAnsi="Arial"/>
                <w:sz w:val="18"/>
                <w:szCs w:val="18"/>
                <w:color w:val="auto"/>
              </w:rPr>
              <w:t>383 Madison Avenue</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gridSpan w:val="6"/>
          </w:tcPr>
          <w:p>
            <w:pPr>
              <w:ind w:left="100"/>
              <w:spacing w:after="0" w:line="176" w:lineRule="exact"/>
              <w:rPr>
                <w:sz w:val="20"/>
                <w:szCs w:val="20"/>
                <w:color w:val="auto"/>
              </w:rPr>
            </w:pPr>
            <w:r>
              <w:rPr>
                <w:rFonts w:ascii="Arial" w:cs="Arial" w:eastAsia="Arial" w:hAnsi="Arial"/>
                <w:sz w:val="18"/>
                <w:szCs w:val="18"/>
                <w:color w:val="auto"/>
              </w:rPr>
              <w:t>New York, NY 10179</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gridSpan w:val="6"/>
          </w:tcPr>
          <w:p>
            <w:pPr>
              <w:ind w:left="100"/>
              <w:spacing w:after="0" w:line="176" w:lineRule="exact"/>
              <w:rPr>
                <w:sz w:val="20"/>
                <w:szCs w:val="20"/>
                <w:color w:val="auto"/>
              </w:rPr>
            </w:pPr>
            <w:r>
              <w:rPr>
                <w:rFonts w:ascii="Arial" w:cs="Arial" w:eastAsia="Arial" w:hAnsi="Arial"/>
                <w:sz w:val="18"/>
                <w:szCs w:val="18"/>
                <w:color w:val="auto"/>
              </w:rPr>
              <w:t>Telephone Number: (212) 272-6964</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gridSpan w:val="6"/>
          </w:tcPr>
          <w:p>
            <w:pPr>
              <w:ind w:left="100"/>
              <w:spacing w:after="0" w:line="176" w:lineRule="exact"/>
              <w:rPr>
                <w:sz w:val="20"/>
                <w:szCs w:val="20"/>
                <w:color w:val="auto"/>
              </w:rPr>
            </w:pPr>
            <w:r>
              <w:rPr>
                <w:rFonts w:ascii="Arial" w:cs="Arial" w:eastAsia="Arial" w:hAnsi="Arial"/>
                <w:sz w:val="18"/>
                <w:szCs w:val="18"/>
                <w:color w:val="auto"/>
              </w:rPr>
              <w:t>Facsimile Number: (917) 849-1663</w:t>
            </w:r>
          </w:p>
        </w:tc>
      </w:tr>
      <w:tr>
        <w:trPr>
          <w:trHeight w:val="189"/>
        </w:trPr>
        <w:tc>
          <w:tcPr>
            <w:tcW w:w="206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gridSpan w:val="6"/>
          </w:tcPr>
          <w:p>
            <w:pPr>
              <w:ind w:left="100"/>
              <w:spacing w:after="0" w:line="189" w:lineRule="exact"/>
              <w:rPr>
                <w:sz w:val="20"/>
                <w:szCs w:val="20"/>
                <w:color w:val="auto"/>
              </w:rPr>
            </w:pPr>
            <w:r>
              <w:rPr>
                <w:rFonts w:ascii="Arial" w:cs="Arial" w:eastAsia="Arial" w:hAnsi="Arial"/>
                <w:sz w:val="18"/>
                <w:szCs w:val="18"/>
                <w:color w:val="auto"/>
                <w:w w:val="95"/>
              </w:rPr>
              <w:t xml:space="preserve">E-mail: </w:t>
            </w:r>
            <w:r>
              <w:rPr>
                <w:rFonts w:ascii="Arial" w:cs="Arial" w:eastAsia="Arial" w:hAnsi="Arial"/>
                <w:sz w:val="18"/>
                <w:szCs w:val="18"/>
                <w:color w:val="0000FF"/>
                <w:w w:val="95"/>
              </w:rPr>
              <w:t>SEF_MO-FO@jpmorgan.com</w:t>
            </w:r>
            <w:r>
              <w:rPr>
                <w:rFonts w:ascii="Arial" w:cs="Arial" w:eastAsia="Arial" w:hAnsi="Arial"/>
                <w:sz w:val="18"/>
                <w:szCs w:val="18"/>
                <w:color w:val="auto"/>
                <w:w w:val="95"/>
              </w:rPr>
              <w:t>;</w:t>
            </w:r>
          </w:p>
        </w:tc>
      </w:tr>
      <w:tr>
        <w:trPr>
          <w:trHeight w:val="196"/>
        </w:trPr>
        <w:tc>
          <w:tcPr>
            <w:tcW w:w="206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tcBorders>
            <w:gridSpan w:val="2"/>
          </w:tcPr>
          <w:p>
            <w:pPr>
              <w:spacing w:after="0"/>
              <w:rPr>
                <w:sz w:val="17"/>
                <w:szCs w:val="17"/>
                <w:color w:val="auto"/>
              </w:rPr>
            </w:pPr>
          </w:p>
        </w:tc>
        <w:tc>
          <w:tcPr>
            <w:tcW w:w="2180" w:type="dxa"/>
            <w:vAlign w:val="bottom"/>
            <w:tcBorders>
              <w:top w:val="single" w:sz="8" w:color="0000FF"/>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1"/>
              </w:rPr>
              <w:t>Jason.Shrednick@jpmorgan.com</w:t>
            </w:r>
          </w:p>
        </w:tc>
        <w:tc>
          <w:tcPr>
            <w:tcW w:w="180" w:type="dxa"/>
            <w:vAlign w:val="bottom"/>
            <w:tcBorders>
              <w:bottom w:val="single" w:sz="8" w:color="auto"/>
              <w:right w:val="single" w:sz="8" w:color="auto"/>
            </w:tcBorders>
          </w:tcPr>
          <w:p>
            <w:pPr>
              <w:spacing w:after="0"/>
              <w:rPr>
                <w:sz w:val="17"/>
                <w:szCs w:val="17"/>
                <w:color w:val="auto"/>
              </w:rPr>
            </w:pPr>
          </w:p>
        </w:tc>
      </w:tr>
    </w:tbl>
    <w:p>
      <w:pPr>
        <w:sectPr>
          <w:pgSz w:w="11900" w:h="16838" w:orient="portrait"/>
          <w:cols w:equalWidth="0" w:num="1">
            <w:col w:w="11260"/>
          </w:cols>
          <w:pgMar w:left="320" w:top="1440" w:right="319" w:bottom="1440" w:gutter="0" w:footer="0" w:header="0"/>
        </w:sectPr>
      </w:pPr>
    </w:p>
    <w:bookmarkStart w:id="161" w:name="page162"/>
    <w:bookmarkEnd w:id="161"/>
    <w:p>
      <w:pPr>
        <w:spacing w:after="0" w:line="200" w:lineRule="exact"/>
        <w:rPr>
          <w:sz w:val="20"/>
          <w:szCs w:val="20"/>
          <w:color w:val="auto"/>
        </w:rPr>
      </w:pP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060" w:type="dxa"/>
            <w:vAlign w:val="bottom"/>
            <w:tcBorders>
              <w:top w:val="single" w:sz="8" w:color="auto"/>
              <w:left w:val="single" w:sz="8" w:color="auto"/>
              <w:right w:val="single" w:sz="8" w:color="auto"/>
            </w:tcBorders>
          </w:tcPr>
          <w:p>
            <w:pPr>
              <w:ind w:left="80"/>
              <w:spacing w:after="0" w:line="189" w:lineRule="exact"/>
              <w:rPr>
                <w:sz w:val="20"/>
                <w:szCs w:val="20"/>
                <w:color w:val="auto"/>
              </w:rPr>
            </w:pPr>
            <w:r>
              <w:rPr>
                <w:rFonts w:ascii="Arial" w:cs="Arial" w:eastAsia="Arial" w:hAnsi="Arial"/>
                <w:sz w:val="18"/>
                <w:szCs w:val="18"/>
                <w:color w:val="auto"/>
              </w:rPr>
              <w:t>Bank of America, N.A.</w:t>
            </w:r>
          </w:p>
        </w:tc>
        <w:tc>
          <w:tcPr>
            <w:tcW w:w="1640" w:type="dxa"/>
            <w:vAlign w:val="bottom"/>
            <w:tcBorders>
              <w:top w:val="single" w:sz="8" w:color="auto"/>
              <w:right w:val="single" w:sz="8" w:color="auto"/>
            </w:tcBorders>
          </w:tcPr>
          <w:p>
            <w:pPr>
              <w:jc w:val="right"/>
              <w:spacing w:after="0" w:line="189" w:lineRule="exact"/>
              <w:rPr>
                <w:sz w:val="20"/>
                <w:szCs w:val="20"/>
                <w:color w:val="auto"/>
              </w:rPr>
            </w:pPr>
            <w:r>
              <w:rPr>
                <w:rFonts w:ascii="Arial" w:cs="Arial" w:eastAsia="Arial" w:hAnsi="Arial"/>
                <w:sz w:val="18"/>
                <w:szCs w:val="18"/>
                <w:color w:val="auto"/>
              </w:rPr>
              <w:t>$27,775,000.00</w:t>
            </w:r>
          </w:p>
        </w:tc>
        <w:tc>
          <w:tcPr>
            <w:tcW w:w="1480" w:type="dxa"/>
            <w:vAlign w:val="bottom"/>
            <w:tcBorders>
              <w:top w:val="single" w:sz="8" w:color="auto"/>
              <w:right w:val="single" w:sz="8" w:color="auto"/>
            </w:tcBorders>
          </w:tcPr>
          <w:p>
            <w:pPr>
              <w:jc w:val="right"/>
              <w:ind w:right="10"/>
              <w:spacing w:after="0" w:line="189" w:lineRule="exact"/>
              <w:rPr>
                <w:sz w:val="20"/>
                <w:szCs w:val="20"/>
                <w:color w:val="auto"/>
              </w:rPr>
            </w:pPr>
            <w:r>
              <w:rPr>
                <w:rFonts w:ascii="Arial" w:cs="Arial" w:eastAsia="Arial" w:hAnsi="Arial"/>
                <w:sz w:val="18"/>
                <w:szCs w:val="18"/>
                <w:color w:val="auto"/>
              </w:rPr>
              <w:t>11.11%</w:t>
            </w:r>
          </w:p>
        </w:tc>
        <w:tc>
          <w:tcPr>
            <w:tcW w:w="1400" w:type="dxa"/>
            <w:vAlign w:val="bottom"/>
            <w:tcBorders>
              <w:top w:val="single" w:sz="8" w:color="auto"/>
              <w:right w:val="single" w:sz="8" w:color="auto"/>
            </w:tcBorders>
          </w:tcPr>
          <w:p>
            <w:pPr>
              <w:jc w:val="right"/>
              <w:ind w:right="10"/>
              <w:spacing w:after="0" w:line="189" w:lineRule="exact"/>
              <w:rPr>
                <w:sz w:val="20"/>
                <w:szCs w:val="20"/>
                <w:color w:val="auto"/>
              </w:rPr>
            </w:pPr>
            <w:r>
              <w:rPr>
                <w:rFonts w:ascii="Arial" w:cs="Arial" w:eastAsia="Arial" w:hAnsi="Arial"/>
                <w:sz w:val="18"/>
                <w:szCs w:val="18"/>
                <w:color w:val="auto"/>
              </w:rPr>
              <w:t>11.11%</w:t>
            </w:r>
          </w:p>
        </w:tc>
        <w:tc>
          <w:tcPr>
            <w:tcW w:w="1640" w:type="dxa"/>
            <w:vAlign w:val="bottom"/>
            <w:tcBorders>
              <w:top w:val="single" w:sz="8" w:color="auto"/>
              <w:right w:val="single" w:sz="8" w:color="auto"/>
            </w:tcBorders>
          </w:tcPr>
          <w:p>
            <w:pPr>
              <w:jc w:val="right"/>
              <w:spacing w:after="0" w:line="189" w:lineRule="exact"/>
              <w:rPr>
                <w:sz w:val="20"/>
                <w:szCs w:val="20"/>
                <w:color w:val="auto"/>
              </w:rPr>
            </w:pPr>
            <w:r>
              <w:rPr>
                <w:rFonts w:ascii="Arial" w:cs="Arial" w:eastAsia="Arial" w:hAnsi="Arial"/>
                <w:sz w:val="18"/>
                <w:szCs w:val="18"/>
                <w:color w:val="auto"/>
              </w:rPr>
              <w:t>11.11%</w:t>
            </w:r>
          </w:p>
        </w:tc>
        <w:tc>
          <w:tcPr>
            <w:tcW w:w="100" w:type="dxa"/>
            <w:vAlign w:val="bottom"/>
            <w:tcBorders>
              <w:top w:val="single" w:sz="8" w:color="auto"/>
            </w:tcBorders>
          </w:tcPr>
          <w:p>
            <w:pPr>
              <w:spacing w:after="0"/>
              <w:rPr>
                <w:sz w:val="16"/>
                <w:szCs w:val="16"/>
                <w:color w:val="auto"/>
              </w:rPr>
            </w:pPr>
          </w:p>
        </w:tc>
        <w:tc>
          <w:tcPr>
            <w:tcW w:w="2940" w:type="dxa"/>
            <w:vAlign w:val="bottom"/>
            <w:tcBorders>
              <w:top w:val="single" w:sz="8" w:color="auto"/>
              <w:right w:val="single" w:sz="8" w:color="auto"/>
            </w:tcBorders>
            <w:gridSpan w:val="6"/>
          </w:tcPr>
          <w:p>
            <w:pPr>
              <w:spacing w:after="0" w:line="189" w:lineRule="exact"/>
              <w:rPr>
                <w:sz w:val="20"/>
                <w:szCs w:val="20"/>
                <w:color w:val="auto"/>
              </w:rPr>
            </w:pPr>
            <w:r>
              <w:rPr>
                <w:rFonts w:ascii="Arial" w:cs="Arial" w:eastAsia="Arial" w:hAnsi="Arial"/>
                <w:sz w:val="18"/>
                <w:szCs w:val="18"/>
                <w:color w:val="auto"/>
              </w:rPr>
              <w:t>Bank of America, N.A.</w:t>
            </w:r>
          </w:p>
        </w:tc>
      </w:tr>
      <w:tr>
        <w:trPr>
          <w:trHeight w:val="176"/>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One Bryant Park</w:t>
            </w:r>
          </w:p>
        </w:tc>
      </w:tr>
      <w:tr>
        <w:trPr>
          <w:trHeight w:val="176"/>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5th Floor</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New York, NY 10036</w:t>
            </w:r>
          </w:p>
        </w:tc>
      </w:tr>
      <w:tr>
        <w:trPr>
          <w:trHeight w:val="176"/>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Attention: Rohan Handa</w:t>
            </w:r>
          </w:p>
        </w:tc>
      </w:tr>
      <w:tr>
        <w:trPr>
          <w:trHeight w:val="189"/>
        </w:trPr>
        <w:tc>
          <w:tcPr>
            <w:tcW w:w="206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right w:val="single" w:sz="8" w:color="auto"/>
            </w:tcBorders>
            <w:gridSpan w:val="6"/>
          </w:tcPr>
          <w:p>
            <w:pPr>
              <w:spacing w:after="0" w:line="189"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rohan.handa@bofa.com</w:t>
            </w:r>
            <w:r>
              <w:rPr>
                <w:rFonts w:ascii="Arial" w:cs="Arial" w:eastAsia="Arial" w:hAnsi="Arial"/>
                <w:sz w:val="18"/>
                <w:szCs w:val="18"/>
                <w:color w:val="auto"/>
              </w:rPr>
              <w:t>;</w:t>
            </w:r>
          </w:p>
        </w:tc>
      </w:tr>
      <w:tr>
        <w:trPr>
          <w:trHeight w:val="20"/>
        </w:trPr>
        <w:tc>
          <w:tcPr>
            <w:tcW w:w="2060" w:type="dxa"/>
            <w:vAlign w:val="bottom"/>
            <w:tcBorders>
              <w:left w:val="single" w:sz="8" w:color="auto"/>
              <w:right w:val="single" w:sz="8" w:color="auto"/>
            </w:tcBorders>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r>
      <w:tr>
        <w:trPr>
          <w:trHeight w:val="155"/>
        </w:trPr>
        <w:tc>
          <w:tcPr>
            <w:tcW w:w="2060" w:type="dxa"/>
            <w:vAlign w:val="bottom"/>
            <w:tcBorders>
              <w:left w:val="single" w:sz="8" w:color="auto"/>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5"/>
          </w:tcPr>
          <w:p>
            <w:pPr>
              <w:spacing w:after="0" w:line="156" w:lineRule="exact"/>
              <w:rPr>
                <w:sz w:val="20"/>
                <w:szCs w:val="20"/>
                <w:color w:val="auto"/>
              </w:rPr>
            </w:pPr>
            <w:r>
              <w:rPr>
                <w:rFonts w:ascii="Arial" w:cs="Arial" w:eastAsia="Arial" w:hAnsi="Arial"/>
                <w:sz w:val="18"/>
                <w:szCs w:val="18"/>
                <w:color w:val="0000FF"/>
              </w:rPr>
              <w:t>ehambleton@bofa.com</w:t>
            </w:r>
            <w:r>
              <w:rPr>
                <w:rFonts w:ascii="Arial" w:cs="Arial" w:eastAsia="Arial" w:hAnsi="Arial"/>
                <w:sz w:val="18"/>
                <w:szCs w:val="18"/>
                <w:color w:val="000000"/>
              </w:rPr>
              <w:t>;</w:t>
            </w:r>
          </w:p>
        </w:tc>
        <w:tc>
          <w:tcPr>
            <w:tcW w:w="700" w:type="dxa"/>
            <w:vAlign w:val="bottom"/>
            <w:tcBorders>
              <w:right w:val="single" w:sz="8" w:color="auto"/>
            </w:tcBorders>
          </w:tcPr>
          <w:p>
            <w:pPr>
              <w:spacing w:after="0"/>
              <w:rPr>
                <w:sz w:val="13"/>
                <w:szCs w:val="13"/>
                <w:color w:val="auto"/>
              </w:rPr>
            </w:pPr>
          </w:p>
        </w:tc>
      </w:tr>
      <w:tr>
        <w:trPr>
          <w:trHeight w:val="142"/>
        </w:trPr>
        <w:tc>
          <w:tcPr>
            <w:tcW w:w="2060" w:type="dxa"/>
            <w:vAlign w:val="bottom"/>
            <w:tcBorders>
              <w:left w:val="single" w:sz="8" w:color="auto"/>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auto"/>
                <w:w w:val="85"/>
              </w:rPr>
              <w:t>michele.bianco@bofa.com;</w:t>
            </w:r>
          </w:p>
        </w:tc>
        <w:tc>
          <w:tcPr>
            <w:tcW w:w="260" w:type="dxa"/>
            <w:vAlign w:val="bottom"/>
          </w:tcPr>
          <w:p>
            <w:pPr>
              <w:spacing w:after="0"/>
              <w:rPr>
                <w:sz w:val="12"/>
                <w:szCs w:val="12"/>
                <w:color w:val="auto"/>
              </w:rPr>
            </w:pPr>
          </w:p>
        </w:tc>
        <w:tc>
          <w:tcPr>
            <w:tcW w:w="1000" w:type="dxa"/>
            <w:vAlign w:val="bottom"/>
            <w:tcBorders>
              <w:right w:val="single" w:sz="8" w:color="auto"/>
            </w:tcBorders>
            <w:gridSpan w:val="2"/>
          </w:tcPr>
          <w:p>
            <w:pPr>
              <w:spacing w:after="0"/>
              <w:rPr>
                <w:sz w:val="12"/>
                <w:szCs w:val="12"/>
                <w:color w:val="auto"/>
              </w:rPr>
            </w:pPr>
          </w:p>
        </w:tc>
      </w:tr>
      <w:tr>
        <w:trPr>
          <w:trHeight w:val="189"/>
        </w:trPr>
        <w:tc>
          <w:tcPr>
            <w:tcW w:w="206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right w:val="single" w:sz="8" w:color="auto"/>
            </w:tcBorders>
            <w:gridSpan w:val="6"/>
          </w:tcPr>
          <w:p>
            <w:pPr>
              <w:spacing w:after="0" w:line="189" w:lineRule="exact"/>
              <w:rPr>
                <w:sz w:val="20"/>
                <w:szCs w:val="20"/>
                <w:color w:val="auto"/>
              </w:rPr>
            </w:pPr>
            <w:r>
              <w:rPr>
                <w:rFonts w:ascii="Arial" w:cs="Arial" w:eastAsia="Arial" w:hAnsi="Arial"/>
                <w:sz w:val="18"/>
                <w:szCs w:val="18"/>
                <w:color w:val="0000FF"/>
              </w:rPr>
              <w:t>zaid.khan@bofa.com</w:t>
            </w:r>
            <w:r>
              <w:rPr>
                <w:rFonts w:ascii="Arial" w:cs="Arial" w:eastAsia="Arial" w:hAnsi="Arial"/>
                <w:sz w:val="18"/>
                <w:szCs w:val="18"/>
                <w:color w:val="000000"/>
              </w:rPr>
              <w:t>;</w:t>
            </w:r>
          </w:p>
        </w:tc>
      </w:tr>
      <w:tr>
        <w:trPr>
          <w:trHeight w:val="156"/>
        </w:trPr>
        <w:tc>
          <w:tcPr>
            <w:tcW w:w="2060" w:type="dxa"/>
            <w:vAlign w:val="bottom"/>
            <w:tcBorders>
              <w:left w:val="single" w:sz="8" w:color="auto"/>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Borders>
              <w:top w:val="single" w:sz="8" w:color="0000FF"/>
            </w:tcBorders>
            <w:gridSpan w:val="2"/>
          </w:tcPr>
          <w:p>
            <w:pPr>
              <w:spacing w:after="0" w:line="155" w:lineRule="exact"/>
              <w:rPr>
                <w:sz w:val="20"/>
                <w:szCs w:val="20"/>
                <w:color w:val="auto"/>
              </w:rPr>
            </w:pPr>
            <w:r>
              <w:rPr>
                <w:rFonts w:ascii="Arial" w:cs="Arial" w:eastAsia="Arial" w:hAnsi="Arial"/>
                <w:sz w:val="17"/>
                <w:szCs w:val="17"/>
                <w:color w:val="0000FF"/>
                <w:w w:val="73"/>
              </w:rPr>
              <w:t>aurelien.bonnet@bofa.com</w:t>
            </w:r>
          </w:p>
        </w:tc>
        <w:tc>
          <w:tcPr>
            <w:tcW w:w="1420" w:type="dxa"/>
            <w:vAlign w:val="bottom"/>
            <w:tcBorders>
              <w:right w:val="single" w:sz="8" w:color="auto"/>
            </w:tcBorders>
            <w:gridSpan w:val="4"/>
          </w:tcPr>
          <w:p>
            <w:pPr>
              <w:jc w:val="right"/>
              <w:ind w:right="940"/>
              <w:spacing w:after="0" w:line="156" w:lineRule="exact"/>
              <w:rPr>
                <w:sz w:val="20"/>
                <w:szCs w:val="20"/>
                <w:color w:val="auto"/>
              </w:rPr>
            </w:pPr>
            <w:r>
              <w:rPr>
                <w:rFonts w:ascii="Arial" w:cs="Arial" w:eastAsia="Arial" w:hAnsi="Arial"/>
                <w:sz w:val="18"/>
                <w:szCs w:val="18"/>
                <w:color w:val="auto"/>
              </w:rPr>
              <w:t>;</w:t>
            </w:r>
          </w:p>
        </w:tc>
      </w:tr>
      <w:tr>
        <w:trPr>
          <w:trHeight w:val="142"/>
        </w:trPr>
        <w:tc>
          <w:tcPr>
            <w:tcW w:w="2060" w:type="dxa"/>
            <w:vAlign w:val="bottom"/>
            <w:tcBorders>
              <w:left w:val="single" w:sz="8" w:color="auto"/>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auto"/>
                <w:w w:val="98"/>
              </w:rPr>
              <w:t>trevor.randolph@bofa.com;</w:t>
            </w:r>
          </w:p>
        </w:tc>
        <w:tc>
          <w:tcPr>
            <w:tcW w:w="1000" w:type="dxa"/>
            <w:vAlign w:val="bottom"/>
            <w:tcBorders>
              <w:right w:val="single" w:sz="8" w:color="auto"/>
            </w:tcBorders>
            <w:gridSpan w:val="2"/>
          </w:tcPr>
          <w:p>
            <w:pPr>
              <w:spacing w:after="0"/>
              <w:rPr>
                <w:sz w:val="12"/>
                <w:szCs w:val="12"/>
                <w:color w:val="auto"/>
              </w:rPr>
            </w:pPr>
          </w:p>
        </w:tc>
      </w:tr>
      <w:tr>
        <w:trPr>
          <w:trHeight w:val="230"/>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8"/>
                <w:szCs w:val="18"/>
                <w:color w:val="auto"/>
              </w:rPr>
              <w:t>shiv.vasisht@bofa.com</w:t>
            </w:r>
          </w:p>
        </w:tc>
      </w:tr>
      <w:tr>
        <w:trPr>
          <w:trHeight w:val="169"/>
        </w:trPr>
        <w:tc>
          <w:tcPr>
            <w:tcW w:w="2060" w:type="dxa"/>
            <w:vAlign w:val="bottom"/>
            <w:tcBorders>
              <w:left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Credit Suisse AG,</w:t>
            </w:r>
          </w:p>
        </w:tc>
        <w:tc>
          <w:tcPr>
            <w:tcW w:w="164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8"/>
                <w:szCs w:val="18"/>
                <w:color w:val="auto"/>
              </w:rPr>
              <w:t>$27,775,000.00</w:t>
            </w:r>
          </w:p>
        </w:tc>
        <w:tc>
          <w:tcPr>
            <w:tcW w:w="1480" w:type="dxa"/>
            <w:vAlign w:val="bottom"/>
            <w:tcBorders>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11.11%</w:t>
            </w:r>
          </w:p>
        </w:tc>
        <w:tc>
          <w:tcPr>
            <w:tcW w:w="1400" w:type="dxa"/>
            <w:vAlign w:val="bottom"/>
            <w:tcBorders>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11.11%</w:t>
            </w:r>
          </w:p>
        </w:tc>
        <w:tc>
          <w:tcPr>
            <w:tcW w:w="164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8"/>
                <w:szCs w:val="18"/>
                <w:color w:val="auto"/>
              </w:rPr>
              <w:t>11.11%</w:t>
            </w:r>
          </w:p>
        </w:tc>
        <w:tc>
          <w:tcPr>
            <w:tcW w:w="100" w:type="dxa"/>
            <w:vAlign w:val="bottom"/>
          </w:tcPr>
          <w:p>
            <w:pPr>
              <w:spacing w:after="0"/>
              <w:rPr>
                <w:sz w:val="14"/>
                <w:szCs w:val="14"/>
                <w:color w:val="auto"/>
              </w:rPr>
            </w:pPr>
          </w:p>
        </w:tc>
        <w:tc>
          <w:tcPr>
            <w:tcW w:w="2940" w:type="dxa"/>
            <w:vAlign w:val="bottom"/>
            <w:tcBorders>
              <w:right w:val="single" w:sz="8" w:color="auto"/>
            </w:tcBorders>
            <w:gridSpan w:val="6"/>
          </w:tcPr>
          <w:p>
            <w:pPr>
              <w:spacing w:after="0" w:line="169" w:lineRule="exact"/>
              <w:rPr>
                <w:sz w:val="20"/>
                <w:szCs w:val="20"/>
                <w:color w:val="auto"/>
              </w:rPr>
            </w:pPr>
            <w:r>
              <w:rPr>
                <w:rFonts w:ascii="Arial" w:cs="Arial" w:eastAsia="Arial" w:hAnsi="Arial"/>
                <w:sz w:val="18"/>
                <w:szCs w:val="18"/>
                <w:color w:val="auto"/>
              </w:rPr>
              <w:t>Credit Suisse AG, Cayman Islands</w:t>
            </w:r>
          </w:p>
        </w:tc>
      </w:tr>
      <w:tr>
        <w:trPr>
          <w:trHeight w:val="176"/>
        </w:trPr>
        <w:tc>
          <w:tcPr>
            <w:tcW w:w="2060" w:type="dxa"/>
            <w:vAlign w:val="bottom"/>
            <w:tcBorders>
              <w:left w:val="single" w:sz="8" w:color="auto"/>
              <w:right w:val="single" w:sz="8" w:color="auto"/>
            </w:tcBorders>
          </w:tcPr>
          <w:p>
            <w:pPr>
              <w:ind w:left="80"/>
              <w:spacing w:after="0" w:line="176" w:lineRule="exact"/>
              <w:rPr>
                <w:sz w:val="20"/>
                <w:szCs w:val="20"/>
                <w:color w:val="auto"/>
              </w:rPr>
            </w:pPr>
            <w:r>
              <w:rPr>
                <w:rFonts w:ascii="Arial" w:cs="Arial" w:eastAsia="Arial" w:hAnsi="Arial"/>
                <w:sz w:val="18"/>
                <w:szCs w:val="18"/>
                <w:color w:val="auto"/>
              </w:rPr>
              <w:t>Cayman Islands Branch</w:t>
            </w: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Branch</w:t>
            </w:r>
          </w:p>
        </w:tc>
      </w:tr>
      <w:tr>
        <w:trPr>
          <w:trHeight w:val="176"/>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c/o Credit Suisse Securities (USA)</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LLC</w:t>
            </w:r>
          </w:p>
        </w:tc>
      </w:tr>
      <w:tr>
        <w:trPr>
          <w:trHeight w:val="176"/>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11 Madison Avenue, 5th Floor</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New York, NY 10010</w:t>
            </w:r>
          </w:p>
        </w:tc>
      </w:tr>
      <w:tr>
        <w:trPr>
          <w:trHeight w:val="176"/>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Attn: William Brett</w:t>
            </w:r>
          </w:p>
        </w:tc>
      </w:tr>
      <w:tr>
        <w:trPr>
          <w:trHeight w:val="176"/>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Telephone: +1 212 325 0676</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Facsimile: +1 212 743 3644</w:t>
            </w:r>
          </w:p>
        </w:tc>
      </w:tr>
      <w:tr>
        <w:trPr>
          <w:trHeight w:val="176"/>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Email: list.elo-equ-der@credit-</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suisse.com; ib-opslp-</w:t>
            </w:r>
          </w:p>
        </w:tc>
      </w:tr>
      <w:tr>
        <w:trPr>
          <w:trHeight w:val="230"/>
        </w:trPr>
        <w:tc>
          <w:tcPr>
            <w:tcW w:w="2060" w:type="dxa"/>
            <w:vAlign w:val="bottom"/>
            <w:tcBorders>
              <w:left w:val="single" w:sz="8" w:color="auto"/>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ral@excham.csfb.com</w:t>
            </w:r>
          </w:p>
        </w:tc>
      </w:tr>
      <w:tr>
        <w:trPr>
          <w:trHeight w:val="364"/>
        </w:trPr>
        <w:tc>
          <w:tcPr>
            <w:tcW w:w="2060" w:type="dxa"/>
            <w:vAlign w:val="bottom"/>
            <w:tcBorders>
              <w:left w:val="single" w:sz="8" w:color="auto"/>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With a copy to:</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Credit Suisse Securities (USA) LLC</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11 Madison Avenue, 11th Floor</w:t>
            </w:r>
          </w:p>
        </w:tc>
      </w:tr>
      <w:tr>
        <w:trPr>
          <w:trHeight w:val="176"/>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New York, New York 10010</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Attn: Senior Legal Officer</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Telephone: +1 212 325 8595</w:t>
            </w:r>
          </w:p>
        </w:tc>
      </w:tr>
      <w:tr>
        <w:trPr>
          <w:trHeight w:val="175"/>
        </w:trPr>
        <w:tc>
          <w:tcPr>
            <w:tcW w:w="20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Email: list.otceqderivlegal@credit-</w:t>
            </w:r>
          </w:p>
        </w:tc>
      </w:tr>
      <w:tr>
        <w:trPr>
          <w:trHeight w:val="230"/>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8"/>
                <w:szCs w:val="18"/>
                <w:color w:val="auto"/>
              </w:rPr>
              <w:t>suisse.com</w:t>
            </w:r>
          </w:p>
        </w:tc>
      </w:tr>
    </w:tbl>
    <w:p>
      <w:pPr>
        <w:sectPr>
          <w:pgSz w:w="11900" w:h="16838" w:orient="portrait"/>
          <w:cols w:equalWidth="0" w:num="1">
            <w:col w:w="11260"/>
          </w:cols>
          <w:pgMar w:left="320" w:top="1440" w:right="319" w:bottom="1440" w:gutter="0" w:footer="0" w:header="0"/>
        </w:sectPr>
      </w:pPr>
    </w:p>
    <w:bookmarkStart w:id="162" w:name="page163"/>
    <w:bookmarkEnd w:id="162"/>
    <w:p>
      <w:pPr>
        <w:jc w:val="right"/>
        <w:spacing w:after="0"/>
        <w:rPr>
          <w:sz w:val="20"/>
          <w:szCs w:val="20"/>
          <w:color w:val="auto"/>
        </w:rPr>
      </w:pPr>
      <w:r>
        <w:rPr>
          <w:rFonts w:ascii="Arial" w:cs="Arial" w:eastAsia="Arial" w:hAnsi="Arial"/>
          <w:sz w:val="22"/>
          <w:szCs w:val="22"/>
          <w:b w:val="1"/>
          <w:bCs w:val="1"/>
          <w:color w:val="auto"/>
        </w:rPr>
        <w:t>Exhibit 10.3</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Strictly Private &amp; Confidential</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June 9, 2022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Mr. Textor:</w:t>
      </w:r>
    </w:p>
    <w:p>
      <w:pPr>
        <w:spacing w:after="0" w:line="218" w:lineRule="exact"/>
        <w:rPr>
          <w:sz w:val="20"/>
          <w:szCs w:val="20"/>
          <w:color w:val="auto"/>
        </w:rPr>
      </w:pPr>
    </w:p>
    <w:p>
      <w:pPr>
        <w:spacing w:after="0" w:line="235" w:lineRule="auto"/>
        <w:rPr>
          <w:sz w:val="20"/>
          <w:szCs w:val="20"/>
          <w:color w:val="auto"/>
        </w:rPr>
      </w:pPr>
      <w:r>
        <w:rPr>
          <w:rFonts w:ascii="Arial" w:cs="Arial" w:eastAsia="Arial" w:hAnsi="Arial"/>
          <w:sz w:val="20"/>
          <w:szCs w:val="20"/>
          <w:color w:val="auto"/>
        </w:rPr>
        <w:t xml:space="preserve">You have advised us on your potential acquisition of interests owned by IDG Capital and Pathé SAS (collectively, the </w:t>
      </w:r>
      <w:r>
        <w:rPr>
          <w:rFonts w:ascii="Arial" w:cs="Arial" w:eastAsia="Arial" w:hAnsi="Arial"/>
          <w:sz w:val="21"/>
          <w:szCs w:val="21"/>
          <w:b w:val="1"/>
          <w:bCs w:val="1"/>
          <w:color w:val="auto"/>
        </w:rPr>
        <w:t>“Lyon Selling</w:t>
      </w:r>
      <w:r>
        <w:rPr>
          <w:rFonts w:ascii="Arial" w:cs="Arial" w:eastAsia="Arial" w:hAnsi="Arial"/>
          <w:sz w:val="20"/>
          <w:szCs w:val="20"/>
          <w:color w:val="auto"/>
        </w:rPr>
        <w:t xml:space="preserve"> </w:t>
      </w:r>
      <w:r>
        <w:rPr>
          <w:rFonts w:ascii="Arial" w:cs="Arial" w:eastAsia="Arial" w:hAnsi="Arial"/>
          <w:sz w:val="21"/>
          <w:szCs w:val="21"/>
          <w:b w:val="1"/>
          <w:bCs w:val="1"/>
          <w:color w:val="auto"/>
        </w:rPr>
        <w:t>Shareholders”</w:t>
      </w:r>
      <w:r>
        <w:rPr>
          <w:rFonts w:ascii="Arial" w:cs="Arial" w:eastAsia="Arial" w:hAnsi="Arial"/>
          <w:sz w:val="19"/>
          <w:szCs w:val="19"/>
          <w:color w:val="auto"/>
        </w:rPr>
        <w:t>) in Olympique Lyonnais Groupe SA (</w:t>
      </w:r>
      <w:r>
        <w:rPr>
          <w:rFonts w:ascii="Arial" w:cs="Arial" w:eastAsia="Arial" w:hAnsi="Arial"/>
          <w:sz w:val="21"/>
          <w:szCs w:val="21"/>
          <w:b w:val="1"/>
          <w:bCs w:val="1"/>
          <w:color w:val="auto"/>
        </w:rPr>
        <w:t>“Lyon”</w:t>
      </w:r>
      <w:r>
        <w:rPr>
          <w:rFonts w:ascii="Arial" w:cs="Arial" w:eastAsia="Arial" w:hAnsi="Arial"/>
          <w:sz w:val="19"/>
          <w:szCs w:val="19"/>
          <w:color w:val="auto"/>
        </w:rPr>
        <w:t>) (</w:t>
      </w:r>
      <w:r>
        <w:rPr>
          <w:rFonts w:ascii="Arial" w:cs="Arial" w:eastAsia="Arial" w:hAnsi="Arial"/>
          <w:sz w:val="21"/>
          <w:szCs w:val="21"/>
          <w:b w:val="1"/>
          <w:bCs w:val="1"/>
          <w:color w:val="auto"/>
        </w:rPr>
        <w:t>“the Transaction”</w:t>
      </w:r>
      <w:r>
        <w:rPr>
          <w:rFonts w:ascii="Arial" w:cs="Arial" w:eastAsia="Arial" w:hAnsi="Arial"/>
          <w:sz w:val="19"/>
          <w:szCs w:val="19"/>
          <w:color w:val="auto"/>
        </w:rPr>
        <w:t>). In support of the Transaction, Cannae Holdings, Inc.</w:t>
      </w:r>
      <w:r>
        <w:rPr>
          <w:rFonts w:ascii="Arial" w:cs="Arial" w:eastAsia="Arial" w:hAnsi="Arial"/>
          <w:sz w:val="21"/>
          <w:szCs w:val="21"/>
          <w:b w:val="1"/>
          <w:bCs w:val="1"/>
          <w:color w:val="auto"/>
        </w:rPr>
        <w:t xml:space="preserve"> </w:t>
      </w:r>
      <w:r>
        <w:rPr>
          <w:rFonts w:ascii="Arial" w:cs="Arial" w:eastAsia="Arial" w:hAnsi="Arial"/>
          <w:sz w:val="19"/>
          <w:szCs w:val="19"/>
          <w:color w:val="auto"/>
        </w:rPr>
        <w:t>(</w:t>
      </w:r>
      <w:r>
        <w:rPr>
          <w:rFonts w:ascii="Arial" w:cs="Arial" w:eastAsia="Arial" w:hAnsi="Arial"/>
          <w:sz w:val="21"/>
          <w:szCs w:val="21"/>
          <w:b w:val="1"/>
          <w:bCs w:val="1"/>
          <w:color w:val="auto"/>
        </w:rPr>
        <w:t>“Cannae”</w:t>
      </w:r>
      <w:r>
        <w:rPr>
          <w:rFonts w:ascii="Arial" w:cs="Arial" w:eastAsia="Arial" w:hAnsi="Arial"/>
          <w:sz w:val="19"/>
          <w:szCs w:val="19"/>
          <w:color w:val="auto"/>
        </w:rPr>
        <w:t>) is providing this binding commitment letter to provide up to a €523 million Credit Facility to John Textor (</w:t>
      </w:r>
      <w:r>
        <w:rPr>
          <w:rFonts w:ascii="Arial" w:cs="Arial" w:eastAsia="Arial" w:hAnsi="Arial"/>
          <w:sz w:val="21"/>
          <w:szCs w:val="21"/>
          <w:b w:val="1"/>
          <w:bCs w:val="1"/>
          <w:color w:val="auto"/>
        </w:rPr>
        <w:t>“Textor”</w:t>
      </w:r>
      <w:r>
        <w:rPr>
          <w:rFonts w:ascii="Arial" w:cs="Arial" w:eastAsia="Arial" w:hAnsi="Arial"/>
          <w:sz w:val="19"/>
          <w:szCs w:val="19"/>
          <w:color w:val="auto"/>
        </w:rPr>
        <w:t>) with summary terms and key conditions to funding set forth below:</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Summary Terms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Borrower</w:t>
      </w:r>
      <w:r>
        <w:rPr>
          <w:rFonts w:ascii="Arial" w:cs="Arial" w:eastAsia="Arial" w:hAnsi="Arial"/>
          <w:sz w:val="22"/>
          <w:szCs w:val="22"/>
          <w:color w:val="auto"/>
        </w:rPr>
        <w:t>: John Textor or his assignee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Lender</w:t>
      </w:r>
      <w:r>
        <w:rPr>
          <w:rFonts w:ascii="Arial" w:cs="Arial" w:eastAsia="Arial" w:hAnsi="Arial"/>
          <w:sz w:val="22"/>
          <w:szCs w:val="22"/>
          <w:color w:val="auto"/>
        </w:rPr>
        <w:t>: Cannae Holdings, Inc. or a subsidiary thereof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Size of Commitment</w:t>
      </w:r>
      <w:r>
        <w:rPr>
          <w:rFonts w:ascii="Arial" w:cs="Arial" w:eastAsia="Arial" w:hAnsi="Arial"/>
          <w:sz w:val="22"/>
          <w:szCs w:val="22"/>
          <w:color w:val="auto"/>
        </w:rPr>
        <w:t>: Up to €523 million</w:t>
      </w:r>
    </w:p>
    <w:p>
      <w:pPr>
        <w:spacing w:after="0" w:line="233"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u w:val="single" w:color="auto"/>
          <w:color w:val="auto"/>
        </w:rPr>
        <w:t>Use of Proceeds</w:t>
      </w:r>
      <w:r>
        <w:rPr>
          <w:rFonts w:ascii="Arial" w:cs="Arial" w:eastAsia="Arial" w:hAnsi="Arial"/>
          <w:sz w:val="19"/>
          <w:szCs w:val="19"/>
          <w:color w:val="auto"/>
        </w:rPr>
        <w:t xml:space="preserve"> : Capital to acquire interests in Lyon owned by the Lyon Selling Shareholders as well as tender for Lyon’s free float, fund up to €80 million of equity financing and potentially acquire interests in Lyon owned by Holnest / the Aulus Family</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Interest Rate</w:t>
      </w:r>
      <w:r>
        <w:rPr>
          <w:rFonts w:ascii="Arial" w:cs="Arial" w:eastAsia="Arial" w:hAnsi="Arial"/>
          <w:sz w:val="22"/>
          <w:szCs w:val="22"/>
          <w:color w:val="auto"/>
        </w:rPr>
        <w:t>: 8% per annum payable at maturity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Maturity</w:t>
      </w:r>
      <w:r>
        <w:rPr>
          <w:rFonts w:ascii="Arial" w:cs="Arial" w:eastAsia="Arial" w:hAnsi="Arial"/>
          <w:sz w:val="22"/>
          <w:szCs w:val="22"/>
          <w:color w:val="auto"/>
        </w:rPr>
        <w:t>: 1 year from closing</w:t>
      </w:r>
    </w:p>
    <w:p>
      <w:pPr>
        <w:spacing w:after="0" w:line="233"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u w:val="single" w:color="auto"/>
          <w:color w:val="auto"/>
        </w:rPr>
        <w:t>Collateral</w:t>
      </w:r>
      <w:r>
        <w:rPr>
          <w:rFonts w:ascii="Arial" w:cs="Arial" w:eastAsia="Arial" w:hAnsi="Arial"/>
          <w:sz w:val="22"/>
          <w:szCs w:val="22"/>
          <w:color w:val="auto"/>
        </w:rPr>
        <w:t>: Mr. Textor’s existing 40% interest in Crystal Palace, as well as all equity interests of Lyon acquired as a result of the Transaction</w:t>
      </w:r>
    </w:p>
    <w:p>
      <w:pPr>
        <w:spacing w:after="0" w:line="202"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u w:val="single" w:color="auto"/>
          <w:color w:val="auto"/>
        </w:rPr>
        <w:t>Guarantee</w:t>
      </w:r>
      <w:r>
        <w:rPr>
          <w:rFonts w:ascii="Arial" w:cs="Arial" w:eastAsia="Arial" w:hAnsi="Arial"/>
          <w:sz w:val="22"/>
          <w:szCs w:val="22"/>
          <w:color w:val="auto"/>
        </w:rPr>
        <w:t>: Personal guarantee from Mr. Textor as well as entities holding Mr. Textor’s equity interests in Crystal Palace and Lyon</w:t>
      </w:r>
    </w:p>
    <w:p>
      <w:pPr>
        <w:spacing w:after="0" w:line="202" w:lineRule="exact"/>
        <w:rPr>
          <w:sz w:val="20"/>
          <w:szCs w:val="20"/>
          <w:color w:val="auto"/>
        </w:rPr>
      </w:pPr>
    </w:p>
    <w:p>
      <w:pPr>
        <w:ind w:right="560"/>
        <w:spacing w:after="0" w:line="297" w:lineRule="auto"/>
        <w:rPr>
          <w:sz w:val="20"/>
          <w:szCs w:val="20"/>
          <w:color w:val="auto"/>
        </w:rPr>
      </w:pPr>
      <w:r>
        <w:rPr>
          <w:rFonts w:ascii="Arial" w:cs="Arial" w:eastAsia="Arial" w:hAnsi="Arial"/>
          <w:sz w:val="19"/>
          <w:szCs w:val="19"/>
          <w:u w:val="single" w:color="auto"/>
          <w:color w:val="auto"/>
        </w:rPr>
        <w:t>Negative Covenants</w:t>
      </w:r>
      <w:r>
        <w:rPr>
          <w:rFonts w:ascii="Arial" w:cs="Arial" w:eastAsia="Arial" w:hAnsi="Arial"/>
          <w:sz w:val="19"/>
          <w:szCs w:val="19"/>
          <w:color w:val="auto"/>
        </w:rPr>
        <w:t>: After the Transaction has closed, no ability for Lyon and Crystal Palace to pay dividends / restricted payments to equity holders (subject to Cannae approval) or if Textor does not control Lyon or Crystal Palace, then any such dividends or restricted payments will be used to pay interest and then principal under the note.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Repayment Terms</w:t>
      </w:r>
      <w:r>
        <w:rPr>
          <w:rFonts w:ascii="Arial" w:cs="Arial" w:eastAsia="Arial" w:hAnsi="Arial"/>
          <w:sz w:val="22"/>
          <w:szCs w:val="22"/>
          <w:color w:val="auto"/>
        </w:rPr>
        <w:t>: 100% of loan due one year from closing</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Fees</w:t>
      </w:r>
      <w:r>
        <w:rPr>
          <w:rFonts w:ascii="Arial" w:cs="Arial" w:eastAsia="Arial" w:hAnsi="Arial"/>
          <w:sz w:val="22"/>
          <w:szCs w:val="22"/>
          <w:color w:val="auto"/>
        </w:rPr>
        <w:t>: Cannae agrees to waive all fees other than Transaction related fees and expenses incurred</w:t>
      </w:r>
    </w:p>
    <w:p>
      <w:pPr>
        <w:spacing w:after="0" w:line="233"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We look forward to working to complete the debt Commitment and Transaction. This letter supersedes and replaces that certain letter to you dated May 22, 2022.</w:t>
      </w:r>
    </w:p>
    <w:p>
      <w:pPr>
        <w:sectPr>
          <w:pgSz w:w="11900" w:h="16838" w:orient="portrait"/>
          <w:cols w:equalWidth="0" w:num="1">
            <w:col w:w="11240"/>
          </w:cols>
          <w:pgMar w:left="320" w:top="1408" w:right="339"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 William P. Foley</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365F91"/>
        </w:rPr>
        <w:t>…………………………….……………………………</w:t>
      </w:r>
    </w:p>
    <w:p>
      <w:pPr>
        <w:spacing w:after="0" w:line="217" w:lineRule="auto"/>
        <w:rPr>
          <w:sz w:val="20"/>
          <w:szCs w:val="20"/>
          <w:color w:val="auto"/>
        </w:rPr>
      </w:pPr>
      <w:r>
        <w:rPr>
          <w:rFonts w:ascii="Arial" w:cs="Arial" w:eastAsia="Arial" w:hAnsi="Arial"/>
          <w:sz w:val="22"/>
          <w:szCs w:val="22"/>
          <w:color w:val="auto"/>
        </w:rPr>
        <w:t>William P. Foley, II</w:t>
      </w:r>
    </w:p>
    <w:p>
      <w:pPr>
        <w:spacing w:after="0" w:line="218" w:lineRule="auto"/>
        <w:rPr>
          <w:sz w:val="20"/>
          <w:szCs w:val="20"/>
          <w:color w:val="auto"/>
        </w:rPr>
      </w:pPr>
      <w:r>
        <w:rPr>
          <w:rFonts w:ascii="Arial" w:cs="Arial" w:eastAsia="Arial" w:hAnsi="Arial"/>
          <w:sz w:val="22"/>
          <w:szCs w:val="22"/>
          <w:color w:val="auto"/>
        </w:rPr>
        <w:t>Chairman</w:t>
      </w:r>
    </w:p>
    <w:p>
      <w:pPr>
        <w:spacing w:after="0"/>
        <w:rPr>
          <w:sz w:val="20"/>
          <w:szCs w:val="20"/>
          <w:color w:val="auto"/>
        </w:rPr>
      </w:pPr>
      <w:r>
        <w:rPr>
          <w:rFonts w:ascii="Arial" w:cs="Arial" w:eastAsia="Arial" w:hAnsi="Arial"/>
          <w:sz w:val="22"/>
          <w:szCs w:val="22"/>
          <w:color w:val="auto"/>
        </w:rPr>
        <w:t>Cannae Holdings,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 John Textor</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365F91"/>
        </w:rPr>
        <w:t>…………………………….……………………………</w:t>
      </w:r>
    </w:p>
    <w:p>
      <w:pPr>
        <w:spacing w:after="0" w:line="217" w:lineRule="auto"/>
        <w:rPr>
          <w:sz w:val="20"/>
          <w:szCs w:val="20"/>
          <w:color w:val="auto"/>
        </w:rPr>
      </w:pPr>
      <w:r>
        <w:rPr>
          <w:rFonts w:ascii="Arial" w:cs="Arial" w:eastAsia="Arial" w:hAnsi="Arial"/>
          <w:sz w:val="22"/>
          <w:szCs w:val="22"/>
          <w:color w:val="auto"/>
        </w:rPr>
        <w:t>John Textor</w:t>
      </w:r>
    </w:p>
    <w:p>
      <w:pPr>
        <w:spacing w:after="0" w:line="218" w:lineRule="auto"/>
        <w:rPr>
          <w:sz w:val="20"/>
          <w:szCs w:val="20"/>
          <w:color w:val="auto"/>
        </w:rPr>
      </w:pPr>
      <w:r>
        <w:rPr>
          <w:rFonts w:ascii="Arial" w:cs="Arial" w:eastAsia="Arial" w:hAnsi="Arial"/>
          <w:sz w:val="22"/>
          <w:szCs w:val="22"/>
          <w:color w:val="auto"/>
        </w:rPr>
        <w:t>Title: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ectPr>
          <w:pgSz w:w="11900" w:h="16838" w:orient="portrait"/>
          <w:cols w:equalWidth="0" w:num="1">
            <w:col w:w="10139"/>
          </w:cols>
          <w:pgMar w:left="320" w:top="1440" w:right="1440"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18.1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August 8,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Cannae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1701 Village Center Circle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89134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Sirs/Madams:</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your request, we have read the description included in the Cannae Holdings, Inc. (the “Company”) Quarterly Report on Form 10-Q to the Securities and Exchange Commission for the quarter ended June 30, 2022, of the facts relating to the elimination of the three-month reporting lag for the Company’s equity method investment and proportionate share of earnings and losses in Alight, Inc. We believe, on the basis of the facts so set forth and other information furnished to us by appropriate officials of the Company, that the accounting change described in the Form 10-Q is to an alternative accounting principle that is preferable under the circumstances.</w:t>
      </w:r>
    </w:p>
    <w:p>
      <w:pPr>
        <w:spacing w:after="0" w:line="2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not audited any consolidated financial statements of the Company as of any date or for any period subsequent to December 31, 2021. Therefore, we are unable to express, and we do not express, an opinion on the facts set forth in the above-mentioned Form 10-Q, on the related information furnished to us by officials of the Company, or on the financial position, results of operations, or cash flows of the Company as of any date or for any period subsequent to December 31,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ectPr>
          <w:pgSz w:w="11900" w:h="16838" w:orient="portrait"/>
          <w:cols w:equalWidth="0" w:num="1">
            <w:col w:w="11240"/>
          </w:cols>
          <w:pgMar w:left="320" w:top="1417"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David W. Ducommun, certify that:</w:t>
      </w:r>
    </w:p>
    <w:p>
      <w:pPr>
        <w:spacing w:after="0" w:line="157" w:lineRule="exact"/>
        <w:rPr>
          <w:sz w:val="20"/>
          <w:szCs w:val="20"/>
          <w:color w:val="auto"/>
        </w:rPr>
      </w:pPr>
    </w:p>
    <w:p>
      <w:pPr>
        <w:ind w:left="180" w:hanging="172"/>
        <w:spacing w:after="0"/>
        <w:tabs>
          <w:tab w:leader="none" w:pos="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263" w:lineRule="auto"/>
        <w:tabs>
          <w:tab w:leader="none" w:pos="145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7" w:val="left"/>
        </w:tabs>
        <w:numPr>
          <w:ilvl w:val="1"/>
          <w:numId w:val="1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1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pacing w:after="0" w:line="50"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W. Ducommun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6403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David W. Ducommun</w:t>
      </w:r>
    </w:p>
    <w:p>
      <w:pPr>
        <w:ind w:left="1140"/>
        <w:spacing w:after="0"/>
        <w:rPr>
          <w:sz w:val="20"/>
          <w:szCs w:val="20"/>
          <w:color w:val="auto"/>
        </w:rPr>
      </w:pPr>
      <w:r>
        <w:rPr>
          <w:rFonts w:ascii="Arial" w:cs="Arial" w:eastAsia="Arial" w:hAnsi="Arial"/>
          <w:sz w:val="18"/>
          <w:szCs w:val="18"/>
          <w:color w:val="auto"/>
        </w:rPr>
        <w:t>President and Principal Executive Officer</w:t>
      </w:r>
    </w:p>
    <w:p>
      <w:pPr>
        <w:sectPr>
          <w:pgSz w:w="11900" w:h="16838" w:orient="portrait"/>
          <w:cols w:equalWidth="0" w:num="1">
            <w:col w:w="11240"/>
          </w:cols>
          <w:pgMar w:left="320" w:top="891"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Bryan D. Coy, certify that:</w:t>
      </w:r>
    </w:p>
    <w:p>
      <w:pPr>
        <w:spacing w:after="0" w:line="157" w:lineRule="exact"/>
        <w:rPr>
          <w:sz w:val="20"/>
          <w:szCs w:val="20"/>
          <w:color w:val="auto"/>
        </w:rPr>
      </w:pPr>
    </w:p>
    <w:p>
      <w:pPr>
        <w:ind w:left="180" w:hanging="172"/>
        <w:spacing w:after="0"/>
        <w:tabs>
          <w:tab w:leader="none" w:pos="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263" w:lineRule="auto"/>
        <w:tabs>
          <w:tab w:leader="none" w:pos="145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7" w:val="left"/>
        </w:tabs>
        <w:numPr>
          <w:ilvl w:val="1"/>
          <w:numId w:val="1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1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pacing w:after="0" w:line="212"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33089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Bryan D. Coy</w:t>
      </w:r>
    </w:p>
    <w:p>
      <w:pPr>
        <w:ind w:left="1140"/>
        <w:spacing w:after="0"/>
        <w:rPr>
          <w:sz w:val="20"/>
          <w:szCs w:val="20"/>
          <w:color w:val="auto"/>
        </w:rPr>
      </w:pPr>
      <w:r>
        <w:rPr>
          <w:rFonts w:ascii="Arial" w:cs="Arial" w:eastAsia="Arial" w:hAnsi="Arial"/>
          <w:sz w:val="18"/>
          <w:szCs w:val="18"/>
          <w:color w:val="auto"/>
        </w:rPr>
        <w:t>Chief Financial Officer and Principal Financial Officer</w:t>
      </w:r>
    </w:p>
    <w:p>
      <w:pPr>
        <w:sectPr>
          <w:pgSz w:w="11900" w:h="16838" w:orient="portrait"/>
          <w:cols w:equalWidth="0" w:num="1">
            <w:col w:w="11240"/>
          </w:cols>
          <w:pgMar w:left="320" w:top="891"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56" w:lineRule="exact"/>
        <w:rPr>
          <w:sz w:val="20"/>
          <w:szCs w:val="20"/>
          <w:color w:val="auto"/>
        </w:rPr>
      </w:pPr>
    </w:p>
    <w:p>
      <w:pPr>
        <w:ind w:right="20" w:firstLine="245"/>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Principal Executive Officer of Cannae Holdings, Inc., a Delaware corporation (the “Company”), and hereby further certifies as follows.</w:t>
      </w:r>
    </w:p>
    <w:p>
      <w:pPr>
        <w:spacing w:after="0" w:line="170" w:lineRule="exact"/>
        <w:rPr>
          <w:sz w:val="20"/>
          <w:szCs w:val="20"/>
          <w:color w:val="auto"/>
        </w:rPr>
      </w:pPr>
    </w:p>
    <w:p>
      <w:pPr>
        <w:ind w:left="900" w:hanging="892"/>
        <w:spacing w:after="0" w:line="277"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pacing w:after="0" w:line="266"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/s/David W. Ducommun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33343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David W. Ducommun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President and Principal Executive Officer</w:t>
      </w:r>
    </w:p>
    <w:p>
      <w:pPr>
        <w:sectPr>
          <w:pgSz w:w="11900" w:h="16838" w:orient="portrait"/>
          <w:cols w:equalWidth="0" w:num="1">
            <w:col w:w="11240"/>
          </w:cols>
          <w:pgMar w:left="320" w:top="1134"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right="20" w:firstLine="239"/>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Cannae Holdings, Inc., a Delaware corporation (the “Company”), and hereby further certifies as follows.</w:t>
      </w:r>
    </w:p>
    <w:p>
      <w:pPr>
        <w:spacing w:after="0" w:line="170" w:lineRule="exact"/>
        <w:rPr>
          <w:sz w:val="20"/>
          <w:szCs w:val="20"/>
          <w:color w:val="auto"/>
        </w:rPr>
      </w:pPr>
    </w:p>
    <w:p>
      <w:pPr>
        <w:ind w:left="900" w:hanging="892"/>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pacing w:after="0" w:line="266"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3261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Bryan D. Coy</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Chief Financial Officer and 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1)"/>
      <w:numFmt w:val="decimal"/>
      <w:start w:val="1"/>
    </w:lvl>
  </w:abstractNum>
  <w:abstractNum w:abstractNumId="3">
    <w:nsid w:val="1EBA5D23"/>
    <w:multiLevelType w:val="hybridMultilevel"/>
    <w:lvl w:ilvl="0">
      <w:lvlJc w:val="left"/>
      <w:lvlText w:val="(%1)"/>
      <w:numFmt w:val="decimal"/>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1)"/>
      <w:numFmt w:val="decimal"/>
      <w:start w:val="1"/>
    </w:lvl>
  </w:abstractNum>
  <w:abstractNum w:abstractNumId="7">
    <w:nsid w:val="7BD3EE7B"/>
    <w:multiLevelType w:val="hybridMultilevel"/>
    <w:lvl w:ilvl="0">
      <w:lvlJc w:val="left"/>
      <w:lvlText w:val="*"/>
      <w:numFmt w:val="bullet"/>
      <w:start w:val="1"/>
    </w:lvl>
    <w:lvl w:ilvl="1">
      <w:lvlJc w:val="left"/>
      <w:lvlText w:val="%2"/>
      <w:numFmt w:val="decimal"/>
      <w:start w:val="104"/>
    </w:lvl>
  </w:abstractNum>
  <w:abstractNum w:abstractNumId="8">
    <w:nsid w:val="51D9C564"/>
    <w:multiLevelType w:val="hybridMultilevel"/>
    <w:lvl w:ilvl="0">
      <w:lvlJc w:val="left"/>
      <w:lvlText w:val="%1."/>
      <w:numFmt w:val="decimal"/>
      <w:start w:val="1"/>
    </w:lvl>
  </w:abstractNum>
  <w:abstractNum w:abstractNumId="9">
    <w:nsid w:val="613EFDC5"/>
    <w:multiLevelType w:val="hybridMultilevel"/>
    <w:lvl w:ilvl="0">
      <w:lvlJc w:val="left"/>
      <w:lvlText w:val="(%1)"/>
      <w:numFmt w:val="lowerRoman"/>
      <w:start w:val="1"/>
    </w:lvl>
  </w:abstractNum>
  <w:abstractNum w:abstractNumId="10">
    <w:nsid w:val="BF72B14"/>
    <w:multiLevelType w:val="hybridMultilevel"/>
    <w:lvl w:ilvl="0">
      <w:lvlJc w:val="left"/>
      <w:lvlText w:val="%1."/>
      <w:numFmt w:val="decimal"/>
      <w:start w:val="2"/>
    </w:lvl>
  </w:abstractNum>
  <w:abstractNum w:abstractNumId="11">
    <w:nsid w:val="11447B73"/>
    <w:multiLevelType w:val="hybridMultilevel"/>
    <w:lvl w:ilvl="0">
      <w:lvlJc w:val="left"/>
      <w:lvlText w:val="%1."/>
      <w:numFmt w:val="decimal"/>
      <w:start w:val="5"/>
    </w:lvl>
  </w:abstractNum>
  <w:abstractNum w:abstractNumId="12">
    <w:nsid w:val="42963E5A"/>
    <w:multiLevelType w:val="hybridMultilevel"/>
    <w:lvl w:ilvl="0">
      <w:lvlJc w:val="left"/>
      <w:lvlText w:val="(%1)"/>
      <w:numFmt w:val="lowerLetter"/>
      <w:start w:val="1"/>
    </w:lvl>
    <w:lvl w:ilvl="1">
      <w:lvlJc w:val="left"/>
      <w:lvlText w:val="(%2)"/>
      <w:numFmt w:val="lowerRoman"/>
      <w:start w:val="2"/>
    </w:lvl>
  </w:abstractNum>
  <w:abstractNum w:abstractNumId="13">
    <w:nsid w:val="A0382C5"/>
    <w:multiLevelType w:val="hybridMultilevel"/>
    <w:lvl w:ilvl="0">
      <w:lvlJc w:val="left"/>
      <w:lvlText w:val="%1"/>
      <w:numFmt w:val="decimal"/>
      <w:start w:val="1"/>
    </w:lvl>
    <w:lvl w:ilvl="1">
      <w:lvlJc w:val="left"/>
      <w:lvlText w:val="%2."/>
      <w:numFmt w:val="decimal"/>
      <w:start w:val="7"/>
    </w:lvl>
  </w:abstractNum>
  <w:abstractNum w:abstractNumId="14">
    <w:nsid w:val="8F2B15E"/>
    <w:multiLevelType w:val="hybridMultilevel"/>
    <w:lvl w:ilvl="0">
      <w:lvlJc w:val="left"/>
      <w:lvlText w:val="(%1)"/>
      <w:numFmt w:val="decimal"/>
      <w:start w:val="30"/>
    </w:lvl>
    <w:lvl w:ilvl="1">
      <w:lvlJc w:val="left"/>
      <w:lvlText w:val="%2"/>
      <w:numFmt w:val="decimal"/>
      <w:start w:val="1"/>
    </w:lvl>
  </w:abstractNum>
  <w:abstractNum w:abstractNumId="15">
    <w:nsid w:val="1A32234B"/>
    <w:multiLevelType w:val="hybridMultilevel"/>
    <w:lvl w:ilvl="0">
      <w:lvlJc w:val="left"/>
      <w:lvlText w:val="%1."/>
      <w:numFmt w:val="decimal"/>
      <w:start w:val="8"/>
    </w:lvl>
  </w:abstractNum>
  <w:abstractNum w:abstractNumId="16">
    <w:nsid w:val="3B0FD379"/>
    <w:multiLevelType w:val="hybridMultilevel"/>
    <w:lvl w:ilvl="0">
      <w:lvlJc w:val="left"/>
      <w:lvlText w:val="(%1)"/>
      <w:numFmt w:val="lowerLetter"/>
      <w:start w:val="1"/>
    </w:lvl>
  </w:abstractNum>
  <w:abstractNum w:abstractNumId="17">
    <w:nsid w:val="68EB2F63"/>
    <w:multiLevelType w:val="hybridMultilevel"/>
    <w:lvl w:ilvl="0">
      <w:lvlJc w:val="left"/>
      <w:lvlText w:val="(%1)"/>
      <w:numFmt w:val="lowerLetter"/>
      <w:start w:val="4"/>
    </w:lvl>
  </w:abstractNum>
  <w:abstractNum w:abstractNumId="18">
    <w:nsid w:val="4962813B"/>
    <w:multiLevelType w:val="hybridMultilevel"/>
    <w:lvl w:ilvl="0">
      <w:lvlJc w:val="left"/>
      <w:lvlText w:val="(%1)"/>
      <w:numFmt w:val="lowerLetter"/>
      <w:start w:val="1"/>
    </w:lvl>
  </w:abstractNum>
  <w:abstractNum w:abstractNumId="19">
    <w:nsid w:val="60B6DF70"/>
    <w:multiLevelType w:val="hybridMultilevel"/>
    <w:lvl w:ilvl="0">
      <w:lvlJc w:val="left"/>
      <w:lvlText w:val="(%1)"/>
      <w:numFmt w:val="lowerLetter"/>
      <w:start w:val="1"/>
    </w:lvl>
  </w:abstractNum>
  <w:abstractNum w:abstractNumId="20">
    <w:nsid w:val="6A5EE64"/>
    <w:multiLevelType w:val="hybridMultilevel"/>
    <w:lvl w:ilvl="0">
      <w:lvlJc w:val="left"/>
      <w:lvlText w:val="(%1)"/>
      <w:numFmt w:val="lowerLetter"/>
      <w:start w:val="1"/>
    </w:lvl>
  </w:abstractNum>
  <w:abstractNum w:abstractNumId="21">
    <w:nsid w:val="1433062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22">
    <w:nsid w:val="7FFFCA1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3">
    <w:nsid w:val="1A27709E"/>
    <w:multiLevelType w:val="hybridMultilevel"/>
    <w:lvl w:ilvl="0">
      <w:lvlJc w:val="left"/>
      <w:lvlText w:val="(%1)"/>
      <w:numFmt w:val="lowerLetter"/>
      <w:start w:val="2"/>
    </w:lvl>
    <w:lvl w:ilvl="1">
      <w:lvlJc w:val="left"/>
      <w:lvlText w:val="(%2)"/>
      <w:numFmt w:val="lowerLetter"/>
      <w:start w:val="4"/>
    </w:lvl>
    <w:lvl w:ilvl="2">
      <w:lvlJc w:val="left"/>
      <w:lvlText w:val="%3"/>
      <w:numFmt w:val="lowerLetter"/>
      <w:start w:val="1"/>
    </w:lvl>
  </w:abstractNum>
  <w:abstractNum w:abstractNumId="24">
    <w:nsid w:val="71EA1109"/>
    <w:multiLevelType w:val="hybridMultilevel"/>
    <w:lvl w:ilvl="0">
      <w:lvlJc w:val="left"/>
      <w:lvlText w:val="(%1)"/>
      <w:numFmt w:val="lowerLetter"/>
      <w:start w:val="5"/>
    </w:lvl>
  </w:abstractNum>
  <w:abstractNum w:abstractNumId="25">
    <w:nsid w:val="100F59DC"/>
    <w:multiLevelType w:val="hybridMultilevel"/>
    <w:lvl w:ilvl="0">
      <w:lvlJc w:val="left"/>
      <w:lvlText w:val="(%1)"/>
      <w:numFmt w:val="lowerLetter"/>
      <w:start w:val="1"/>
    </w:lvl>
  </w:abstractNum>
  <w:abstractNum w:abstractNumId="26">
    <w:nsid w:val="7FB7E0AA"/>
    <w:multiLevelType w:val="hybridMultilevel"/>
    <w:lvl w:ilvl="0">
      <w:lvlJc w:val="left"/>
      <w:lvlText w:val="(%1)"/>
      <w:numFmt w:val="lowerLetter"/>
      <w:start w:val="1"/>
    </w:lvl>
  </w:abstractNum>
  <w:abstractNum w:abstractNumId="27">
    <w:nsid w:val="6EB5BD4"/>
    <w:multiLevelType w:val="hybridMultilevel"/>
    <w:lvl w:ilvl="0">
      <w:lvlJc w:val="left"/>
      <w:lvlText w:val="(%1)"/>
      <w:numFmt w:val="lowerLetter"/>
      <w:start w:val="1"/>
    </w:lvl>
  </w:abstractNum>
  <w:abstractNum w:abstractNumId="28">
    <w:nsid w:val="6F6DD9AC"/>
    <w:multiLevelType w:val="hybridMultilevel"/>
    <w:lvl w:ilvl="0">
      <w:lvlJc w:val="left"/>
      <w:lvlText w:val="(%1)"/>
      <w:numFmt w:val="decimal"/>
      <w:start w:val="1"/>
    </w:lvl>
  </w:abstractNum>
  <w:abstractNum w:abstractNumId="29">
    <w:nsid w:val="94211F2"/>
    <w:multiLevelType w:val="hybridMultilevel"/>
    <w:lvl w:ilvl="0">
      <w:lvlJc w:val="left"/>
      <w:lvlText w:val="(%1)"/>
      <w:numFmt w:val="decimal"/>
      <w:start w:val="1"/>
    </w:lvl>
  </w:abstractNum>
  <w:abstractNum w:abstractNumId="30">
    <w:nsid w:val="885E1B"/>
    <w:multiLevelType w:val="hybridMultilevel"/>
    <w:lvl w:ilvl="0">
      <w:lvlJc w:val="left"/>
      <w:lvlText w:val="(%1)"/>
      <w:numFmt w:val="lowerRoman"/>
      <w:start w:val="1"/>
    </w:lvl>
  </w:abstractNum>
  <w:abstractNum w:abstractNumId="31">
    <w:nsid w:val="76272110"/>
    <w:multiLevelType w:val="hybridMultilevel"/>
    <w:lvl w:ilvl="0">
      <w:lvlJc w:val="left"/>
      <w:lvlText w:val="%1"/>
      <w:numFmt w:val="lowerLetter"/>
      <w:start w:val="1"/>
    </w:lvl>
    <w:lvl w:ilvl="1">
      <w:lvlJc w:val="left"/>
      <w:lvlText w:val="(%2)"/>
      <w:numFmt w:val="lowerLetter"/>
      <w:start w:val="9"/>
    </w:lvl>
  </w:abstractNum>
  <w:abstractNum w:abstractNumId="32">
    <w:nsid w:val="4C04A8AF"/>
    <w:multiLevelType w:val="hybridMultilevel"/>
    <w:lvl w:ilvl="0">
      <w:lvlJc w:val="left"/>
      <w:lvlText w:val="(%1)"/>
      <w:numFmt w:val="lowerLetter"/>
      <w:start w:val="3"/>
    </w:lvl>
    <w:lvl w:ilvl="1">
      <w:lvlJc w:val="left"/>
      <w:lvlText w:val="%2"/>
      <w:numFmt w:val="lowerLetter"/>
      <w:start w:val="1"/>
    </w:lvl>
  </w:abstractNum>
  <w:abstractNum w:abstractNumId="33">
    <w:nsid w:val="1716703B"/>
    <w:multiLevelType w:val="hybridMultilevel"/>
    <w:lvl w:ilvl="0">
      <w:lvlJc w:val="left"/>
      <w:lvlText w:val="(%1)"/>
      <w:numFmt w:val="lowerRoman"/>
      <w:start w:val="2"/>
    </w:lvl>
  </w:abstractNum>
  <w:abstractNum w:abstractNumId="34">
    <w:nsid w:val="14E17E33"/>
    <w:multiLevelType w:val="hybridMultilevel"/>
    <w:lvl w:ilvl="0">
      <w:lvlJc w:val="left"/>
      <w:lvlText w:val="(%1)"/>
      <w:numFmt w:val="lowerLetter"/>
      <w:start w:val="2"/>
    </w:lvl>
  </w:abstractNum>
  <w:abstractNum w:abstractNumId="35">
    <w:nsid w:val="3222E7CD"/>
    <w:multiLevelType w:val="hybridMultilevel"/>
    <w:lvl w:ilvl="0">
      <w:lvlJc w:val="left"/>
      <w:lvlText w:val="(%1)"/>
      <w:numFmt w:val="lowerRoman"/>
      <w:start w:val="1"/>
    </w:lvl>
  </w:abstractNum>
  <w:abstractNum w:abstractNumId="36">
    <w:nsid w:val="74DE0EE3"/>
    <w:multiLevelType w:val="hybridMultilevel"/>
    <w:lvl w:ilvl="0">
      <w:lvlJc w:val="left"/>
      <w:lvlText w:val="(%1)"/>
      <w:numFmt w:val="lowerRoman"/>
      <w:start w:val="1"/>
    </w:lvl>
  </w:abstractNum>
  <w:abstractNum w:abstractNumId="37">
    <w:nsid w:val="68EBC550"/>
    <w:multiLevelType w:val="hybridMultilevel"/>
    <w:lvl w:ilvl="0">
      <w:lvlJc w:val="left"/>
      <w:lvlText w:val="(%1)"/>
      <w:numFmt w:val="lowerRoman"/>
      <w:start w:val="2"/>
    </w:lvl>
  </w:abstractNum>
  <w:abstractNum w:abstractNumId="38">
    <w:nsid w:val="2DF6D648"/>
    <w:multiLevelType w:val="hybridMultilevel"/>
    <w:lvl w:ilvl="0">
      <w:lvlJc w:val="left"/>
      <w:lvlText w:val="(%1)"/>
      <w:numFmt w:val="lowerRoman"/>
      <w:start w:val="1"/>
    </w:lvl>
  </w:abstractNum>
  <w:abstractNum w:abstractNumId="39">
    <w:nsid w:val="46B7D447"/>
    <w:multiLevelType w:val="hybridMultilevel"/>
    <w:lvl w:ilvl="0">
      <w:lvlJc w:val="left"/>
      <w:lvlText w:val="(%1)"/>
      <w:numFmt w:val="lowerLetter"/>
      <w:start w:val="1"/>
    </w:lvl>
  </w:abstractNum>
  <w:abstractNum w:abstractNumId="40">
    <w:nsid w:val="4A2AC315"/>
    <w:multiLevelType w:val="hybridMultilevel"/>
    <w:lvl w:ilvl="0">
      <w:lvlJc w:val="left"/>
      <w:lvlText w:val="(%1)"/>
      <w:numFmt w:val="lowerLetter"/>
      <w:start w:val="4"/>
    </w:lvl>
  </w:abstractNum>
  <w:abstractNum w:abstractNumId="41">
    <w:nsid w:val="39EE015C"/>
    <w:multiLevelType w:val="hybridMultilevel"/>
    <w:lvl w:ilvl="0">
      <w:lvlJc w:val="left"/>
      <w:lvlText w:val="(%1)"/>
      <w:numFmt w:val="lowerLetter"/>
      <w:start w:val="4"/>
    </w:lvl>
  </w:abstractNum>
  <w:abstractNum w:abstractNumId="42">
    <w:nsid w:val="57FC4FBB"/>
    <w:multiLevelType w:val="hybridMultilevel"/>
    <w:lvl w:ilvl="0">
      <w:lvlJc w:val="left"/>
      <w:lvlText w:val="(%1)"/>
      <w:numFmt w:val="lowerRoman"/>
      <w:start w:val="1"/>
    </w:lvl>
  </w:abstractNum>
  <w:abstractNum w:abstractNumId="43">
    <w:nsid w:val="CC1016F"/>
    <w:multiLevelType w:val="hybridMultilevel"/>
    <w:lvl w:ilvl="0">
      <w:lvlJc w:val="left"/>
      <w:lvlText w:val="(%1)"/>
      <w:numFmt w:val="lowerLetter"/>
      <w:start w:val="1"/>
    </w:lvl>
  </w:abstractNum>
  <w:abstractNum w:abstractNumId="44">
    <w:nsid w:val="43F18422"/>
    <w:multiLevelType w:val="hybridMultilevel"/>
    <w:lvl w:ilvl="0">
      <w:lvlJc w:val="left"/>
      <w:lvlText w:val="(%1)"/>
      <w:numFmt w:val="lowerLetter"/>
      <w:start w:val="1"/>
    </w:lvl>
  </w:abstractNum>
  <w:abstractNum w:abstractNumId="45">
    <w:nsid w:val="60EF0119"/>
    <w:multiLevelType w:val="hybridMultilevel"/>
    <w:lvl w:ilvl="0">
      <w:lvlJc w:val="left"/>
      <w:lvlText w:val="(%1)"/>
      <w:numFmt w:val="lowerLetter"/>
      <w:start w:val="2"/>
    </w:lvl>
  </w:abstractNum>
  <w:abstractNum w:abstractNumId="46">
    <w:nsid w:val="26F324B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47">
    <w:nsid w:val="7F01579B"/>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48">
    <w:nsid w:val="49DA307D"/>
    <w:multiLevelType w:val="hybridMultilevel"/>
    <w:lvl w:ilvl="0">
      <w:lvlJc w:val="left"/>
      <w:lvlText w:val="(%1)"/>
      <w:numFmt w:val="lowerLetter"/>
      <w:start w:val="1"/>
    </w:lvl>
  </w:abstractNum>
  <w:abstractNum w:abstractNumId="49">
    <w:nsid w:val="7055A5F5"/>
    <w:multiLevelType w:val="hybridMultilevel"/>
    <w:lvl w:ilvl="0">
      <w:lvlJc w:val="left"/>
      <w:lvlText w:val="(%1)"/>
      <w:numFmt w:val="lowerLetter"/>
      <w:start w:val="1"/>
    </w:lvl>
  </w:abstractNum>
  <w:abstractNum w:abstractNumId="50">
    <w:nsid w:val="5FB8370B"/>
    <w:multiLevelType w:val="hybridMultilevel"/>
    <w:lvl w:ilvl="0">
      <w:lvlJc w:val="left"/>
      <w:lvlText w:val="(%1)"/>
      <w:numFmt w:val="lowerLetter"/>
      <w:start w:val="1"/>
    </w:lvl>
    <w:lvl w:ilvl="1">
      <w:lvlJc w:val="left"/>
      <w:lvlText w:val="(%2)"/>
      <w:numFmt w:val="lowerRoman"/>
      <w:start w:val="1"/>
    </w:lvl>
  </w:abstractNum>
  <w:abstractNum w:abstractNumId="51">
    <w:nsid w:val="50801EE1"/>
    <w:multiLevelType w:val="hybridMultilevel"/>
    <w:lvl w:ilvl="0">
      <w:lvlJc w:val="left"/>
      <w:lvlText w:val="(%1)"/>
      <w:numFmt w:val="upperLetter"/>
      <w:start w:val="1"/>
    </w:lvl>
  </w:abstractNum>
  <w:abstractNum w:abstractNumId="52">
    <w:nsid w:val="488AC1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3">
    <w:nsid w:val="5FB8011C"/>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54">
    <w:nsid w:val="6AA78F7F"/>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55">
    <w:nsid w:val="7672BD23"/>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6"/>
    </w:lvl>
  </w:abstractNum>
  <w:abstractNum w:abstractNumId="56">
    <w:nsid w:val="6FC75AF8"/>
    <w:multiLevelType w:val="hybridMultilevel"/>
    <w:lvl w:ilvl="0">
      <w:lvlJc w:val="left"/>
      <w:lvlText w:val="(%1)"/>
      <w:numFmt w:val="lowerRoman"/>
      <w:start w:val="10"/>
    </w:lvl>
    <w:lvl w:ilvl="1">
      <w:lvlJc w:val="left"/>
      <w:lvlText w:val="(%2)"/>
      <w:numFmt w:val="upperLetter"/>
      <w:start w:val="4"/>
    </w:lvl>
    <w:lvl w:ilvl="2">
      <w:lvlJc w:val="left"/>
      <w:lvlText w:val="(%3)"/>
      <w:numFmt w:val="decimal"/>
      <w:start w:val="1"/>
    </w:lvl>
  </w:abstractNum>
  <w:abstractNum w:abstractNumId="57">
    <w:nsid w:val="6A5F7029"/>
    <w:multiLevelType w:val="hybridMultilevel"/>
    <w:lvl w:ilvl="0">
      <w:lvlJc w:val="left"/>
      <w:lvlText w:val="(%1)"/>
      <w:numFmt w:val="lowerLetter"/>
      <w:start w:val="5"/>
    </w:lvl>
  </w:abstractNum>
  <w:abstractNum w:abstractNumId="58">
    <w:nsid w:val="7D5E18F8"/>
    <w:multiLevelType w:val="hybridMultilevel"/>
    <w:lvl w:ilvl="0">
      <w:lvlJc w:val="left"/>
      <w:lvlText w:val="(%1)"/>
      <w:numFmt w:val="lowerLetter"/>
      <w:start w:val="1"/>
    </w:lvl>
    <w:lvl w:ilvl="1">
      <w:lvlJc w:val="left"/>
      <w:lvlText w:val="(%2)"/>
      <w:numFmt w:val="lowerLetter"/>
      <w:start w:val="9"/>
    </w:lvl>
  </w:abstractNum>
  <w:abstractNum w:abstractNumId="59">
    <w:nsid w:val="5F3534A4"/>
    <w:multiLevelType w:val="hybridMultilevel"/>
    <w:lvl w:ilvl="0">
      <w:lvlJc w:val="left"/>
      <w:lvlText w:val="(%1)"/>
      <w:numFmt w:val="lowerRoman"/>
      <w:start w:val="2"/>
    </w:lvl>
  </w:abstractNum>
  <w:abstractNum w:abstractNumId="60">
    <w:nsid w:val="73A1821B"/>
    <w:multiLevelType w:val="hybridMultilevel"/>
    <w:lvl w:ilvl="0">
      <w:lvlJc w:val="left"/>
      <w:lvlText w:val="%1"/>
      <w:numFmt w:val="decimal"/>
      <w:start w:val="1"/>
    </w:lvl>
    <w:lvl w:ilvl="1">
      <w:lvlJc w:val="left"/>
      <w:lvlText w:val="(%2)"/>
      <w:numFmt w:val="lowerLetter"/>
      <w:start w:val="2"/>
    </w:lvl>
  </w:abstractNum>
  <w:abstractNum w:abstractNumId="61">
    <w:nsid w:val="7DE67713"/>
    <w:multiLevelType w:val="hybridMultilevel"/>
    <w:lvl w:ilvl="0">
      <w:lvlJc w:val="left"/>
      <w:lvlText w:val="(%1)"/>
      <w:numFmt w:val="decimal"/>
      <w:start w:val="10"/>
    </w:lvl>
    <w:lvl w:ilvl="1">
      <w:lvlJc w:val="left"/>
      <w:lvlText w:val="(%2)"/>
      <w:numFmt w:val="lowerLetter"/>
      <w:start w:val="4"/>
    </w:lvl>
  </w:abstractNum>
  <w:abstractNum w:abstractNumId="62">
    <w:nsid w:val="555C55B5"/>
    <w:multiLevelType w:val="hybridMultilevel"/>
    <w:lvl w:ilvl="0">
      <w:lvlJc w:val="left"/>
      <w:lvlText w:val="(%1)"/>
      <w:numFmt w:val="lowerLetter"/>
      <w:start w:val="1"/>
    </w:lvl>
    <w:lvl w:ilvl="1">
      <w:lvlJc w:val="left"/>
      <w:lvlText w:val="(%2)"/>
      <w:numFmt w:val="lowerLetter"/>
      <w:start w:val="9"/>
    </w:lvl>
  </w:abstractNum>
  <w:abstractNum w:abstractNumId="63">
    <w:nsid w:val="3FA62ACA"/>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64">
    <w:nsid w:val="14FCE74E"/>
    <w:multiLevelType w:val="hybridMultilevel"/>
    <w:lvl w:ilvl="0">
      <w:lvlJc w:val="left"/>
      <w:lvlText w:val="(%1)"/>
      <w:numFmt w:val="upperLetter"/>
      <w:start w:val="3"/>
    </w:lvl>
  </w:abstractNum>
  <w:abstractNum w:abstractNumId="65">
    <w:nsid w:val="6A3DD3E8"/>
    <w:multiLevelType w:val="hybridMultilevel"/>
    <w:lvl w:ilvl="0">
      <w:lvlJc w:val="left"/>
      <w:lvlText w:val="(%1)"/>
      <w:numFmt w:val="lowerLetter"/>
      <w:start w:val="6"/>
    </w:lvl>
  </w:abstractNum>
  <w:abstractNum w:abstractNumId="66">
    <w:nsid w:val="71C91298"/>
    <w:multiLevelType w:val="hybridMultilevel"/>
    <w:lvl w:ilvl="0">
      <w:lvlJc w:val="left"/>
      <w:lvlText w:val="%1"/>
      <w:numFmt w:val="lowerLetter"/>
      <w:start w:val="1"/>
    </w:lvl>
    <w:lvl w:ilvl="1">
      <w:lvlJc w:val="left"/>
      <w:lvlText w:val="(%2)"/>
      <w:numFmt w:val="lowerLetter"/>
      <w:start w:val="7"/>
    </w:lvl>
  </w:abstractNum>
  <w:abstractNum w:abstractNumId="67">
    <w:nsid w:val="9DAF632"/>
    <w:multiLevelType w:val="hybridMultilevel"/>
    <w:lvl w:ilvl="0">
      <w:lvlJc w:val="left"/>
      <w:lvlText w:val="(%1)"/>
      <w:numFmt w:val="lowerLetter"/>
      <w:start w:val="35"/>
    </w:lvl>
    <w:lvl w:ilvl="1">
      <w:lvlJc w:val="left"/>
      <w:lvlText w:val="%2"/>
      <w:numFmt w:val="lowerLetter"/>
      <w:start w:val="1"/>
    </w:lvl>
  </w:abstractNum>
  <w:abstractNum w:abstractNumId="68">
    <w:nsid w:val="53299938"/>
    <w:multiLevelType w:val="hybridMultilevel"/>
    <w:lvl w:ilvl="0">
      <w:lvlJc w:val="left"/>
      <w:lvlText w:val="(%1)"/>
      <w:numFmt w:val="lowerLetter"/>
      <w:start w:val="1"/>
    </w:lvl>
  </w:abstractNum>
  <w:abstractNum w:abstractNumId="69">
    <w:nsid w:val="1FBFE8E0"/>
    <w:multiLevelType w:val="hybridMultilevel"/>
    <w:lvl w:ilvl="0">
      <w:lvlJc w:val="left"/>
      <w:lvlText w:val="(%1)"/>
      <w:numFmt w:val="lowerLetter"/>
      <w:start w:val="1"/>
    </w:lvl>
  </w:abstractNum>
  <w:abstractNum w:abstractNumId="70">
    <w:nsid w:val="5092CA79"/>
    <w:multiLevelType w:val="hybridMultilevel"/>
    <w:lvl w:ilvl="0">
      <w:lvlJc w:val="left"/>
      <w:lvlText w:val="(%1)"/>
      <w:numFmt w:val="lowerLetter"/>
      <w:start w:val="1"/>
    </w:lvl>
  </w:abstractNum>
  <w:abstractNum w:abstractNumId="71">
    <w:nsid w:val="1D545C4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2">
    <w:nsid w:val="59ADEA3D"/>
    <w:multiLevelType w:val="hybridMultilevel"/>
    <w:lvl w:ilvl="0">
      <w:lvlJc w:val="left"/>
      <w:lvlText w:val="(%1)"/>
      <w:numFmt w:val="lowerLetter"/>
      <w:start w:val="1"/>
    </w:lvl>
  </w:abstractNum>
  <w:abstractNum w:abstractNumId="73">
    <w:nsid w:val="288F1A34"/>
    <w:multiLevelType w:val="hybridMultilevel"/>
    <w:lvl w:ilvl="0">
      <w:lvlJc w:val="left"/>
      <w:lvlText w:val="(%1)"/>
      <w:numFmt w:val="lowerLetter"/>
      <w:start w:val="1"/>
    </w:lvl>
  </w:abstractNum>
  <w:abstractNum w:abstractNumId="74">
    <w:nsid w:val="2A155DBC"/>
    <w:multiLevelType w:val="hybridMultilevel"/>
    <w:lvl w:ilvl="0">
      <w:lvlJc w:val="left"/>
      <w:lvlText w:val="(%1)"/>
      <w:numFmt w:val="lowerLetter"/>
      <w:start w:val="2"/>
    </w:lvl>
  </w:abstractNum>
  <w:abstractNum w:abstractNumId="75">
    <w:nsid w:val="1D9F6E5F"/>
    <w:multiLevelType w:val="hybridMultilevel"/>
    <w:lvl w:ilvl="0">
      <w:lvlJc w:val="left"/>
      <w:lvlText w:val="(%1)"/>
      <w:numFmt w:val="lowerLetter"/>
      <w:start w:val="1"/>
    </w:lvl>
  </w:abstractNum>
  <w:abstractNum w:abstractNumId="76">
    <w:nsid w:val="97E1B4E"/>
    <w:multiLevelType w:val="hybridMultilevel"/>
    <w:lvl w:ilvl="0">
      <w:lvlJc w:val="left"/>
      <w:lvlText w:val="(%1)"/>
      <w:numFmt w:val="lowerLetter"/>
      <w:start w:val="2"/>
    </w:lvl>
  </w:abstractNum>
  <w:abstractNum w:abstractNumId="77">
    <w:nsid w:val="51088277"/>
    <w:multiLevelType w:val="hybridMultilevel"/>
    <w:lvl w:ilvl="0">
      <w:lvlJc w:val="left"/>
      <w:lvlText w:val="(%1)"/>
      <w:numFmt w:val="lowerLetter"/>
      <w:start w:val="3"/>
    </w:lvl>
  </w:abstractNum>
  <w:abstractNum w:abstractNumId="78">
    <w:nsid w:val="1CA0C5FA"/>
    <w:multiLevelType w:val="hybridMultilevel"/>
    <w:lvl w:ilvl="0">
      <w:lvlJc w:val="left"/>
      <w:lvlText w:val="(%1)"/>
      <w:numFmt w:val="lowerLetter"/>
      <w:start w:val="1"/>
    </w:lvl>
  </w:abstractNum>
  <w:abstractNum w:abstractNumId="79">
    <w:nsid w:val="53584BCB"/>
    <w:multiLevelType w:val="hybridMultilevel"/>
    <w:lvl w:ilvl="0">
      <w:lvlJc w:val="left"/>
      <w:lvlText w:val="(%1)"/>
      <w:numFmt w:val="lowerLetter"/>
      <w:start w:val="2"/>
    </w:lvl>
  </w:abstractNum>
  <w:abstractNum w:abstractNumId="80">
    <w:nsid w:val="415E286C"/>
    <w:multiLevelType w:val="hybridMultilevel"/>
    <w:lvl w:ilvl="0">
      <w:lvlJc w:val="left"/>
      <w:lvlText w:val="(%1)"/>
      <w:numFmt w:val="lowerLetter"/>
      <w:start w:val="5"/>
    </w:lvl>
    <w:lvl w:ilvl="1">
      <w:lvlJc w:val="left"/>
      <w:lvlText w:val="(%2)"/>
      <w:numFmt w:val="lowerLetter"/>
      <w:start w:val="1"/>
    </w:lvl>
  </w:abstractNum>
  <w:abstractNum w:abstractNumId="81">
    <w:nsid w:val="7C58FD05"/>
    <w:multiLevelType w:val="hybridMultilevel"/>
    <w:lvl w:ilvl="0">
      <w:lvlJc w:val="left"/>
      <w:lvlText w:val="%1"/>
      <w:numFmt w:val="lowerLetter"/>
      <w:start w:val="1"/>
    </w:lvl>
    <w:lvl w:ilvl="1">
      <w:lvlJc w:val="left"/>
      <w:lvlText w:val="(%2)"/>
      <w:numFmt w:val="lowerRoman"/>
      <w:start w:val="1"/>
    </w:lvl>
  </w:abstractNum>
  <w:abstractNum w:abstractNumId="82">
    <w:nsid w:val="23D86AAC"/>
    <w:multiLevelType w:val="hybridMultilevel"/>
    <w:lvl w:ilvl="0">
      <w:lvlJc w:val="left"/>
      <w:lvlText w:val="(%1)"/>
      <w:numFmt w:val="lowerLetter"/>
      <w:start w:val="3"/>
    </w:lvl>
    <w:lvl w:ilvl="1">
      <w:lvlJc w:val="left"/>
      <w:lvlText w:val="%2"/>
      <w:numFmt w:val="lowerRoman"/>
      <w:start w:val="1"/>
    </w:lvl>
  </w:abstractNum>
  <w:abstractNum w:abstractNumId="83">
    <w:nsid w:val="45E6D486"/>
    <w:multiLevelType w:val="hybridMultilevel"/>
    <w:lvl w:ilvl="0">
      <w:lvlJc w:val="left"/>
      <w:lvlText w:val="(%1)"/>
      <w:numFmt w:val="lowerLetter"/>
      <w:start w:val="5"/>
    </w:lvl>
  </w:abstractNum>
  <w:abstractNum w:abstractNumId="84">
    <w:nsid w:val="5C10FE21"/>
    <w:multiLevelType w:val="hybridMultilevel"/>
    <w:lvl w:ilvl="0">
      <w:lvlJc w:val="left"/>
      <w:lvlText w:val="(%1)"/>
      <w:numFmt w:val="lowerRoman"/>
      <w:start w:val="2"/>
    </w:lvl>
  </w:abstractNum>
  <w:abstractNum w:abstractNumId="85">
    <w:nsid w:val="E7FFA2B"/>
    <w:multiLevelType w:val="hybridMultilevel"/>
    <w:lvl w:ilvl="0">
      <w:lvlJc w:val="left"/>
      <w:lvlText w:val="(%1)"/>
      <w:numFmt w:val="lowerLetter"/>
      <w:start w:val="1"/>
    </w:lvl>
  </w:abstractNum>
  <w:abstractNum w:abstractNumId="86">
    <w:nsid w:val="3C5991AA"/>
    <w:multiLevelType w:val="hybridMultilevel"/>
    <w:lvl w:ilvl="0">
      <w:lvlJc w:val="left"/>
      <w:lvlText w:val="(%1)"/>
      <w:numFmt w:val="lowerRoman"/>
      <w:start w:val="1"/>
    </w:lvl>
  </w:abstractNum>
  <w:abstractNum w:abstractNumId="87">
    <w:nsid w:val="4BD8591A"/>
    <w:multiLevelType w:val="hybridMultilevel"/>
    <w:lvl w:ilvl="0">
      <w:lvlJc w:val="left"/>
      <w:lvlText w:val="(%1)"/>
      <w:numFmt w:val="lowerLetter"/>
      <w:start w:val="1"/>
    </w:lvl>
  </w:abstractNum>
  <w:abstractNum w:abstractNumId="88">
    <w:nsid w:val="78DF6A55"/>
    <w:multiLevelType w:val="hybridMultilevel"/>
    <w:lvl w:ilvl="0">
      <w:lvlJc w:val="left"/>
      <w:lvlText w:val="(%1)"/>
      <w:numFmt w:val="lowerLetter"/>
      <w:start w:val="3"/>
    </w:lvl>
  </w:abstractNum>
  <w:abstractNum w:abstractNumId="89">
    <w:nsid w:val="39B7AAA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0">
    <w:nsid w:val="2B0D8DBE"/>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91">
    <w:nsid w:val="6C80EC70"/>
    <w:multiLevelType w:val="hybridMultilevel"/>
    <w:lvl w:ilvl="0">
      <w:lvlJc w:val="left"/>
      <w:lvlText w:val="%1"/>
      <w:numFmt w:val="lowerLetter"/>
      <w:start w:val="1"/>
    </w:lvl>
    <w:lvl w:ilvl="1">
      <w:lvlJc w:val="left"/>
      <w:lvlText w:val="(%2)"/>
      <w:numFmt w:val="lowerRoman"/>
      <w:start w:val="5"/>
    </w:lvl>
  </w:abstractNum>
  <w:abstractNum w:abstractNumId="92">
    <w:nsid w:val="379E21B5"/>
    <w:multiLevelType w:val="hybridMultilevel"/>
    <w:lvl w:ilvl="0">
      <w:lvlJc w:val="left"/>
      <w:lvlText w:val="(%1)"/>
      <w:numFmt w:val="lowerLetter"/>
      <w:start w:val="2"/>
    </w:lvl>
    <w:lvl w:ilvl="1">
      <w:lvlJc w:val="left"/>
      <w:lvlText w:val="%2"/>
      <w:numFmt w:val="lowerRoman"/>
      <w:start w:val="1"/>
    </w:lvl>
  </w:abstractNum>
  <w:abstractNum w:abstractNumId="93">
    <w:nsid w:val="69E373"/>
    <w:multiLevelType w:val="hybridMultilevel"/>
    <w:lvl w:ilvl="0">
      <w:lvlJc w:val="left"/>
      <w:lvlText w:val="(%1)"/>
      <w:numFmt w:val="lowerLetter"/>
      <w:start w:val="4"/>
    </w:lvl>
  </w:abstractNum>
  <w:abstractNum w:abstractNumId="94">
    <w:nsid w:val="2C27173B"/>
    <w:multiLevelType w:val="hybridMultilevel"/>
    <w:lvl w:ilvl="0">
      <w:lvlJc w:val="left"/>
      <w:lvlText w:val="(%1)"/>
      <w:numFmt w:val="lowerLetter"/>
      <w:start w:val="1"/>
    </w:lvl>
  </w:abstractNum>
  <w:abstractNum w:abstractNumId="95">
    <w:nsid w:val="4C9B0904"/>
    <w:multiLevelType w:val="hybridMultilevel"/>
    <w:lvl w:ilvl="0">
      <w:lvlJc w:val="left"/>
      <w:lvlText w:val="(%1)"/>
      <w:numFmt w:val="lowerLetter"/>
      <w:start w:val="1"/>
    </w:lvl>
    <w:lvl w:ilvl="1">
      <w:lvlJc w:val="left"/>
      <w:lvlText w:val="(%2)"/>
      <w:numFmt w:val="lowerRoman"/>
      <w:start w:val="1"/>
    </w:lvl>
  </w:abstractNum>
  <w:abstractNum w:abstractNumId="96">
    <w:nsid w:val="6AA7B75C"/>
    <w:multiLevelType w:val="hybridMultilevel"/>
    <w:lvl w:ilvl="0">
      <w:lvlJc w:val="left"/>
      <w:lvlText w:val="(%1)"/>
      <w:numFmt w:val="lowerRoman"/>
      <w:start w:val="5"/>
    </w:lvl>
  </w:abstractNum>
  <w:abstractNum w:abstractNumId="97">
    <w:nsid w:val="1DF029D3"/>
    <w:multiLevelType w:val="hybridMultilevel"/>
    <w:lvl w:ilvl="0">
      <w:lvlJc w:val="left"/>
      <w:lvlText w:val="(%1)"/>
      <w:numFmt w:val="lowerLetter"/>
      <w:start w:val="2"/>
    </w:lvl>
    <w:lvl w:ilvl="1">
      <w:lvlJc w:val="left"/>
      <w:lvlText w:val="(%2)"/>
      <w:numFmt w:val="lowerLetter"/>
      <w:start w:val="9"/>
    </w:lvl>
  </w:abstractNum>
  <w:abstractNum w:abstractNumId="98">
    <w:nsid w:val="5675FF36"/>
    <w:multiLevelType w:val="hybridMultilevel"/>
    <w:lvl w:ilvl="0">
      <w:lvlJc w:val="left"/>
      <w:lvlText w:val="(%1)"/>
      <w:numFmt w:val="lowerRoman"/>
      <w:start w:val="2"/>
    </w:lvl>
  </w:abstractNum>
  <w:abstractNum w:abstractNumId="99">
    <w:nsid w:val="3DD15094"/>
    <w:multiLevelType w:val="hybridMultilevel"/>
    <w:lvl w:ilvl="0">
      <w:lvlJc w:val="left"/>
      <w:lvlText w:val="(%1)"/>
      <w:numFmt w:val="lowerRoman"/>
      <w:start w:val="5"/>
    </w:lvl>
  </w:abstractNum>
  <w:abstractNum w:abstractNumId="100">
    <w:nsid w:val="3DB012B3"/>
    <w:multiLevelType w:val="hybridMultilevel"/>
    <w:lvl w:ilvl="0">
      <w:lvlJc w:val="left"/>
      <w:lvlText w:val="(%1)"/>
      <w:numFmt w:val="lowerLetter"/>
      <w:start w:val="1"/>
    </w:lvl>
  </w:abstractNum>
  <w:abstractNum w:abstractNumId="101">
    <w:nsid w:val="2708C9AF"/>
    <w:multiLevelType w:val="hybridMultilevel"/>
    <w:lvl w:ilvl="0">
      <w:lvlJc w:val="left"/>
      <w:lvlText w:val="(%1)"/>
      <w:numFmt w:val="lowerLetter"/>
      <w:start w:val="3"/>
    </w:lvl>
  </w:abstractNum>
  <w:abstractNum w:abstractNumId="102">
    <w:nsid w:val="5B25ACE2"/>
    <w:multiLevelType w:val="hybridMultilevel"/>
    <w:lvl w:ilvl="0">
      <w:lvlJc w:val="left"/>
      <w:lvlText w:val="(%1)"/>
      <w:numFmt w:val="lowerLetter"/>
      <w:start w:val="1"/>
    </w:lvl>
  </w:abstractNum>
  <w:abstractNum w:abstractNumId="103">
    <w:nsid w:val="175DFCF0"/>
    <w:multiLevelType w:val="hybridMultilevel"/>
    <w:lvl w:ilvl="0">
      <w:lvlJc w:val="left"/>
      <w:lvlText w:val="(%1)"/>
      <w:numFmt w:val="lowerLetter"/>
      <w:start w:val="6"/>
    </w:lvl>
  </w:abstractNum>
  <w:abstractNum w:abstractNumId="104">
    <w:nsid w:val="4F97E3E4"/>
    <w:multiLevelType w:val="hybridMultilevel"/>
    <w:lvl w:ilvl="0">
      <w:lvlJc w:val="left"/>
      <w:lvlText w:val="(%1)"/>
      <w:numFmt w:val="lowerLetter"/>
      <w:start w:val="1"/>
    </w:lvl>
  </w:abstractNum>
  <w:abstractNum w:abstractNumId="105">
    <w:nsid w:val="53B0A9E"/>
    <w:multiLevelType w:val="hybridMultilevel"/>
    <w:lvl w:ilvl="0">
      <w:lvlJc w:val="left"/>
      <w:lvlText w:val="(%1)"/>
      <w:numFmt w:val="lowerRoman"/>
      <w:start w:val="3"/>
    </w:lvl>
  </w:abstractNum>
  <w:abstractNum w:abstractNumId="106">
    <w:nsid w:val="34FD6B4F"/>
    <w:multiLevelType w:val="hybridMultilevel"/>
    <w:lvl w:ilvl="0">
      <w:lvlJc w:val="left"/>
      <w:lvlText w:val="(%1)"/>
      <w:numFmt w:val="lowerRoman"/>
      <w:start w:val="10"/>
    </w:lvl>
  </w:abstractNum>
  <w:abstractNum w:abstractNumId="107">
    <w:nsid w:val="5915FF32"/>
    <w:multiLevelType w:val="hybridMultilevel"/>
    <w:lvl w:ilvl="0">
      <w:lvlJc w:val="left"/>
      <w:lvlText w:val="(%1)"/>
      <w:numFmt w:val="lowerLetter"/>
      <w:start w:val="1"/>
    </w:lvl>
  </w:abstractNum>
  <w:abstractNum w:abstractNumId="108">
    <w:nsid w:val="56438D15"/>
    <w:multiLevelType w:val="hybridMultilevel"/>
    <w:lvl w:ilvl="0">
      <w:lvlJc w:val="left"/>
      <w:lvlText w:val="(%1)"/>
      <w:numFmt w:val="lowerRoman"/>
      <w:start w:val="1"/>
    </w:lvl>
  </w:abstractNum>
  <w:abstractNum w:abstractNumId="109">
    <w:nsid w:val="519E3149"/>
    <w:multiLevelType w:val="hybridMultilevel"/>
    <w:lvl w:ilvl="0">
      <w:lvlJc w:val="left"/>
      <w:lvlText w:val="%1"/>
      <w:numFmt w:val="lowerLetter"/>
      <w:start w:val="1"/>
    </w:lvl>
    <w:lvl w:ilvl="1">
      <w:lvlJc w:val="left"/>
      <w:lvlText w:val="(%2)"/>
      <w:numFmt w:val="lowerLetter"/>
      <w:start w:val="7"/>
    </w:lvl>
  </w:abstractNum>
  <w:abstractNum w:abstractNumId="110">
    <w:nsid w:val="2C6E4AFD"/>
    <w:multiLevelType w:val="hybridMultilevel"/>
    <w:lvl w:ilvl="0">
      <w:lvlJc w:val="left"/>
      <w:lvlText w:val="(%1)"/>
      <w:numFmt w:val="lowerLetter"/>
      <w:start w:val="24"/>
    </w:lvl>
    <w:lvl w:ilvl="1">
      <w:lvlJc w:val="left"/>
      <w:lvlText w:val="%2"/>
      <w:numFmt w:val="lowerLetter"/>
      <w:start w:val="1"/>
    </w:lvl>
  </w:abstractNum>
  <w:abstractNum w:abstractNumId="111">
    <w:nsid w:val="17A1B582"/>
    <w:multiLevelType w:val="hybridMultilevel"/>
    <w:lvl w:ilvl="0">
      <w:lvlJc w:val="left"/>
      <w:lvlText w:val="%1"/>
      <w:numFmt w:val="decimal"/>
      <w:start w:val="1"/>
    </w:lvl>
    <w:lvl w:ilvl="1">
      <w:lvlJc w:val="left"/>
      <w:lvlText w:val="(%2)"/>
      <w:numFmt w:val="lowerLetter"/>
      <w:start w:val="10"/>
    </w:lvl>
  </w:abstractNum>
  <w:abstractNum w:abstractNumId="112">
    <w:nsid w:val="4DF72E4E"/>
    <w:multiLevelType w:val="hybridMultilevel"/>
    <w:lvl w:ilvl="0">
      <w:lvlJc w:val="left"/>
      <w:lvlText w:val="(%1)"/>
      <w:numFmt w:val="decimal"/>
      <w:start w:val="1"/>
    </w:lvl>
    <w:lvl w:ilvl="1">
      <w:lvlJc w:val="left"/>
      <w:lvlText w:val="%2"/>
      <w:numFmt w:val="lowerLetter"/>
      <w:start w:val="1"/>
    </w:lvl>
  </w:abstractNum>
  <w:abstractNum w:abstractNumId="113">
    <w:nsid w:val="5046B5A9"/>
    <w:multiLevelType w:val="hybridMultilevel"/>
    <w:lvl w:ilvl="0">
      <w:lvlJc w:val="left"/>
      <w:lvlText w:val="(%1)"/>
      <w:numFmt w:val="lowerLetter"/>
      <w:start w:val="1"/>
    </w:lvl>
  </w:abstractNum>
  <w:abstractNum w:abstractNumId="114">
    <w:nsid w:val="5D888A08"/>
    <w:multiLevelType w:val="hybridMultilevel"/>
    <w:lvl w:ilvl="0">
      <w:lvlJc w:val="left"/>
      <w:lvlText w:val="(%1)"/>
      <w:numFmt w:val="lowerLetter"/>
      <w:start w:val="4"/>
    </w:lvl>
  </w:abstractNum>
  <w:abstractNum w:abstractNumId="115">
    <w:nsid w:val="2A082C70"/>
    <w:multiLevelType w:val="hybridMultilevel"/>
    <w:lvl w:ilvl="0">
      <w:lvlJc w:val="left"/>
      <w:lvlText w:val="(%1)"/>
      <w:numFmt w:val="lowerLetter"/>
      <w:start w:val="1"/>
    </w:lvl>
  </w:abstractNum>
  <w:abstractNum w:abstractNumId="116">
    <w:nsid w:val="5EC6AFD4"/>
    <w:multiLevelType w:val="hybridMultilevel"/>
    <w:lvl w:ilvl="0">
      <w:lvlJc w:val="left"/>
      <w:lvlText w:val="(%1)"/>
      <w:numFmt w:val="lowerLetter"/>
      <w:start w:val="3"/>
    </w:lvl>
  </w:abstractNum>
  <w:abstractNum w:abstractNumId="117">
    <w:nsid w:val="19E21BB2"/>
    <w:multiLevelType w:val="hybridMultilevel"/>
    <w:lvl w:ilvl="0">
      <w:lvlJc w:val="left"/>
      <w:lvlText w:val="(%1)"/>
      <w:numFmt w:val="lowerLetter"/>
      <w:start w:val="1"/>
    </w:lvl>
  </w:abstractNum>
  <w:abstractNum w:abstractNumId="118">
    <w:nsid w:val="75E0858A"/>
    <w:multiLevelType w:val="hybridMultilevel"/>
    <w:lvl w:ilvl="0">
      <w:lvlJc w:val="left"/>
      <w:lvlText w:val="(%1)"/>
      <w:numFmt w:val="lowerLetter"/>
      <w:start w:val="1"/>
    </w:lvl>
  </w:abstractNum>
  <w:abstractNum w:abstractNumId="119">
    <w:nsid w:val="57A61A29"/>
    <w:multiLevelType w:val="hybridMultilevel"/>
    <w:lvl w:ilvl="0">
      <w:lvlJc w:val="left"/>
      <w:lvlText w:val="(%1)"/>
      <w:numFmt w:val="lowerRoman"/>
      <w:start w:val="1"/>
    </w:lvl>
  </w:abstractNum>
  <w:abstractNum w:abstractNumId="120">
    <w:nsid w:val="5399C654"/>
    <w:multiLevelType w:val="hybridMultilevel"/>
    <w:lvl w:ilvl="0">
      <w:lvlJc w:val="left"/>
      <w:lvlText w:val="(%1)"/>
      <w:numFmt w:val="lowerLetter"/>
      <w:start w:val="1"/>
    </w:lvl>
  </w:abstractNum>
  <w:abstractNum w:abstractNumId="121">
    <w:nsid w:val="20EE1348"/>
    <w:multiLevelType w:val="hybridMultilevel"/>
    <w:lvl w:ilvl="0">
      <w:lvlJc w:val="left"/>
      <w:lvlText w:val="(%1)"/>
      <w:numFmt w:val="lowerLetter"/>
      <w:start w:val="13"/>
    </w:lvl>
  </w:abstractNum>
  <w:abstractNum w:abstractNumId="122">
    <w:nsid w:val="4427069A"/>
    <w:multiLevelType w:val="hybridMultilevel"/>
    <w:lvl w:ilvl="0">
      <w:lvlJc w:val="left"/>
      <w:lvlText w:val="(%1)"/>
      <w:numFmt w:val="lowerLetter"/>
      <w:start w:val="1"/>
    </w:lvl>
    <w:lvl w:ilvl="1">
      <w:lvlJc w:val="left"/>
      <w:lvlText w:val="(%2)"/>
      <w:numFmt w:val="lowerLetter"/>
      <w:start w:val="9"/>
    </w:lvl>
  </w:abstractNum>
  <w:abstractNum w:abstractNumId="123">
    <w:nsid w:val="B37E80A"/>
    <w:multiLevelType w:val="hybridMultilevel"/>
    <w:lvl w:ilvl="0">
      <w:lvlJc w:val="left"/>
      <w:lvlText w:val="(%1)"/>
      <w:numFmt w:val="lowerLetter"/>
      <w:start w:val="2"/>
    </w:lvl>
  </w:abstractNum>
  <w:abstractNum w:abstractNumId="124">
    <w:nsid w:val="2157F6BC"/>
    <w:multiLevelType w:val="hybridMultilevel"/>
    <w:lvl w:ilvl="0">
      <w:lvlJc w:val="left"/>
      <w:lvlText w:val="(%1)"/>
      <w:numFmt w:val="lowerLetter"/>
      <w:start w:val="3"/>
    </w:lvl>
  </w:abstractNum>
  <w:abstractNum w:abstractNumId="125">
    <w:nsid w:val="704E1DD5"/>
    <w:multiLevelType w:val="hybridMultilevel"/>
    <w:lvl w:ilvl="0">
      <w:lvlJc w:val="left"/>
      <w:lvlText w:val="(%1)"/>
      <w:numFmt w:val="lowerLetter"/>
      <w:start w:val="1"/>
    </w:lvl>
  </w:abstractNum>
  <w:abstractNum w:abstractNumId="126">
    <w:nsid w:val="57D2F10E"/>
    <w:multiLevelType w:val="hybridMultilevel"/>
    <w:lvl w:ilvl="0">
      <w:lvlJc w:val="left"/>
      <w:lvlText w:val="(%1)"/>
      <w:numFmt w:val="lowerLetter"/>
      <w:start w:val="1"/>
    </w:lvl>
  </w:abstractNum>
  <w:abstractNum w:abstractNumId="127">
    <w:nsid w:val="BFFAE18"/>
    <w:multiLevelType w:val="hybridMultilevel"/>
    <w:lvl w:ilvl="0">
      <w:lvlJc w:val="left"/>
      <w:lvlText w:val="(%1)"/>
      <w:numFmt w:val="lowerLetter"/>
      <w:start w:val="2"/>
    </w:lvl>
  </w:abstractNum>
  <w:abstractNum w:abstractNumId="128">
    <w:nsid w:val="E3E47A8"/>
    <w:multiLevelType w:val="hybridMultilevel"/>
    <w:lvl w:ilvl="0">
      <w:lvlJc w:val="left"/>
      <w:lvlText w:val="(%1)"/>
      <w:numFmt w:val="lowerLetter"/>
      <w:start w:val="5"/>
    </w:lvl>
  </w:abstractNum>
  <w:abstractNum w:abstractNumId="129">
    <w:nsid w:val="2E48F044"/>
    <w:multiLevelType w:val="hybridMultilevel"/>
    <w:lvl w:ilvl="0">
      <w:lvlJc w:val="left"/>
      <w:lvlText w:val="(%1)"/>
      <w:numFmt w:val="lowerLetter"/>
      <w:start w:val="1"/>
    </w:lvl>
  </w:abstractNum>
  <w:abstractNum w:abstractNumId="130">
    <w:nsid w:val="49D0FEAC"/>
    <w:multiLevelType w:val="hybridMultilevel"/>
    <w:lvl w:ilvl="0">
      <w:lvlJc w:val="left"/>
      <w:lvlText w:val="(%1)"/>
      <w:numFmt w:val="lowerLetter"/>
      <w:start w:val="4"/>
    </w:lvl>
  </w:abstractNum>
  <w:abstractNum w:abstractNumId="131">
    <w:nsid w:val="4BEE5A5B"/>
    <w:multiLevelType w:val="hybridMultilevel"/>
    <w:lvl w:ilvl="0">
      <w:lvlJc w:val="left"/>
      <w:lvlText w:val="(%1)"/>
      <w:numFmt w:val="lowerLetter"/>
      <w:start w:val="1"/>
    </w:lvl>
  </w:abstractNum>
  <w:abstractNum w:abstractNumId="132">
    <w:nsid w:val="5551B9F3"/>
    <w:multiLevelType w:val="hybridMultilevel"/>
    <w:lvl w:ilvl="0">
      <w:lvlJc w:val="left"/>
      <w:lvlText w:val="(%1)"/>
      <w:numFmt w:val="lowerLetter"/>
      <w:start w:val="2"/>
    </w:lvl>
  </w:abstractNum>
  <w:abstractNum w:abstractNumId="133">
    <w:nsid w:val="24F6AB8E"/>
    <w:multiLevelType w:val="hybridMultilevel"/>
    <w:lvl w:ilvl="0">
      <w:lvlJc w:val="left"/>
      <w:lvlText w:val="(%1)"/>
      <w:numFmt w:val="lowerLetter"/>
      <w:start w:val="4"/>
    </w:lvl>
  </w:abstractNum>
  <w:abstractNum w:abstractNumId="134">
    <w:nsid w:val="634C574C"/>
    <w:multiLevelType w:val="hybridMultilevel"/>
    <w:lvl w:ilvl="0">
      <w:lvlJc w:val="left"/>
      <w:lvlText w:val="(%1)"/>
      <w:numFmt w:val="lowerLetter"/>
      <w:start w:val="2"/>
    </w:lvl>
  </w:abstractNum>
  <w:abstractNum w:abstractNumId="135">
    <w:nsid w:val="24E99DD7"/>
    <w:multiLevelType w:val="hybridMultilevel"/>
    <w:lvl w:ilvl="0">
      <w:lvlJc w:val="left"/>
      <w:lvlText w:val="(%1)"/>
      <w:numFmt w:val="lowerLetter"/>
      <w:start w:val="1"/>
    </w:lvl>
  </w:abstractNum>
  <w:abstractNum w:abstractNumId="136">
    <w:nsid w:val="2A31B62D"/>
    <w:multiLevelType w:val="hybridMultilevel"/>
    <w:lvl w:ilvl="0">
      <w:lvlJc w:val="left"/>
      <w:lvlText w:val="(%1)"/>
      <w:numFmt w:val="lowerLetter"/>
      <w:start w:val="3"/>
    </w:lvl>
  </w:abstractNum>
  <w:abstractNum w:abstractNumId="137">
    <w:nsid w:val="1849C29B"/>
    <w:multiLevelType w:val="hybridMultilevel"/>
    <w:lvl w:ilvl="0">
      <w:lvlJc w:val="left"/>
      <w:lvlText w:val="§§"/>
      <w:numFmt w:val="bullet"/>
      <w:start w:val="1"/>
    </w:lvl>
  </w:abstractNum>
  <w:abstractNum w:abstractNumId="138">
    <w:nsid w:val="7DFF9D09"/>
    <w:multiLevelType w:val="hybridMultilevel"/>
    <w:lvl w:ilvl="0">
      <w:lvlJc w:val="left"/>
      <w:lvlText w:val="%1."/>
      <w:numFmt w:val="decimal"/>
      <w:start w:val="1"/>
    </w:lvl>
    <w:lvl w:ilvl="1">
      <w:lvlJc w:val="left"/>
      <w:lvlText w:val="(%2)"/>
      <w:numFmt w:val="lowerLetter"/>
      <w:start w:val="1"/>
    </w:lvl>
  </w:abstractNum>
  <w:abstractNum w:abstractNumId="139">
    <w:nsid w:val="754342"/>
    <w:multiLevelType w:val="hybridMultilevel"/>
    <w:lvl w:ilvl="0">
      <w:lvlJc w:val="left"/>
      <w:lvlText w:val="%1."/>
      <w:numFmt w:val="decimal"/>
      <w:start w:val="1"/>
    </w:lvl>
    <w:lvl w:ilvl="1">
      <w:lvlJc w:val="left"/>
      <w:lvlText w:val="(%2)"/>
      <w:numFmt w:val="lowerLetter"/>
      <w:start w:val="1"/>
    </w:lvl>
  </w:abstractNum>
  <w:abstractNum w:abstractNumId="140">
    <w:nsid w:val="69E7F3E5"/>
    <w:multiLevelType w:val="hybridMultilevel"/>
    <w:lvl w:ilvl="0">
      <w:lvlJc w:val="left"/>
      <w:lvlText w:val="%1."/>
      <w:numFmt w:val="decimal"/>
      <w:start w:val="1"/>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2022-08-09T03:45:58Z</dcterms:created>
  <dcterms:modified xsi:type="dcterms:W3CDTF">2022-08-09T03:45:58Z</dcterms:modified>
</cp:coreProperties>
</file>