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2220" w:right="1000" w:hanging="1132"/>
        <w:spacing w:after="0" w:line="282" w:lineRule="auto"/>
        <w:tabs>
          <w:tab w:leader="none" w:pos="2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220" w:right="980" w:hanging="1132"/>
        <w:spacing w:after="0" w:line="282" w:lineRule="auto"/>
        <w:tabs>
          <w:tab w:leader="none" w:pos="2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1-38300</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CANNAE HOLDINGS, INC.</w:t>
      </w:r>
    </w:p>
    <w:p>
      <w:pPr>
        <w:spacing w:after="0" w:line="45" w:lineRule="exact"/>
        <w:rPr>
          <w:sz w:val="24"/>
          <w:szCs w:val="24"/>
          <w:color w:val="auto"/>
        </w:rPr>
      </w:pPr>
    </w:p>
    <w:p>
      <w:pPr>
        <w:ind w:left="15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1160" w:type="dxa"/>
        <w:tblCellMar>
          <w:top w:w="0" w:type="dxa"/>
          <w:left w:w="0" w:type="dxa"/>
          <w:bottom w:w="0" w:type="dxa"/>
          <w:right w:w="0" w:type="dxa"/>
        </w:tblCellMar>
      </w:tblPr>
      <w:tr>
        <w:trPr>
          <w:trHeight w:val="230"/>
        </w:trPr>
        <w:tc>
          <w:tcPr>
            <w:tcW w:w="3260" w:type="dxa"/>
            <w:vAlign w:val="bottom"/>
          </w:tcPr>
          <w:p>
            <w:pPr>
              <w:jc w:val="center"/>
              <w:ind w:left="750"/>
              <w:spacing w:after="0"/>
              <w:rPr>
                <w:sz w:val="20"/>
                <w:szCs w:val="20"/>
                <w:color w:val="auto"/>
              </w:rPr>
            </w:pPr>
            <w:r>
              <w:rPr>
                <w:rFonts w:ascii="Arial" w:cs="Arial" w:eastAsia="Arial" w:hAnsi="Arial"/>
                <w:sz w:val="18"/>
                <w:szCs w:val="18"/>
                <w:color w:val="auto"/>
                <w:w w:val="92"/>
              </w:rPr>
              <w:t>Delaware</w:t>
            </w: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20" w:type="dxa"/>
            <w:vAlign w:val="bottom"/>
          </w:tcPr>
          <w:p>
            <w:pPr>
              <w:jc w:val="right"/>
              <w:ind w:right="1590"/>
              <w:spacing w:after="0"/>
              <w:rPr>
                <w:sz w:val="20"/>
                <w:szCs w:val="20"/>
                <w:color w:val="auto"/>
              </w:rPr>
            </w:pPr>
            <w:r>
              <w:rPr>
                <w:rFonts w:ascii="Arial" w:cs="Arial" w:eastAsia="Arial" w:hAnsi="Arial"/>
                <w:sz w:val="18"/>
                <w:szCs w:val="18"/>
                <w:color w:val="auto"/>
              </w:rPr>
              <w:t>82-1273460</w:t>
            </w:r>
          </w:p>
        </w:tc>
      </w:tr>
      <w:tr>
        <w:trPr>
          <w:trHeight w:val="27"/>
        </w:trPr>
        <w:tc>
          <w:tcPr>
            <w:tcW w:w="3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260" w:type="dxa"/>
            <w:vAlign w:val="bottom"/>
          </w:tcPr>
          <w:p>
            <w:pPr>
              <w:jc w:val="center"/>
              <w:ind w:left="750"/>
              <w:spacing w:after="0"/>
              <w:rPr>
                <w:sz w:val="20"/>
                <w:szCs w:val="20"/>
                <w:color w:val="auto"/>
              </w:rPr>
            </w:pPr>
            <w:r>
              <w:rPr>
                <w:rFonts w:ascii="Arial" w:cs="Arial" w:eastAsia="Arial" w:hAnsi="Arial"/>
                <w:sz w:val="18"/>
                <w:szCs w:val="18"/>
                <w:color w:val="auto"/>
                <w:w w:val="93"/>
              </w:rPr>
              <w:t>(State or other jurisdiction of</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20" w:type="dxa"/>
            <w:vAlign w:val="bottom"/>
          </w:tcPr>
          <w:p>
            <w:pPr>
              <w:jc w:val="center"/>
              <w:ind w:right="710"/>
              <w:spacing w:after="0"/>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ind w:left="770"/>
              <w:spacing w:after="0"/>
              <w:rPr>
                <w:sz w:val="20"/>
                <w:szCs w:val="20"/>
                <w:color w:val="auto"/>
              </w:rPr>
            </w:pPr>
            <w:r>
              <w:rPr>
                <w:rFonts w:ascii="Arial" w:cs="Arial" w:eastAsia="Arial" w:hAnsi="Arial"/>
                <w:sz w:val="18"/>
                <w:szCs w:val="18"/>
                <w:color w:val="auto"/>
                <w:w w:val="92"/>
              </w:rPr>
              <w:t>incorporation or organization)</w:t>
            </w: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20" w:type="dxa"/>
            <w:vAlign w:val="bottom"/>
          </w:tcPr>
          <w:p>
            <w:pPr>
              <w:jc w:val="center"/>
              <w:ind w:right="710"/>
              <w:spacing w:after="0"/>
              <w:rPr>
                <w:sz w:val="20"/>
                <w:szCs w:val="20"/>
                <w:color w:val="auto"/>
              </w:rPr>
            </w:pPr>
            <w:r>
              <w:rPr>
                <w:rFonts w:ascii="Arial" w:cs="Arial" w:eastAsia="Arial" w:hAnsi="Arial"/>
                <w:sz w:val="18"/>
                <w:szCs w:val="18"/>
                <w:color w:val="auto"/>
                <w:w w:val="94"/>
              </w:rPr>
              <w:t>Identification Number)</w:t>
            </w:r>
          </w:p>
        </w:tc>
      </w:tr>
      <w:tr>
        <w:trPr>
          <w:trHeight w:val="540"/>
        </w:trPr>
        <w:tc>
          <w:tcPr>
            <w:tcW w:w="3260" w:type="dxa"/>
            <w:vAlign w:val="bottom"/>
          </w:tcPr>
          <w:p>
            <w:pPr>
              <w:ind w:left="180"/>
              <w:spacing w:after="0"/>
              <w:rPr>
                <w:sz w:val="20"/>
                <w:szCs w:val="20"/>
                <w:color w:val="auto"/>
              </w:rPr>
            </w:pPr>
            <w:r>
              <w:rPr>
                <w:rFonts w:ascii="Arial" w:cs="Arial" w:eastAsia="Arial" w:hAnsi="Arial"/>
                <w:sz w:val="18"/>
                <w:szCs w:val="18"/>
                <w:color w:val="auto"/>
                <w:w w:val="97"/>
              </w:rPr>
              <w:t>1701 Village Center Circle,  Las Vegas,</w:t>
            </w:r>
          </w:p>
        </w:tc>
        <w:tc>
          <w:tcPr>
            <w:tcW w:w="2260" w:type="dxa"/>
            <w:vAlign w:val="bottom"/>
            <w:gridSpan w:val="3"/>
          </w:tcPr>
          <w:p>
            <w:pPr>
              <w:jc w:val="right"/>
              <w:ind w:right="1580"/>
              <w:spacing w:after="0"/>
              <w:rPr>
                <w:sz w:val="20"/>
                <w:szCs w:val="20"/>
                <w:color w:val="auto"/>
              </w:rPr>
            </w:pPr>
            <w:r>
              <w:rPr>
                <w:rFonts w:ascii="Arial" w:cs="Arial" w:eastAsia="Arial" w:hAnsi="Arial"/>
                <w:sz w:val="18"/>
                <w:szCs w:val="18"/>
                <w:color w:val="auto"/>
              </w:rPr>
              <w:t>Nevada</w:t>
            </w:r>
          </w:p>
        </w:tc>
        <w:tc>
          <w:tcPr>
            <w:tcW w:w="3420" w:type="dxa"/>
            <w:vAlign w:val="bottom"/>
          </w:tcPr>
          <w:p>
            <w:pPr>
              <w:jc w:val="right"/>
              <w:ind w:right="1790"/>
              <w:spacing w:after="0"/>
              <w:rPr>
                <w:sz w:val="20"/>
                <w:szCs w:val="20"/>
                <w:color w:val="auto"/>
              </w:rPr>
            </w:pPr>
            <w:r>
              <w:rPr>
                <w:rFonts w:ascii="Arial" w:cs="Arial" w:eastAsia="Arial" w:hAnsi="Arial"/>
                <w:sz w:val="18"/>
                <w:szCs w:val="18"/>
                <w:color w:val="auto"/>
              </w:rPr>
              <w:t>89134</w:t>
            </w:r>
          </w:p>
        </w:tc>
      </w:tr>
      <w:tr>
        <w:trPr>
          <w:trHeight w:val="27"/>
        </w:trPr>
        <w:tc>
          <w:tcPr>
            <w:tcW w:w="4120" w:type="dxa"/>
            <w:vAlign w:val="bottom"/>
            <w:tcBorders>
              <w:bottom w:val="single" w:sz="8" w:color="auto"/>
            </w:tcBorders>
            <w:gridSpan w:val="2"/>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37"/>
        </w:trPr>
        <w:tc>
          <w:tcPr>
            <w:tcW w:w="5520" w:type="dxa"/>
            <w:vAlign w:val="bottom"/>
            <w:gridSpan w:val="4"/>
          </w:tcPr>
          <w:p>
            <w:pPr>
              <w:jc w:val="center"/>
              <w:ind w:right="142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jc w:val="center"/>
              <w:ind w:right="690"/>
              <w:spacing w:after="0"/>
              <w:rPr>
                <w:sz w:val="20"/>
                <w:szCs w:val="20"/>
                <w:color w:val="auto"/>
              </w:rPr>
            </w:pPr>
            <w:r>
              <w:rPr>
                <w:rFonts w:ascii="Arial" w:cs="Arial" w:eastAsia="Arial" w:hAnsi="Arial"/>
                <w:sz w:val="18"/>
                <w:szCs w:val="18"/>
                <w:color w:val="auto"/>
                <w:w w:val="94"/>
              </w:rPr>
              <w:t>(Zip Code)</w:t>
            </w:r>
          </w:p>
        </w:tc>
      </w:tr>
      <w:tr>
        <w:trPr>
          <w:trHeight w:val="257"/>
        </w:trPr>
        <w:tc>
          <w:tcPr>
            <w:tcW w:w="3260" w:type="dxa"/>
            <w:vAlign w:val="bottom"/>
          </w:tcPr>
          <w:p>
            <w:pPr>
              <w:spacing w:after="0"/>
              <w:rPr>
                <w:sz w:val="22"/>
                <w:szCs w:val="22"/>
                <w:color w:val="auto"/>
              </w:rPr>
            </w:pPr>
          </w:p>
        </w:tc>
        <w:tc>
          <w:tcPr>
            <w:tcW w:w="2260" w:type="dxa"/>
            <w:vAlign w:val="bottom"/>
            <w:gridSpan w:val="3"/>
          </w:tcPr>
          <w:p>
            <w:pPr>
              <w:jc w:val="right"/>
              <w:ind w:right="500"/>
              <w:spacing w:after="0"/>
              <w:rPr>
                <w:sz w:val="20"/>
                <w:szCs w:val="20"/>
                <w:color w:val="auto"/>
              </w:rPr>
            </w:pPr>
            <w:r>
              <w:rPr>
                <w:rFonts w:ascii="Arial" w:cs="Arial" w:eastAsia="Arial" w:hAnsi="Arial"/>
                <w:sz w:val="18"/>
                <w:szCs w:val="18"/>
                <w:color w:val="auto"/>
              </w:rPr>
              <w:t>(702) 323-7330</w:t>
            </w:r>
          </w:p>
        </w:tc>
        <w:tc>
          <w:tcPr>
            <w:tcW w:w="3420" w:type="dxa"/>
            <w:vAlign w:val="bottom"/>
          </w:tcPr>
          <w:p>
            <w:pPr>
              <w:spacing w:after="0"/>
              <w:rPr>
                <w:sz w:val="22"/>
                <w:szCs w:val="22"/>
                <w:color w:val="auto"/>
              </w:rPr>
            </w:pPr>
          </w:p>
        </w:tc>
      </w:tr>
    </w:tbl>
    <w:p>
      <w:pPr>
        <w:spacing w:after="0" w:line="4" w:lineRule="exact"/>
        <w:rPr>
          <w:sz w:val="24"/>
          <w:szCs w:val="24"/>
          <w:color w:val="auto"/>
        </w:rPr>
      </w:pPr>
    </w:p>
    <w:p>
      <w:pPr>
        <w:ind w:left="3820"/>
        <w:spacing w:after="0"/>
        <w:rPr>
          <w:sz w:val="20"/>
          <w:szCs w:val="20"/>
          <w:color w:val="auto"/>
        </w:rPr>
      </w:pPr>
      <w:r>
        <w:rPr>
          <w:rFonts w:ascii="Arial" w:cs="Arial" w:eastAsia="Arial" w:hAnsi="Arial"/>
          <w:sz w:val="11"/>
          <w:szCs w:val="11"/>
          <w:color w:val="auto"/>
        </w:rPr>
        <w:t>___________________________________________________________________</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3" w:lineRule="exact"/>
        <w:rPr>
          <w:sz w:val="24"/>
          <w:szCs w:val="24"/>
          <w:color w:val="auto"/>
        </w:rPr>
      </w:pPr>
    </w:p>
    <w:tbl>
      <w:tblPr>
        <w:tblLayout w:type="fixed"/>
        <w:tblInd w:w="44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2960" w:type="dxa"/>
            <w:vAlign w:val="bottom"/>
            <w:gridSpan w:val="2"/>
          </w:tcPr>
          <w:p>
            <w:pPr>
              <w:jc w:val="center"/>
              <w:ind w:right="1680"/>
              <w:spacing w:after="0"/>
              <w:rPr>
                <w:sz w:val="20"/>
                <w:szCs w:val="20"/>
                <w:color w:val="auto"/>
              </w:rPr>
            </w:pPr>
            <w:r>
              <w:rPr>
                <w:rFonts w:ascii="Arial" w:cs="Arial" w:eastAsia="Arial" w:hAnsi="Arial"/>
                <w:sz w:val="16"/>
                <w:szCs w:val="16"/>
                <w:b w:val="1"/>
                <w:bCs w:val="1"/>
                <w:color w:val="auto"/>
                <w:w w:val="89"/>
              </w:rPr>
              <w:t>Title of Each Class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660" w:type="dxa"/>
            <w:vAlign w:val="bottom"/>
            <w:gridSpan w:val="2"/>
          </w:tcPr>
          <w:p>
            <w:pPr>
              <w:jc w:val="center"/>
              <w:ind w:left="139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0"/>
        </w:trPr>
        <w:tc>
          <w:tcPr>
            <w:tcW w:w="3860" w:type="dxa"/>
            <w:vAlign w:val="bottom"/>
            <w:gridSpan w:val="3"/>
          </w:tcPr>
          <w:p>
            <w:pPr>
              <w:jc w:val="center"/>
              <w:ind w:right="780"/>
              <w:spacing w:after="0"/>
              <w:rPr>
                <w:sz w:val="20"/>
                <w:szCs w:val="20"/>
                <w:color w:val="auto"/>
              </w:rPr>
            </w:pPr>
            <w:r>
              <w:rPr>
                <w:rFonts w:ascii="Arial" w:cs="Arial" w:eastAsia="Arial" w:hAnsi="Arial"/>
                <w:sz w:val="18"/>
                <w:szCs w:val="18"/>
                <w:color w:val="auto"/>
                <w:w w:val="89"/>
              </w:rPr>
              <w:t>Cannae Common Stock, $0.0001 par value</w:t>
            </w: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CNNE</w:t>
            </w:r>
          </w:p>
        </w:tc>
        <w:tc>
          <w:tcPr>
            <w:tcW w:w="14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2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35"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30"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22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Accelerated</w:t>
            </w:r>
          </w:p>
        </w:tc>
        <w:tc>
          <w:tcPr>
            <w:tcW w:w="3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Non-accelerated</w:t>
            </w:r>
          </w:p>
        </w:tc>
        <w:tc>
          <w:tcPr>
            <w:tcW w:w="44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Pr>
          <w:p>
            <w:pPr>
              <w:spacing w:after="0"/>
              <w:rPr>
                <w:sz w:val="18"/>
                <w:szCs w:val="18"/>
                <w:color w:val="auto"/>
              </w:rPr>
            </w:pP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0"/>
        </w:trPr>
        <w:tc>
          <w:tcPr>
            <w:tcW w:w="2260" w:type="dxa"/>
            <w:vAlign w:val="bottom"/>
            <w:vMerge w:val="continue"/>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filer</w:t>
            </w:r>
          </w:p>
        </w:tc>
        <w:tc>
          <w:tcPr>
            <w:tcW w:w="380" w:type="dxa"/>
            <w:vAlign w:val="bottom"/>
            <w:vMerge w:val="continue"/>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filer</w:t>
            </w:r>
          </w:p>
        </w:tc>
        <w:tc>
          <w:tcPr>
            <w:tcW w:w="440" w:type="dxa"/>
            <w:vAlign w:val="bottom"/>
            <w:vMerge w:val="continue"/>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60" w:type="dxa"/>
            <w:vAlign w:val="bottom"/>
            <w:vMerge w:val="continue"/>
          </w:tcPr>
          <w:p>
            <w:pPr>
              <w:spacing w:after="0"/>
              <w:rPr>
                <w:sz w:val="21"/>
                <w:szCs w:val="21"/>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w w:val="97"/>
              </w:rPr>
              <w:t>Emerging growth company</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28" w:lineRule="exact"/>
        <w:rPr>
          <w:sz w:val="24"/>
          <w:szCs w:val="24"/>
          <w:color w:val="auto"/>
        </w:rPr>
      </w:pPr>
    </w:p>
    <w:p>
      <w:pPr>
        <w:spacing w:after="0" w:line="25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4" w:lineRule="exact"/>
        <w:rPr>
          <w:sz w:val="24"/>
          <w:szCs w:val="24"/>
          <w:color w:val="auto"/>
        </w:rPr>
      </w:pPr>
    </w:p>
    <w:p>
      <w:pPr>
        <w:ind w:left="340" w:right="16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30, 2020 there were 79,006,724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March 31, 2020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9040" w:type="dxa"/>
            <w:vAlign w:val="bottom"/>
          </w:tcPr>
          <w:p>
            <w:pPr>
              <w:spacing w:after="0"/>
              <w:rPr>
                <w:sz w:val="16"/>
                <w:szCs w:val="16"/>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243"/>
        </w:trPr>
        <w:tc>
          <w:tcPr>
            <w:tcW w:w="10080" w:type="dxa"/>
            <w:vAlign w:val="bottom"/>
            <w:gridSpan w:val="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 FINANCIAL INFORMATION</w:t>
              </w:r>
            </w:hyperlink>
          </w:p>
        </w:tc>
        <w:tc>
          <w:tcPr>
            <w:tcW w:w="1120" w:type="dxa"/>
            <w:vAlign w:val="bottom"/>
          </w:tcPr>
          <w:p>
            <w:pPr>
              <w:spacing w:after="0"/>
              <w:rPr>
                <w:sz w:val="21"/>
                <w:szCs w:val="21"/>
                <w:color w:val="auto"/>
              </w:rPr>
            </w:pPr>
          </w:p>
        </w:tc>
      </w:tr>
      <w:tr>
        <w:trPr>
          <w:trHeight w:val="270"/>
        </w:trPr>
        <w:tc>
          <w:tcPr>
            <w:tcW w:w="10080" w:type="dxa"/>
            <w:vAlign w:val="bottom"/>
            <w:gridSpan w:val="2"/>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Unaudited Condensed Consolidated Financial Statements</w:t>
              </w:r>
            </w:hyperlink>
          </w:p>
        </w:tc>
        <w:tc>
          <w:tcPr>
            <w:tcW w:w="1120" w:type="dxa"/>
            <w:vAlign w:val="bottom"/>
          </w:tcPr>
          <w:p>
            <w:pPr>
              <w:spacing w:after="0"/>
              <w:rPr>
                <w:sz w:val="23"/>
                <w:szCs w:val="23"/>
                <w:color w:val="auto"/>
              </w:rPr>
            </w:pPr>
          </w:p>
        </w:tc>
      </w:tr>
      <w:tr>
        <w:trPr>
          <w:trHeight w:val="270"/>
        </w:trPr>
        <w:tc>
          <w:tcPr>
            <w:tcW w:w="10080" w:type="dxa"/>
            <w:vAlign w:val="bottom"/>
            <w:gridSpan w:val="2"/>
          </w:tcPr>
          <w:p>
            <w:pPr>
              <w:ind w:left="5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 Condensed Consolidated Balance Sheets as of March 31, 2020 and December 31, 2019</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70"/>
        </w:trPr>
        <w:tc>
          <w:tcPr>
            <w:tcW w:w="10080" w:type="dxa"/>
            <w:vAlign w:val="bottom"/>
            <w:gridSpan w:val="2"/>
          </w:tcPr>
          <w:p>
            <w:pPr>
              <w:ind w:left="5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 Condensed Consolidated Statements of Operations for the three-month periods ended March 31, 2020 and 2019</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r>
      <w:tr>
        <w:trPr>
          <w:trHeight w:val="270"/>
        </w:trPr>
        <w:tc>
          <w:tcPr>
            <w:tcW w:w="10080" w:type="dxa"/>
            <w:vAlign w:val="bottom"/>
            <w:gridSpan w:val="2"/>
          </w:tcPr>
          <w:p>
            <w:pPr>
              <w:ind w:left="500"/>
              <w:spacing w:after="0"/>
              <w:rPr>
                <w:rFonts w:ascii="Arial" w:cs="Arial" w:eastAsia="Arial" w:hAnsi="Arial"/>
                <w:sz w:val="18"/>
                <w:szCs w:val="18"/>
                <w:u w:val="single" w:color="auto"/>
                <w:color w:val="0000EE"/>
                <w:w w:val="92"/>
              </w:rPr>
            </w:pPr>
            <w:hyperlink w:anchor="page5">
              <w:r>
                <w:rPr>
                  <w:rFonts w:ascii="Arial" w:cs="Arial" w:eastAsia="Arial" w:hAnsi="Arial"/>
                  <w:sz w:val="18"/>
                  <w:szCs w:val="18"/>
                  <w:u w:val="single" w:color="auto"/>
                  <w:color w:val="0000EE"/>
                  <w:w w:val="92"/>
                </w:rPr>
                <w:t>C. Condensed Consolidated Statements of Comprehensive Earnings for the three-month periods ended March 31, 2020 and 2019</w:t>
              </w:r>
            </w:hyperlink>
          </w:p>
        </w:tc>
        <w:tc>
          <w:tcPr>
            <w:tcW w:w="11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r>
      <w:tr>
        <w:trPr>
          <w:trHeight w:val="270"/>
        </w:trPr>
        <w:tc>
          <w:tcPr>
            <w:tcW w:w="10080" w:type="dxa"/>
            <w:vAlign w:val="bottom"/>
            <w:gridSpan w:val="2"/>
          </w:tcPr>
          <w:p>
            <w:pPr>
              <w:ind w:left="5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D. Condensed Consolidated Statements of Equity for the three-month periods ended March 31, 2020 and 2019</w:t>
              </w:r>
            </w:hyperlink>
          </w:p>
        </w:tc>
        <w:tc>
          <w:tcPr>
            <w:tcW w:w="11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r>
      <w:tr>
        <w:trPr>
          <w:trHeight w:val="270"/>
        </w:trPr>
        <w:tc>
          <w:tcPr>
            <w:tcW w:w="10080" w:type="dxa"/>
            <w:vAlign w:val="bottom"/>
            <w:gridSpan w:val="2"/>
          </w:tcPr>
          <w:p>
            <w:pPr>
              <w:ind w:left="5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E. Condensed Consolidated Statements of Cash Flows for the three-month periods ended March 31, 2020 and 2019</w:t>
              </w:r>
            </w:hyperlink>
          </w:p>
        </w:tc>
        <w:tc>
          <w:tcPr>
            <w:tcW w:w="11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tc>
      </w:tr>
      <w:tr>
        <w:trPr>
          <w:trHeight w:val="270"/>
        </w:trPr>
        <w:tc>
          <w:tcPr>
            <w:tcW w:w="10080" w:type="dxa"/>
            <w:vAlign w:val="bottom"/>
            <w:gridSpan w:val="2"/>
          </w:tcPr>
          <w:p>
            <w:pPr>
              <w:ind w:left="5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F. Notes to Condensed Consolidated Financial Statements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tc>
      </w:tr>
      <w:tr>
        <w:trPr>
          <w:trHeight w:val="270"/>
        </w:trPr>
        <w:tc>
          <w:tcPr>
            <w:tcW w:w="10080" w:type="dxa"/>
            <w:vAlign w:val="bottom"/>
            <w:gridSpan w:val="2"/>
          </w:tcPr>
          <w:p>
            <w:pPr>
              <w:ind w:left="50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2. Management’s Discussion and Analysis of Financial Condition and Results of Operations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tc>
      </w:tr>
      <w:tr>
        <w:trPr>
          <w:trHeight w:val="270"/>
        </w:trPr>
        <w:tc>
          <w:tcPr>
            <w:tcW w:w="10080" w:type="dxa"/>
            <w:vAlign w:val="bottom"/>
            <w:gridSpan w:val="2"/>
          </w:tcPr>
          <w:p>
            <w:pPr>
              <w:ind w:left="50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3. Quantitative and Qualitative Disclosure About Market Risk</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r>
      <w:tr>
        <w:trPr>
          <w:trHeight w:val="270"/>
        </w:trPr>
        <w:tc>
          <w:tcPr>
            <w:tcW w:w="1040" w:type="dxa"/>
            <w:vAlign w:val="bottom"/>
          </w:tcPr>
          <w:p>
            <w:pPr>
              <w:ind w:left="500"/>
              <w:spacing w:after="0"/>
              <w:rPr>
                <w:rFonts w:ascii="Arial" w:cs="Arial" w:eastAsia="Arial" w:hAnsi="Arial"/>
                <w:sz w:val="18"/>
                <w:szCs w:val="18"/>
                <w:u w:val="single" w:color="auto"/>
                <w:color w:val="0000FF"/>
                <w:w w:val="94"/>
              </w:rPr>
            </w:pPr>
            <w:hyperlink w:anchor="page32">
              <w:r>
                <w:rPr>
                  <w:rFonts w:ascii="Arial" w:cs="Arial" w:eastAsia="Arial" w:hAnsi="Arial"/>
                  <w:sz w:val="18"/>
                  <w:szCs w:val="18"/>
                  <w:u w:val="single" w:color="auto"/>
                  <w:color w:val="0000FF"/>
                  <w:w w:val="94"/>
                </w:rPr>
                <w:t>Item 4.</w:t>
              </w:r>
            </w:hyperlink>
          </w:p>
        </w:tc>
        <w:tc>
          <w:tcPr>
            <w:tcW w:w="9040" w:type="dxa"/>
            <w:vAlign w:val="bottom"/>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Controls and Procedures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r>
      <w:tr>
        <w:trPr>
          <w:trHeight w:val="270"/>
        </w:trPr>
        <w:tc>
          <w:tcPr>
            <w:tcW w:w="10080" w:type="dxa"/>
            <w:vAlign w:val="bottom"/>
            <w:gridSpan w:val="2"/>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Part II: OTHER INFORMATION</w:t>
              </w:r>
            </w:hyperlink>
          </w:p>
        </w:tc>
        <w:tc>
          <w:tcPr>
            <w:tcW w:w="1120" w:type="dxa"/>
            <w:vAlign w:val="bottom"/>
          </w:tcPr>
          <w:p>
            <w:pPr>
              <w:spacing w:after="0"/>
              <w:rPr>
                <w:sz w:val="23"/>
                <w:szCs w:val="23"/>
                <w:color w:val="auto"/>
              </w:rPr>
            </w:pPr>
          </w:p>
        </w:tc>
      </w:tr>
      <w:tr>
        <w:trPr>
          <w:trHeight w:val="270"/>
        </w:trPr>
        <w:tc>
          <w:tcPr>
            <w:tcW w:w="1040" w:type="dxa"/>
            <w:vAlign w:val="bottom"/>
          </w:tcPr>
          <w:p>
            <w:pPr>
              <w:ind w:left="500"/>
              <w:spacing w:after="0"/>
              <w:rPr>
                <w:rFonts w:ascii="Arial" w:cs="Arial" w:eastAsia="Arial" w:hAnsi="Arial"/>
                <w:sz w:val="18"/>
                <w:szCs w:val="18"/>
                <w:u w:val="single" w:color="auto"/>
                <w:color w:val="0000FF"/>
                <w:w w:val="94"/>
              </w:rPr>
            </w:pPr>
            <w:hyperlink w:anchor="page33">
              <w:r>
                <w:rPr>
                  <w:rFonts w:ascii="Arial" w:cs="Arial" w:eastAsia="Arial" w:hAnsi="Arial"/>
                  <w:sz w:val="18"/>
                  <w:szCs w:val="18"/>
                  <w:u w:val="single" w:color="auto"/>
                  <w:color w:val="0000FF"/>
                  <w:w w:val="94"/>
                </w:rPr>
                <w:t>Item 1.</w:t>
              </w:r>
            </w:hyperlink>
          </w:p>
        </w:tc>
        <w:tc>
          <w:tcPr>
            <w:tcW w:w="9040" w:type="dxa"/>
            <w:vAlign w:val="bottom"/>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Legal Proceedings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r>
      <w:tr>
        <w:trPr>
          <w:trHeight w:val="270"/>
        </w:trPr>
        <w:tc>
          <w:tcPr>
            <w:tcW w:w="10080" w:type="dxa"/>
            <w:vAlign w:val="bottom"/>
            <w:gridSpan w:val="2"/>
          </w:tcPr>
          <w:p>
            <w:pPr>
              <w:ind w:left="2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1A. Risk Factors</w:t>
              </w:r>
            </w:hyperlink>
          </w:p>
        </w:tc>
        <w:tc>
          <w:tcPr>
            <w:tcW w:w="112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31</w:t>
              </w:r>
            </w:hyperlink>
          </w:p>
        </w:tc>
      </w:tr>
      <w:tr>
        <w:trPr>
          <w:trHeight w:val="270"/>
        </w:trPr>
        <w:tc>
          <w:tcPr>
            <w:tcW w:w="1040" w:type="dxa"/>
            <w:vAlign w:val="bottom"/>
          </w:tcPr>
          <w:p>
            <w:pPr>
              <w:ind w:left="500"/>
              <w:spacing w:after="0"/>
              <w:rPr>
                <w:rFonts w:ascii="Arial" w:cs="Arial" w:eastAsia="Arial" w:hAnsi="Arial"/>
                <w:sz w:val="18"/>
                <w:szCs w:val="18"/>
                <w:u w:val="single" w:color="auto"/>
                <w:color w:val="0000FF"/>
                <w:w w:val="94"/>
              </w:rPr>
            </w:pPr>
            <w:hyperlink w:anchor="page34">
              <w:r>
                <w:rPr>
                  <w:rFonts w:ascii="Arial" w:cs="Arial" w:eastAsia="Arial" w:hAnsi="Arial"/>
                  <w:sz w:val="18"/>
                  <w:szCs w:val="18"/>
                  <w:u w:val="single" w:color="auto"/>
                  <w:color w:val="0000FF"/>
                  <w:w w:val="94"/>
                </w:rPr>
                <w:t>Item 2.</w:t>
              </w:r>
            </w:hyperlink>
          </w:p>
        </w:tc>
        <w:tc>
          <w:tcPr>
            <w:tcW w:w="904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Unregistered Sales of Equity Securities and Use of Proceeds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32</w:t>
              </w:r>
            </w:hyperlink>
          </w:p>
        </w:tc>
      </w:tr>
      <w:tr>
        <w:trPr>
          <w:trHeight w:val="270"/>
        </w:trPr>
        <w:tc>
          <w:tcPr>
            <w:tcW w:w="1040" w:type="dxa"/>
            <w:vAlign w:val="bottom"/>
          </w:tcPr>
          <w:p>
            <w:pPr>
              <w:ind w:left="500"/>
              <w:spacing w:after="0"/>
              <w:rPr>
                <w:rFonts w:ascii="Arial" w:cs="Arial" w:eastAsia="Arial" w:hAnsi="Arial"/>
                <w:sz w:val="18"/>
                <w:szCs w:val="18"/>
                <w:u w:val="single" w:color="auto"/>
                <w:color w:val="0000FF"/>
                <w:w w:val="94"/>
              </w:rPr>
            </w:pPr>
            <w:hyperlink w:anchor="page35">
              <w:r>
                <w:rPr>
                  <w:rFonts w:ascii="Arial" w:cs="Arial" w:eastAsia="Arial" w:hAnsi="Arial"/>
                  <w:sz w:val="18"/>
                  <w:szCs w:val="18"/>
                  <w:u w:val="single" w:color="auto"/>
                  <w:color w:val="0000FF"/>
                  <w:w w:val="94"/>
                </w:rPr>
                <w:t>Item 6.</w:t>
              </w:r>
            </w:hyperlink>
          </w:p>
        </w:tc>
        <w:tc>
          <w:tcPr>
            <w:tcW w:w="904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Exhibits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60" w:top="337"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000" w:type="dxa"/>
            <w:vAlign w:val="bottom"/>
          </w:tcPr>
          <w:p>
            <w:pPr>
              <w:ind w:left="80"/>
              <w:spacing w:after="0"/>
              <w:rPr>
                <w:sz w:val="20"/>
                <w:szCs w:val="20"/>
                <w:color w:val="auto"/>
              </w:rPr>
            </w:pPr>
            <w:r>
              <w:rPr>
                <w:rFonts w:ascii="Arial" w:cs="Arial" w:eastAsia="Arial" w:hAnsi="Arial"/>
                <w:sz w:val="18"/>
                <w:szCs w:val="18"/>
                <w:b w:val="1"/>
                <w:bCs w:val="1"/>
                <w:color w:val="auto"/>
              </w:rPr>
              <w:t>Condensed Consolidated Financial Statements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8000" w:type="dxa"/>
            <w:vAlign w:val="bottom"/>
          </w:tcPr>
          <w:p>
            <w:pPr>
              <w:jc w:val="center"/>
              <w:ind w:left="1356"/>
              <w:spacing w:after="0"/>
              <w:rPr>
                <w:sz w:val="20"/>
                <w:szCs w:val="20"/>
                <w:color w:val="auto"/>
              </w:rPr>
            </w:pPr>
            <w:r>
              <w:rPr>
                <w:rFonts w:ascii="Arial" w:cs="Arial" w:eastAsia="Arial" w:hAnsi="Arial"/>
                <w:sz w:val="18"/>
                <w:szCs w:val="18"/>
                <w:b w:val="1"/>
                <w:bCs w:val="1"/>
                <w:color w:val="auto"/>
              </w:rPr>
              <w:t>CANNAE HOLDINGS,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8000" w:type="dxa"/>
            <w:vAlign w:val="bottom"/>
          </w:tcPr>
          <w:p>
            <w:pPr>
              <w:jc w:val="center"/>
              <w:ind w:left="1356"/>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000" w:type="dxa"/>
            <w:vAlign w:val="bottom"/>
          </w:tcPr>
          <w:p>
            <w:pPr>
              <w:jc w:val="center"/>
              <w:ind w:left="1376"/>
              <w:spacing w:after="0"/>
              <w:rPr>
                <w:sz w:val="20"/>
                <w:szCs w:val="20"/>
                <w:color w:val="auto"/>
              </w:rPr>
            </w:pPr>
            <w:r>
              <w:rPr>
                <w:rFonts w:ascii="Arial" w:cs="Arial" w:eastAsia="Arial" w:hAnsi="Arial"/>
                <w:sz w:val="18"/>
                <w:szCs w:val="18"/>
                <w:color w:val="auto"/>
                <w:w w:val="97"/>
              </w:rPr>
              <w:t>(In millions)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8000" w:type="dxa"/>
            <w:vAlign w:val="bottom"/>
          </w:tcPr>
          <w:p>
            <w:pPr>
              <w:jc w:val="center"/>
              <w:ind w:left="1356"/>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9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900" w:type="dxa"/>
            <w:vAlign w:val="bottom"/>
          </w:tcPr>
          <w:p>
            <w:pPr>
              <w:spacing w:after="0"/>
              <w:rPr>
                <w:sz w:val="23"/>
                <w:szCs w:val="23"/>
                <w:color w:val="auto"/>
              </w:rPr>
            </w:pPr>
          </w:p>
        </w:tc>
        <w:tc>
          <w:tcPr>
            <w:tcW w:w="8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8000" w:type="dxa"/>
            <w:vAlign w:val="bottom"/>
            <w:shd w:val="clear" w:color="auto" w:fill="CCEEFF"/>
          </w:tcPr>
          <w:p>
            <w:pPr>
              <w:jc w:val="center"/>
              <w:ind w:left="1376"/>
              <w:spacing w:after="0"/>
              <w:rPr>
                <w:sz w:val="20"/>
                <w:szCs w:val="20"/>
                <w:color w:val="auto"/>
              </w:rPr>
            </w:pPr>
            <w:r>
              <w:rPr>
                <w:rFonts w:ascii="Arial" w:cs="Arial" w:eastAsia="Arial" w:hAnsi="Arial"/>
                <w:sz w:val="14"/>
                <w:szCs w:val="14"/>
                <w:b w:val="1"/>
                <w:bCs w:val="1"/>
                <w:color w:val="auto"/>
                <w:w w:val="96"/>
              </w:rPr>
              <w:t>ASSETS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533.7</w:t>
            </w:r>
          </w:p>
        </w:tc>
        <w:tc>
          <w:tcPr>
            <w:tcW w:w="0" w:type="dxa"/>
            <w:vAlign w:val="bottom"/>
          </w:tcPr>
          <w:p>
            <w:pPr>
              <w:spacing w:after="0"/>
              <w:rPr>
                <w:sz w:val="1"/>
                <w:szCs w:val="1"/>
                <w:color w:val="auto"/>
              </w:rPr>
            </w:pPr>
          </w:p>
        </w:tc>
      </w:tr>
      <w:tr>
        <w:trPr>
          <w:trHeight w:val="237"/>
        </w:trPr>
        <w:tc>
          <w:tcPr>
            <w:tcW w:w="8900" w:type="dxa"/>
            <w:vAlign w:val="bottom"/>
            <w:gridSpan w:val="2"/>
          </w:tcPr>
          <w:p>
            <w:pPr>
              <w:ind w:left="18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Trade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90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17"/>
        </w:trPr>
        <w:tc>
          <w:tcPr>
            <w:tcW w:w="8900" w:type="dxa"/>
            <w:vAlign w:val="bottom"/>
            <w:gridSpan w:val="2"/>
          </w:tcPr>
          <w:p>
            <w:pPr>
              <w:ind w:left="3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630.9</w:t>
            </w: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in Ceridian, at fair value - see Note A</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Investments in unconsolidated affiliates</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836.5</w:t>
            </w: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Lease assets</w:t>
            </w:r>
          </w:p>
        </w:tc>
        <w:tc>
          <w:tcPr>
            <w:tcW w:w="8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192.9</w:t>
            </w:r>
          </w:p>
        </w:tc>
        <w:tc>
          <w:tcPr>
            <w:tcW w:w="0" w:type="dxa"/>
            <w:vAlign w:val="bottom"/>
          </w:tcPr>
          <w:p>
            <w:pPr>
              <w:spacing w:after="0"/>
              <w:rPr>
                <w:sz w:val="1"/>
                <w:szCs w:val="1"/>
                <w:color w:val="auto"/>
              </w:rPr>
            </w:pPr>
          </w:p>
        </w:tc>
      </w:tr>
      <w:tr>
        <w:trPr>
          <w:trHeight w:val="237"/>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162.6</w:t>
            </w: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37"/>
        </w:trPr>
        <w:tc>
          <w:tcPr>
            <w:tcW w:w="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Fixed maturity securities available for sale,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37"/>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Deferred tax asset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long term investments and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83"/>
        </w:trPr>
        <w:tc>
          <w:tcPr>
            <w:tcW w:w="890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2,705.1</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2,092.2</w:t>
            </w:r>
          </w:p>
        </w:tc>
        <w:tc>
          <w:tcPr>
            <w:tcW w:w="0" w:type="dxa"/>
            <w:vAlign w:val="bottom"/>
          </w:tcPr>
          <w:p>
            <w:pPr>
              <w:spacing w:after="0"/>
              <w:rPr>
                <w:sz w:val="1"/>
                <w:szCs w:val="1"/>
                <w:color w:val="auto"/>
              </w:rPr>
            </w:pPr>
          </w:p>
        </w:tc>
      </w:tr>
      <w:tr>
        <w:trPr>
          <w:trHeight w:val="217"/>
        </w:trPr>
        <w:tc>
          <w:tcPr>
            <w:tcW w:w="90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8000" w:type="dxa"/>
            <w:vAlign w:val="bottom"/>
          </w:tcPr>
          <w:p>
            <w:pPr>
              <w:jc w:val="center"/>
              <w:ind w:left="1356"/>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900" w:type="dxa"/>
            <w:vAlign w:val="bottom"/>
            <w:gridSpan w:val="2"/>
          </w:tcPr>
          <w:p>
            <w:pPr>
              <w:ind w:left="180"/>
              <w:spacing w:after="0"/>
              <w:rPr>
                <w:sz w:val="20"/>
                <w:szCs w:val="20"/>
                <w:color w:val="auto"/>
              </w:rPr>
            </w:pPr>
            <w:r>
              <w:rPr>
                <w:rFonts w:ascii="Arial" w:cs="Arial" w:eastAsia="Arial" w:hAnsi="Arial"/>
                <w:sz w:val="16"/>
                <w:szCs w:val="16"/>
                <w:color w:val="auto"/>
              </w:rPr>
              <w:t>Accounts payable and other accrued liabilities, current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Lease liabilities, current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37"/>
        </w:trPr>
        <w:tc>
          <w:tcPr>
            <w:tcW w:w="8900" w:type="dxa"/>
            <w:vAlign w:val="bottom"/>
            <w:gridSpan w:val="2"/>
          </w:tcPr>
          <w:p>
            <w:pPr>
              <w:ind w:left="18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37"/>
        </w:trPr>
        <w:tc>
          <w:tcPr>
            <w:tcW w:w="8900" w:type="dxa"/>
            <w:vAlign w:val="bottom"/>
            <w:gridSpan w:val="2"/>
          </w:tcPr>
          <w:p>
            <w:pPr>
              <w:ind w:left="180"/>
              <w:spacing w:after="0"/>
              <w:rPr>
                <w:sz w:val="20"/>
                <w:szCs w:val="20"/>
                <w:color w:val="auto"/>
              </w:rPr>
            </w:pPr>
            <w:r>
              <w:rPr>
                <w:rFonts w:ascii="Arial" w:cs="Arial" w:eastAsia="Arial" w:hAnsi="Arial"/>
                <w:sz w:val="16"/>
                <w:szCs w:val="16"/>
                <w:color w:val="auto"/>
              </w:rPr>
              <w:t>Notes payable, current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89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198.7</w:t>
            </w:r>
          </w:p>
        </w:tc>
        <w:tc>
          <w:tcPr>
            <w:tcW w:w="0" w:type="dxa"/>
            <w:vAlign w:val="bottom"/>
          </w:tcPr>
          <w:p>
            <w:pPr>
              <w:spacing w:after="0"/>
              <w:rPr>
                <w:sz w:val="1"/>
                <w:szCs w:val="1"/>
                <w:color w:val="auto"/>
              </w:rPr>
            </w:pPr>
          </w:p>
        </w:tc>
      </w:tr>
      <w:tr>
        <w:trPr>
          <w:trHeight w:val="237"/>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Lease liabilities, long term</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tax liability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900" w:type="dxa"/>
            <w:vAlign w:val="bottom"/>
            <w:gridSpan w:val="2"/>
          </w:tcPr>
          <w:p>
            <w:pPr>
              <w:ind w:left="40"/>
              <w:spacing w:after="0"/>
              <w:rPr>
                <w:sz w:val="20"/>
                <w:szCs w:val="20"/>
                <w:color w:val="auto"/>
              </w:rPr>
            </w:pPr>
            <w:r>
              <w:rPr>
                <w:rFonts w:ascii="Arial" w:cs="Arial" w:eastAsia="Arial" w:hAnsi="Arial"/>
                <w:sz w:val="16"/>
                <w:szCs w:val="16"/>
                <w:color w:val="auto"/>
              </w:rPr>
              <w:t>Notes payable, long term</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Accounts payable and other accrued liabilities, long term</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7"/>
        </w:trPr>
        <w:tc>
          <w:tcPr>
            <w:tcW w:w="8900" w:type="dxa"/>
            <w:vAlign w:val="bottom"/>
            <w:gridSpan w:val="2"/>
          </w:tcPr>
          <w:p>
            <w:pPr>
              <w:ind w:left="38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500.1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562.4</w:t>
            </w: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Commitments and contingencies - see Note G</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0" w:type="dxa"/>
            <w:vAlign w:val="bottom"/>
          </w:tcPr>
          <w:p>
            <w:pPr>
              <w:ind w:left="40"/>
              <w:spacing w:after="0"/>
              <w:rPr>
                <w:sz w:val="20"/>
                <w:szCs w:val="20"/>
                <w:color w:val="auto"/>
              </w:rPr>
            </w:pPr>
            <w:r>
              <w:rPr>
                <w:rFonts w:ascii="Arial" w:cs="Arial" w:eastAsia="Arial" w:hAnsi="Arial"/>
                <w:sz w:val="16"/>
                <w:szCs w:val="16"/>
                <w:color w:val="auto"/>
              </w:rPr>
              <w:t>Equity:</w:t>
            </w:r>
          </w:p>
        </w:tc>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1"/>
              </w:rPr>
              <w:t>Cannae common stock, $0.0001 par value; authorized 115,000,000 shares as of March 31, 2020 and December 31, 2019; outstanding</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1"/>
              </w:rPr>
              <w:t>of 79,130,316 and 79,516,833 shares as of March 31, 2020 and December 31, 2019, respectively, and issued of 79,727,972 shares as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of March 31, 2020 and December 31, 2019,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900" w:type="dxa"/>
            <w:vAlign w:val="bottom"/>
            <w:gridSpan w:val="2"/>
          </w:tcPr>
          <w:p>
            <w:pPr>
              <w:ind w:left="180"/>
              <w:spacing w:after="0"/>
              <w:rPr>
                <w:sz w:val="20"/>
                <w:szCs w:val="20"/>
                <w:color w:val="auto"/>
              </w:rPr>
            </w:pPr>
            <w:r>
              <w:rPr>
                <w:rFonts w:ascii="Arial" w:cs="Arial" w:eastAsia="Arial" w:hAnsi="Arial"/>
                <w:sz w:val="16"/>
                <w:szCs w:val="16"/>
                <w:color w:val="auto"/>
                <w:w w:val="91"/>
              </w:rPr>
              <w:t>Preferred stock, $0.0001 par value; authorized 10,000,000 shares; issued and outstanding, none as of March 31, 2020 and December</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0" w:type="dxa"/>
            <w:vAlign w:val="bottom"/>
          </w:tcPr>
          <w:p>
            <w:pPr>
              <w:ind w:left="180"/>
              <w:spacing w:after="0"/>
              <w:rPr>
                <w:sz w:val="20"/>
                <w:szCs w:val="20"/>
                <w:color w:val="auto"/>
              </w:rPr>
            </w:pPr>
            <w:r>
              <w:rPr>
                <w:rFonts w:ascii="Arial" w:cs="Arial" w:eastAsia="Arial" w:hAnsi="Arial"/>
                <w:sz w:val="16"/>
                <w:szCs w:val="16"/>
                <w:color w:val="auto"/>
              </w:rPr>
              <w:t>31, 2019</w:t>
            </w:r>
          </w:p>
        </w:tc>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37"/>
        </w:trPr>
        <w:tc>
          <w:tcPr>
            <w:tcW w:w="8900" w:type="dxa"/>
            <w:vAlign w:val="bottom"/>
            <w:gridSpan w:val="2"/>
          </w:tcPr>
          <w:p>
            <w:pPr>
              <w:ind w:left="18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1,406.1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1,396.7</w:t>
            </w:r>
          </w:p>
        </w:tc>
        <w:tc>
          <w:tcPr>
            <w:tcW w:w="0" w:type="dxa"/>
            <w:vAlign w:val="bottom"/>
          </w:tcPr>
          <w:p>
            <w:pPr>
              <w:spacing w:after="0"/>
              <w:rPr>
                <w:sz w:val="1"/>
                <w:szCs w:val="1"/>
                <w:color w:val="auto"/>
              </w:rPr>
            </w:pPr>
          </w:p>
        </w:tc>
      </w:tr>
      <w:tr>
        <w:trPr>
          <w:trHeight w:val="33"/>
        </w:trPr>
        <w:tc>
          <w:tcPr>
            <w:tcW w:w="8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Less: Treasury stock, 597,656 and 211,139 shares as of March 31, 2020 and December 31, 2019, respectively, at cost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7"/>
        </w:trPr>
        <w:tc>
          <w:tcPr>
            <w:tcW w:w="8900" w:type="dxa"/>
            <w:vAlign w:val="bottom"/>
            <w:gridSpan w:val="2"/>
          </w:tcPr>
          <w:p>
            <w:pPr>
              <w:ind w:left="1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33"/>
        </w:trPr>
        <w:tc>
          <w:tcPr>
            <w:tcW w:w="89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Cannae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1,488.5</w:t>
            </w:r>
          </w:p>
        </w:tc>
        <w:tc>
          <w:tcPr>
            <w:tcW w:w="0" w:type="dxa"/>
            <w:vAlign w:val="bottom"/>
          </w:tcPr>
          <w:p>
            <w:pPr>
              <w:spacing w:after="0"/>
              <w:rPr>
                <w:sz w:val="1"/>
                <w:szCs w:val="1"/>
                <w:color w:val="auto"/>
              </w:rPr>
            </w:pPr>
          </w:p>
        </w:tc>
      </w:tr>
      <w:tr>
        <w:trPr>
          <w:trHeight w:val="237"/>
        </w:trPr>
        <w:tc>
          <w:tcPr>
            <w:tcW w:w="8900" w:type="dxa"/>
            <w:vAlign w:val="bottom"/>
            <w:gridSpan w:val="2"/>
          </w:tcPr>
          <w:p>
            <w:pPr>
              <w:ind w:left="180"/>
              <w:spacing w:after="0"/>
              <w:rPr>
                <w:sz w:val="20"/>
                <w:szCs w:val="20"/>
                <w:color w:val="auto"/>
              </w:rPr>
            </w:pPr>
            <w:r>
              <w:rPr>
                <w:rFonts w:ascii="Arial" w:cs="Arial" w:eastAsia="Arial" w:hAnsi="Arial"/>
                <w:sz w:val="16"/>
                <w:szCs w:val="16"/>
                <w:color w:val="auto"/>
              </w:rPr>
              <w:t>Noncontrolling interests</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33"/>
        </w:trPr>
        <w:tc>
          <w:tcPr>
            <w:tcW w:w="89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1,529.8</w:t>
            </w:r>
          </w:p>
        </w:tc>
        <w:tc>
          <w:tcPr>
            <w:tcW w:w="0" w:type="dxa"/>
            <w:vAlign w:val="bottom"/>
          </w:tcPr>
          <w:p>
            <w:pPr>
              <w:spacing w:after="0"/>
              <w:rPr>
                <w:sz w:val="1"/>
                <w:szCs w:val="1"/>
                <w:color w:val="auto"/>
              </w:rPr>
            </w:pPr>
          </w:p>
        </w:tc>
      </w:tr>
      <w:tr>
        <w:trPr>
          <w:trHeight w:val="243"/>
        </w:trPr>
        <w:tc>
          <w:tcPr>
            <w:tcW w:w="8900" w:type="dxa"/>
            <w:vAlign w:val="bottom"/>
            <w:gridSpan w:val="2"/>
          </w:tcPr>
          <w:p>
            <w:pPr>
              <w:ind w:left="60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2,705.1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2,092.2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00" w:type="dxa"/>
            <w:vAlign w:val="bottom"/>
            <w:vMerge w:val="restart"/>
          </w:tcPr>
          <w:p>
            <w:pPr>
              <w:jc w:val="center"/>
              <w:ind w:left="1356"/>
              <w:spacing w:after="0"/>
              <w:rPr>
                <w:sz w:val="20"/>
                <w:szCs w:val="20"/>
                <w:color w:val="auto"/>
              </w:rPr>
            </w:pPr>
            <w:r>
              <w:rPr>
                <w:rFonts w:ascii="Arial" w:cs="Arial" w:eastAsia="Arial" w:hAnsi="Arial"/>
                <w:sz w:val="16"/>
                <w:szCs w:val="16"/>
                <w:color w:val="auto"/>
                <w:w w:val="90"/>
              </w:rPr>
              <w:t>See Notes to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0" w:type="dxa"/>
            <w:vAlign w:val="bottom"/>
          </w:tcPr>
          <w:p>
            <w:pPr>
              <w:spacing w:after="0"/>
              <w:rPr>
                <w:sz w:val="17"/>
                <w:szCs w:val="17"/>
                <w:color w:val="auto"/>
              </w:rPr>
            </w:pPr>
          </w:p>
        </w:tc>
        <w:tc>
          <w:tcPr>
            <w:tcW w:w="8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1" w:right="339" w:bottom="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13335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9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560" w:type="dxa"/>
            <w:vAlign w:val="bottom"/>
          </w:tcPr>
          <w:p>
            <w:pPr>
              <w:ind w:left="280"/>
              <w:spacing w:after="0"/>
              <w:rPr>
                <w:sz w:val="20"/>
                <w:szCs w:val="20"/>
                <w:color w:val="auto"/>
              </w:rPr>
            </w:pPr>
            <w:r>
              <w:rPr>
                <w:rFonts w:ascii="Arial" w:cs="Arial" w:eastAsia="Arial" w:hAnsi="Arial"/>
                <w:sz w:val="16"/>
                <w:szCs w:val="16"/>
                <w:color w:val="auto"/>
              </w:rPr>
              <w:t>Restaurant revenue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257.8</w:t>
            </w: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revenue</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9560" w:type="dxa"/>
            <w:vAlign w:val="bottom"/>
          </w:tcPr>
          <w:p>
            <w:pPr>
              <w:ind w:left="500"/>
              <w:spacing w:after="0"/>
              <w:rPr>
                <w:sz w:val="20"/>
                <w:szCs w:val="20"/>
                <w:color w:val="auto"/>
              </w:rPr>
            </w:pPr>
            <w:r>
              <w:rPr>
                <w:rFonts w:ascii="Arial" w:cs="Arial" w:eastAsia="Arial" w:hAnsi="Arial"/>
                <w:sz w:val="16"/>
                <w:szCs w:val="16"/>
                <w:color w:val="auto"/>
              </w:rPr>
              <w:t>Total operating revenues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560" w:type="dxa"/>
            <w:vAlign w:val="bottom"/>
          </w:tcPr>
          <w:p>
            <w:pPr>
              <w:ind w:left="280"/>
              <w:spacing w:after="0"/>
              <w:rPr>
                <w:sz w:val="20"/>
                <w:szCs w:val="20"/>
                <w:color w:val="auto"/>
              </w:rPr>
            </w:pPr>
            <w:r>
              <w:rPr>
                <w:rFonts w:ascii="Arial" w:cs="Arial" w:eastAsia="Arial" w:hAnsi="Arial"/>
                <w:sz w:val="16"/>
                <w:szCs w:val="16"/>
                <w:color w:val="auto"/>
              </w:rPr>
              <w:t>Cost of restaurant revenue</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153.1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227.0</w:t>
            </w: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37"/>
        </w:trPr>
        <w:tc>
          <w:tcPr>
            <w:tcW w:w="95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37"/>
        </w:trPr>
        <w:tc>
          <w:tcPr>
            <w:tcW w:w="9560" w:type="dxa"/>
            <w:vAlign w:val="bottom"/>
          </w:tcPr>
          <w:p>
            <w:pPr>
              <w:ind w:left="280"/>
              <w:spacing w:after="0"/>
              <w:rPr>
                <w:sz w:val="20"/>
                <w:szCs w:val="20"/>
                <w:color w:val="auto"/>
              </w:rPr>
            </w:pPr>
            <w:r>
              <w:rPr>
                <w:rFonts w:ascii="Arial" w:cs="Arial" w:eastAsia="Arial" w:hAnsi="Arial"/>
                <w:sz w:val="16"/>
                <w:szCs w:val="16"/>
                <w:color w:val="auto"/>
              </w:rPr>
              <w:t>Goodwill impairment</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273.4</w:t>
            </w:r>
          </w:p>
        </w:tc>
        <w:tc>
          <w:tcPr>
            <w:tcW w:w="0" w:type="dxa"/>
            <w:vAlign w:val="bottom"/>
          </w:tcPr>
          <w:p>
            <w:pPr>
              <w:spacing w:after="0"/>
              <w:rPr>
                <w:sz w:val="1"/>
                <w:szCs w:val="1"/>
                <w:color w:val="auto"/>
              </w:rPr>
            </w:pPr>
          </w:p>
        </w:tc>
      </w:tr>
      <w:tr>
        <w:trPr>
          <w:trHeight w:val="217"/>
        </w:trPr>
        <w:tc>
          <w:tcPr>
            <w:tcW w:w="9560" w:type="dxa"/>
            <w:vAlign w:val="bottom"/>
          </w:tcPr>
          <w:p>
            <w:pPr>
              <w:ind w:left="600"/>
              <w:spacing w:after="0"/>
              <w:rPr>
                <w:sz w:val="20"/>
                <w:szCs w:val="20"/>
                <w:color w:val="auto"/>
              </w:rPr>
            </w:pPr>
            <w:r>
              <w:rPr>
                <w:rFonts w:ascii="Arial" w:cs="Arial" w:eastAsia="Arial" w:hAnsi="Arial"/>
                <w:sz w:val="16"/>
                <w:szCs w:val="16"/>
                <w:color w:val="auto"/>
              </w:rPr>
              <w:t>Operating loss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9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560" w:type="dxa"/>
            <w:vAlign w:val="bottom"/>
          </w:tcPr>
          <w:p>
            <w:pPr>
              <w:ind w:left="280"/>
              <w:spacing w:after="0"/>
              <w:rPr>
                <w:sz w:val="20"/>
                <w:szCs w:val="20"/>
                <w:color w:val="auto"/>
              </w:rPr>
            </w:pPr>
            <w:r>
              <w:rPr>
                <w:rFonts w:ascii="Arial" w:cs="Arial" w:eastAsia="Arial" w:hAnsi="Arial"/>
                <w:sz w:val="16"/>
                <w:szCs w:val="16"/>
                <w:color w:val="auto"/>
              </w:rPr>
              <w:t>Interest, investment and other income</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9560" w:type="dxa"/>
            <w:vAlign w:val="bottom"/>
          </w:tcPr>
          <w:p>
            <w:pPr>
              <w:ind w:left="280"/>
              <w:spacing w:after="0"/>
              <w:rPr>
                <w:sz w:val="20"/>
                <w:szCs w:val="20"/>
                <w:color w:val="auto"/>
              </w:rPr>
            </w:pPr>
            <w:r>
              <w:rPr>
                <w:rFonts w:ascii="Arial" w:cs="Arial" w:eastAsia="Arial" w:hAnsi="Arial"/>
                <w:sz w:val="16"/>
                <w:szCs w:val="16"/>
                <w:color w:val="auto"/>
              </w:rPr>
              <w:t>Realized and other gains and losses, net</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915.1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9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9560" w:type="dxa"/>
            <w:vAlign w:val="bottom"/>
          </w:tcPr>
          <w:p>
            <w:pPr>
              <w:ind w:left="40"/>
              <w:spacing w:after="0"/>
              <w:rPr>
                <w:sz w:val="20"/>
                <w:szCs w:val="20"/>
                <w:color w:val="auto"/>
              </w:rPr>
            </w:pPr>
            <w:r>
              <w:rPr>
                <w:rFonts w:ascii="Arial" w:cs="Arial" w:eastAsia="Arial" w:hAnsi="Arial"/>
                <w:sz w:val="16"/>
                <w:szCs w:val="16"/>
                <w:color w:val="auto"/>
              </w:rPr>
              <w:t>Earnings (loss) before income taxes and equity in losses of unconsolidated affiliates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860.2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9560" w:type="dxa"/>
            <w:vAlign w:val="bottom"/>
          </w:tcPr>
          <w:p>
            <w:pPr>
              <w:ind w:left="40"/>
              <w:spacing w:after="0"/>
              <w:rPr>
                <w:sz w:val="20"/>
                <w:szCs w:val="20"/>
                <w:color w:val="auto"/>
              </w:rPr>
            </w:pPr>
            <w:r>
              <w:rPr>
                <w:rFonts w:ascii="Arial" w:cs="Arial" w:eastAsia="Arial" w:hAnsi="Arial"/>
                <w:sz w:val="16"/>
                <w:szCs w:val="16"/>
                <w:color w:val="auto"/>
              </w:rPr>
              <w:t>Earnings before equity in losses of unconsolidated affiliates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690.8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losses of unconsolidated affiliates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7"/>
        </w:trPr>
        <w:tc>
          <w:tcPr>
            <w:tcW w:w="9560" w:type="dxa"/>
            <w:vAlign w:val="bottom"/>
          </w:tcPr>
          <w:p>
            <w:pPr>
              <w:ind w:left="40"/>
              <w:spacing w:after="0"/>
              <w:rPr>
                <w:sz w:val="20"/>
                <w:szCs w:val="20"/>
                <w:color w:val="auto"/>
              </w:rPr>
            </w:pPr>
            <w:r>
              <w:rPr>
                <w:rFonts w:ascii="Arial" w:cs="Arial" w:eastAsia="Arial" w:hAnsi="Arial"/>
                <w:sz w:val="16"/>
                <w:szCs w:val="16"/>
                <w:color w:val="auto"/>
              </w:rPr>
              <w:t>Earnings (loss) from continuing operations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638.1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losses from discontinued operations, net of tax - see Note L</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9560" w:type="dxa"/>
            <w:vAlign w:val="bottom"/>
          </w:tcPr>
          <w:p>
            <w:pPr>
              <w:ind w:left="40"/>
              <w:spacing w:after="0"/>
              <w:rPr>
                <w:sz w:val="20"/>
                <w:szCs w:val="20"/>
                <w:color w:val="auto"/>
              </w:rPr>
            </w:pPr>
            <w:r>
              <w:rPr>
                <w:rFonts w:ascii="Arial" w:cs="Arial" w:eastAsia="Arial" w:hAnsi="Arial"/>
                <w:sz w:val="16"/>
                <w:szCs w:val="16"/>
                <w:color w:val="auto"/>
              </w:rPr>
              <w:t>Net earnings (loss)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638.1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83"/>
        </w:trPr>
        <w:tc>
          <w:tcPr>
            <w:tcW w:w="9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(loss) attributable to Cannae Holdings, Inc.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647.7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37"/>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Amounts attributable to Cannae Holdings, Inc. common shareholders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560" w:type="dxa"/>
            <w:vAlign w:val="bottom"/>
          </w:tcPr>
          <w:p>
            <w:pPr>
              <w:ind w:left="40"/>
              <w:spacing w:after="0"/>
              <w:rPr>
                <w:sz w:val="20"/>
                <w:szCs w:val="20"/>
                <w:color w:val="auto"/>
              </w:rPr>
            </w:pPr>
            <w:r>
              <w:rPr>
                <w:rFonts w:ascii="Arial" w:cs="Arial" w:eastAsia="Arial" w:hAnsi="Arial"/>
                <w:sz w:val="16"/>
                <w:szCs w:val="16"/>
                <w:color w:val="auto"/>
              </w:rPr>
              <w:t>Net earnings (loss) from continuing operations attributable to Cannae Holdings, Inc.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647.7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discontinued operations attributable to Cannae Holdings, Inc. common shareholders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9560" w:type="dxa"/>
            <w:vAlign w:val="bottom"/>
          </w:tcPr>
          <w:p>
            <w:pPr>
              <w:ind w:left="40"/>
              <w:spacing w:after="0"/>
              <w:rPr>
                <w:sz w:val="20"/>
                <w:szCs w:val="20"/>
                <w:color w:val="auto"/>
              </w:rPr>
            </w:pPr>
            <w:r>
              <w:rPr>
                <w:rFonts w:ascii="Arial" w:cs="Arial" w:eastAsia="Arial" w:hAnsi="Arial"/>
                <w:sz w:val="16"/>
                <w:szCs w:val="16"/>
                <w:color w:val="auto"/>
              </w:rPr>
              <w:t>Net earnings (loss) attributable to Cannae Holdings, Inc. common shareholders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647.7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56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per share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37"/>
        </w:trPr>
        <w:tc>
          <w:tcPr>
            <w:tcW w:w="9560" w:type="dxa"/>
            <w:vAlign w:val="bottom"/>
          </w:tcPr>
          <w:p>
            <w:pPr>
              <w:ind w:left="40"/>
              <w:spacing w:after="0"/>
              <w:rPr>
                <w:sz w:val="20"/>
                <w:szCs w:val="20"/>
                <w:color w:val="auto"/>
              </w:rPr>
            </w:pPr>
            <w:r>
              <w:rPr>
                <w:rFonts w:ascii="Arial" w:cs="Arial" w:eastAsia="Arial" w:hAnsi="Arial"/>
                <w:sz w:val="16"/>
                <w:szCs w:val="16"/>
                <w:color w:val="auto"/>
              </w:rPr>
              <w:t>Net loss per share from discontinued operations</w:t>
            </w:r>
          </w:p>
        </w:tc>
        <w:tc>
          <w:tcPr>
            <w:tcW w:w="1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9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956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per share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37"/>
        </w:trPr>
        <w:tc>
          <w:tcPr>
            <w:tcW w:w="9560" w:type="dxa"/>
            <w:vAlign w:val="bottom"/>
          </w:tcPr>
          <w:p>
            <w:pPr>
              <w:ind w:left="40"/>
              <w:spacing w:after="0"/>
              <w:rPr>
                <w:sz w:val="20"/>
                <w:szCs w:val="20"/>
                <w:color w:val="auto"/>
              </w:rPr>
            </w:pPr>
            <w:r>
              <w:rPr>
                <w:rFonts w:ascii="Arial" w:cs="Arial" w:eastAsia="Arial" w:hAnsi="Arial"/>
                <w:sz w:val="16"/>
                <w:szCs w:val="16"/>
                <w:color w:val="auto"/>
              </w:rPr>
              <w:t>Net loss per share from discontinued operations</w:t>
            </w:r>
          </w:p>
        </w:tc>
        <w:tc>
          <w:tcPr>
            <w:tcW w:w="1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9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956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Weighted Average Shares Outstanding</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5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Cannae Holdings common stock, basic basis</w:t>
            </w: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560" w:type="dxa"/>
            <w:vAlign w:val="bottom"/>
          </w:tcPr>
          <w:p>
            <w:pPr>
              <w:ind w:left="40"/>
              <w:spacing w:after="0"/>
              <w:rPr>
                <w:sz w:val="20"/>
                <w:szCs w:val="20"/>
                <w:color w:val="auto"/>
              </w:rPr>
            </w:pPr>
            <w:r>
              <w:rPr>
                <w:rFonts w:ascii="Arial" w:cs="Arial" w:eastAsia="Arial" w:hAnsi="Arial"/>
                <w:sz w:val="16"/>
                <w:szCs w:val="16"/>
                <w:color w:val="auto"/>
              </w:rPr>
              <w:t>Weighted average shares outstanding Cannae Holdings common stock, diluted basis</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64"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13335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2019</w:t>
            </w:r>
          </w:p>
        </w:tc>
      </w:tr>
      <w:tr>
        <w:trPr>
          <w:trHeight w:val="236"/>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37"/>
        </w:trPr>
        <w:tc>
          <w:tcPr>
            <w:tcW w:w="9560" w:type="dxa"/>
            <w:vAlign w:val="bottom"/>
          </w:tcPr>
          <w:p>
            <w:pPr>
              <w:ind w:left="40"/>
              <w:spacing w:after="0"/>
              <w:rPr>
                <w:sz w:val="20"/>
                <w:szCs w:val="20"/>
                <w:color w:val="auto"/>
              </w:rPr>
            </w:pPr>
            <w:r>
              <w:rPr>
                <w:rFonts w:ascii="Arial" w:cs="Arial" w:eastAsia="Arial" w:hAnsi="Arial"/>
                <w:sz w:val="16"/>
                <w:szCs w:val="16"/>
                <w:color w:val="auto"/>
              </w:rPr>
              <w:t>Other comprehensive earnings (loss), net of tax:</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gain (loss) on investments and other financial instruments, net (excluding investments in unconsolidated affiliates) (1)</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9560" w:type="dxa"/>
            <w:vAlign w:val="bottom"/>
          </w:tcPr>
          <w:p>
            <w:pPr>
              <w:ind w:left="280"/>
              <w:spacing w:after="0"/>
              <w:rPr>
                <w:sz w:val="20"/>
                <w:szCs w:val="20"/>
                <w:color w:val="auto"/>
              </w:rPr>
            </w:pPr>
            <w:r>
              <w:rPr>
                <w:rFonts w:ascii="Arial" w:cs="Arial" w:eastAsia="Arial" w:hAnsi="Arial"/>
                <w:sz w:val="16"/>
                <w:szCs w:val="16"/>
                <w:color w:val="auto"/>
              </w:rPr>
              <w:t>Unrealized (loss) gain relating to investments in unconsolidated affiliates (2)</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5.9</w:t>
            </w:r>
          </w:p>
        </w:tc>
      </w:tr>
      <w:tr>
        <w:trPr>
          <w:trHeight w:val="33"/>
        </w:trPr>
        <w:tc>
          <w:tcPr>
            <w:tcW w:w="9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9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Reclassification adjustments for unrealized gains and losses on unconsolidated affiliates, net of tax, included in net earnings (3)</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r>
      <w:tr>
        <w:trPr>
          <w:trHeight w:val="217"/>
        </w:trPr>
        <w:tc>
          <w:tcPr>
            <w:tcW w:w="9560" w:type="dxa"/>
            <w:vAlign w:val="bottom"/>
          </w:tcPr>
          <w:p>
            <w:pPr>
              <w:ind w:left="40"/>
              <w:spacing w:after="0"/>
              <w:rPr>
                <w:sz w:val="20"/>
                <w:szCs w:val="20"/>
                <w:color w:val="auto"/>
              </w:rPr>
            </w:pPr>
            <w:r>
              <w:rPr>
                <w:rFonts w:ascii="Arial" w:cs="Arial" w:eastAsia="Arial" w:hAnsi="Arial"/>
                <w:sz w:val="16"/>
                <w:szCs w:val="16"/>
                <w:color w:val="auto"/>
              </w:rPr>
              <w:t>Other comprehensive earnings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w:t>
            </w:r>
          </w:p>
        </w:tc>
      </w:tr>
      <w:tr>
        <w:trPr>
          <w:trHeight w:val="33"/>
        </w:trPr>
        <w:tc>
          <w:tcPr>
            <w:tcW w:w="9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(loss)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37"/>
        </w:trPr>
        <w:tc>
          <w:tcPr>
            <w:tcW w:w="9560" w:type="dxa"/>
            <w:vAlign w:val="bottom"/>
          </w:tcPr>
          <w:p>
            <w:pPr>
              <w:ind w:left="40"/>
              <w:spacing w:after="0"/>
              <w:rPr>
                <w:sz w:val="20"/>
                <w:szCs w:val="20"/>
                <w:color w:val="auto"/>
              </w:rPr>
            </w:pPr>
            <w:r>
              <w:rPr>
                <w:rFonts w:ascii="Arial" w:cs="Arial" w:eastAsia="Arial" w:hAnsi="Arial"/>
                <w:sz w:val="16"/>
                <w:szCs w:val="16"/>
                <w:color w:val="auto"/>
              </w:rPr>
              <w:t>Less: Comprehensive loss attributable to noncontrolling interests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9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3"/>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(loss) attributable to Cannae Holdings,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9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63" w:lineRule="exact"/>
        <w:rPr>
          <w:sz w:val="20"/>
          <w:szCs w:val="20"/>
          <w:color w:val="auto"/>
        </w:rPr>
      </w:pPr>
    </w:p>
    <w:p>
      <w:pPr>
        <w:ind w:left="980" w:hanging="972"/>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expense (benefit) of $1.4 million and $(0.1) million for the three months ended March 31, 2020 and 2019, respectively.</w:t>
      </w:r>
    </w:p>
    <w:p>
      <w:pPr>
        <w:spacing w:after="0" w:line="182" w:lineRule="exact"/>
        <w:rPr>
          <w:rFonts w:ascii="Arial" w:cs="Arial" w:eastAsia="Arial" w:hAnsi="Arial"/>
          <w:sz w:val="17"/>
          <w:szCs w:val="17"/>
          <w:color w:val="auto"/>
        </w:rPr>
      </w:pPr>
    </w:p>
    <w:p>
      <w:pPr>
        <w:ind w:left="980" w:hanging="972"/>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(benefit) expense of $(1.0) million and $1.6 million for the three months ended March 31, 2020 and 2019, respectively.</w:t>
      </w:r>
    </w:p>
    <w:p>
      <w:pPr>
        <w:spacing w:after="0" w:line="182" w:lineRule="exact"/>
        <w:rPr>
          <w:rFonts w:ascii="Arial" w:cs="Arial" w:eastAsia="Arial" w:hAnsi="Arial"/>
          <w:sz w:val="17"/>
          <w:szCs w:val="17"/>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$11.8 million and $0.2 million for the three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400" w:type="dxa"/>
            <w:vAlign w:val="bottom"/>
            <w:gridSpan w:val="5"/>
          </w:tcPr>
          <w:p>
            <w:pPr>
              <w:ind w:left="2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54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2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2"/>
                <w:szCs w:val="2"/>
                <w:color w:val="auto"/>
              </w:rPr>
            </w:pPr>
          </w:p>
        </w:tc>
        <w:tc>
          <w:tcPr>
            <w:tcW w:w="86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
                <w:szCs w:val="2"/>
                <w:color w:val="auto"/>
              </w:rPr>
            </w:pPr>
          </w:p>
        </w:tc>
        <w:tc>
          <w:tcPr>
            <w:tcW w:w="9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Other Comp</w:t>
            </w: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180" w:type="dxa"/>
            <w:vAlign w:val="bottom"/>
          </w:tcPr>
          <w:p>
            <w:pPr>
              <w:spacing w:after="0"/>
              <w:rPr>
                <w:sz w:val="2"/>
                <w:szCs w:val="2"/>
                <w:color w:val="auto"/>
              </w:rPr>
            </w:pPr>
          </w:p>
        </w:tc>
        <w:tc>
          <w:tcPr>
            <w:tcW w:w="700" w:type="dxa"/>
            <w:vAlign w:val="bottom"/>
            <w:vMerge w:val="restart"/>
          </w:tcPr>
          <w:p>
            <w:pPr>
              <w:jc w:val="right"/>
              <w:ind w:right="22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7"/>
                <w:szCs w:val="7"/>
                <w:color w:val="auto"/>
              </w:rPr>
            </w:pPr>
          </w:p>
        </w:tc>
        <w:tc>
          <w:tcPr>
            <w:tcW w:w="4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2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40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Paid-in Capital</w:t>
            </w:r>
          </w:p>
        </w:tc>
        <w:tc>
          <w:tcPr>
            <w:tcW w:w="1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1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(Loss) Earnings</w:t>
            </w: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180" w:type="dxa"/>
            <w:vAlign w:val="bottom"/>
          </w:tcPr>
          <w:p>
            <w:pPr>
              <w:spacing w:after="0"/>
              <w:rPr>
                <w:sz w:val="15"/>
                <w:szCs w:val="15"/>
                <w:color w:val="auto"/>
              </w:rPr>
            </w:pPr>
          </w:p>
        </w:tc>
        <w:tc>
          <w:tcPr>
            <w:tcW w:w="700" w:type="dxa"/>
            <w:vAlign w:val="bottom"/>
          </w:tcPr>
          <w:p>
            <w:pPr>
              <w:jc w:val="right"/>
              <w:ind w:right="18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2018</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1,199.7</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8" w:lineRule="exact"/>
              <w:rPr>
                <w:sz w:val="20"/>
                <w:szCs w:val="20"/>
                <w:color w:val="auto"/>
              </w:rPr>
            </w:pPr>
            <w:r>
              <w:rPr>
                <w:rFonts w:ascii="Arial" w:cs="Arial" w:eastAsia="Arial" w:hAnsi="Arial"/>
                <w:sz w:val="13"/>
                <w:szCs w:val="13"/>
                <w:color w:val="auto"/>
                <w:w w:val="92"/>
              </w:rPr>
              <w:t>Adjustment for cumulative effect of adoption of accounting</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70"/>
        </w:trPr>
        <w:tc>
          <w:tcPr>
            <w:tcW w:w="3280" w:type="dxa"/>
            <w:vAlign w:val="bottom"/>
          </w:tcPr>
          <w:p>
            <w:pPr>
              <w:ind w:left="180"/>
              <w:spacing w:after="0"/>
              <w:rPr>
                <w:sz w:val="20"/>
                <w:szCs w:val="20"/>
                <w:color w:val="auto"/>
              </w:rPr>
            </w:pPr>
            <w:r>
              <w:rPr>
                <w:rFonts w:ascii="Arial" w:cs="Arial" w:eastAsia="Arial" w:hAnsi="Arial"/>
                <w:sz w:val="13"/>
                <w:szCs w:val="13"/>
                <w:color w:val="auto"/>
              </w:rPr>
              <w:t>standards by unconsolidated affiliates</w:t>
            </w: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earnings — unrealized loss on</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investments and other financial instruments, net of tax</w:t>
            </w:r>
          </w:p>
        </w:tc>
        <w:tc>
          <w:tcPr>
            <w:tcW w:w="7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8" w:lineRule="exact"/>
              <w:rPr>
                <w:sz w:val="20"/>
                <w:szCs w:val="20"/>
                <w:color w:val="auto"/>
              </w:rPr>
            </w:pPr>
            <w:r>
              <w:rPr>
                <w:rFonts w:ascii="Arial" w:cs="Arial" w:eastAsia="Arial" w:hAnsi="Arial"/>
                <w:sz w:val="13"/>
                <w:szCs w:val="13"/>
                <w:color w:val="auto"/>
                <w:w w:val="94"/>
              </w:rPr>
              <w:t>Other comprehensive earnings — unrealized earnings of</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0"/>
        </w:trPr>
        <w:tc>
          <w:tcPr>
            <w:tcW w:w="3280" w:type="dxa"/>
            <w:vAlign w:val="bottom"/>
          </w:tcPr>
          <w:p>
            <w:pPr>
              <w:ind w:left="180"/>
              <w:spacing w:after="0"/>
              <w:rPr>
                <w:sz w:val="20"/>
                <w:szCs w:val="20"/>
                <w:color w:val="auto"/>
              </w:rPr>
            </w:pPr>
            <w:r>
              <w:rPr>
                <w:rFonts w:ascii="Arial" w:cs="Arial" w:eastAsia="Arial" w:hAnsi="Arial"/>
                <w:sz w:val="13"/>
                <w:szCs w:val="13"/>
                <w:color w:val="auto"/>
              </w:rPr>
              <w:t>investments in unconsolidated affiliates, net of tax</w:t>
            </w: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8"/>
              </w:rPr>
              <w:t>Reclassification adjustments for unrealized gains and losses</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9"/>
              </w:rPr>
              <w:t>on unconsolidated affiliates, net of tax, included in net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earnings</w:t>
            </w:r>
          </w:p>
        </w:tc>
        <w:tc>
          <w:tcPr>
            <w:tcW w:w="7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280" w:type="dxa"/>
            <w:vAlign w:val="bottom"/>
          </w:tcPr>
          <w:p>
            <w:pPr>
              <w:ind w:left="180"/>
              <w:spacing w:after="0"/>
              <w:rPr>
                <w:sz w:val="20"/>
                <w:szCs w:val="20"/>
                <w:color w:val="auto"/>
              </w:rPr>
            </w:pPr>
            <w:r>
              <w:rPr>
                <w:rFonts w:ascii="Arial" w:cs="Arial" w:eastAsia="Arial" w:hAnsi="Arial"/>
                <w:sz w:val="13"/>
                <w:szCs w:val="13"/>
                <w:color w:val="auto"/>
              </w:rPr>
              <w:t>Dun &amp; Bradstreet equity issuance costs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Stock-based compensation, consolidated subsidiaries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64"/>
        </w:trPr>
        <w:tc>
          <w:tcPr>
            <w:tcW w:w="3280" w:type="dxa"/>
            <w:vAlign w:val="bottom"/>
          </w:tcPr>
          <w:p>
            <w:pPr>
              <w:ind w:left="180"/>
              <w:spacing w:after="0"/>
              <w:rPr>
                <w:sz w:val="20"/>
                <w:szCs w:val="20"/>
                <w:color w:val="auto"/>
              </w:rPr>
            </w:pPr>
            <w:r>
              <w:rPr>
                <w:rFonts w:ascii="Arial" w:cs="Arial" w:eastAsia="Arial" w:hAnsi="Arial"/>
                <w:sz w:val="13"/>
                <w:szCs w:val="13"/>
                <w:color w:val="auto"/>
              </w:rPr>
              <w:t>Contribution of CSA services from FNF</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unconsolidated affiliates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3280" w:type="dxa"/>
            <w:vAlign w:val="bottom"/>
          </w:tcPr>
          <w:p>
            <w:pPr>
              <w:ind w:left="180"/>
              <w:spacing w:after="0"/>
              <w:rPr>
                <w:sz w:val="20"/>
                <w:szCs w:val="20"/>
                <w:color w:val="auto"/>
              </w:rPr>
            </w:pPr>
            <w:r>
              <w:rPr>
                <w:rFonts w:ascii="Arial" w:cs="Arial" w:eastAsia="Arial" w:hAnsi="Arial"/>
                <w:sz w:val="13"/>
                <w:szCs w:val="13"/>
                <w:color w:val="auto"/>
              </w:rPr>
              <w:t>Subsidiary dividends paid to noncontrolling interests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81"/>
        </w:trPr>
        <w:tc>
          <w:tcPr>
            <w:tcW w:w="3280" w:type="dxa"/>
            <w:vAlign w:val="bottom"/>
          </w:tcPr>
          <w:p>
            <w:pPr>
              <w:ind w:left="40"/>
              <w:spacing w:after="0"/>
              <w:rPr>
                <w:sz w:val="20"/>
                <w:szCs w:val="20"/>
                <w:color w:val="auto"/>
              </w:rPr>
            </w:pPr>
            <w:r>
              <w:rPr>
                <w:rFonts w:ascii="Arial" w:cs="Arial" w:eastAsia="Arial" w:hAnsi="Arial"/>
                <w:sz w:val="13"/>
                <w:szCs w:val="13"/>
                <w:color w:val="auto"/>
              </w:rPr>
              <w:t>Balance, March 31, 2019</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72.2</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1,147.5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1,202.5</w:t>
            </w:r>
          </w:p>
        </w:tc>
        <w:tc>
          <w:tcPr>
            <w:tcW w:w="0" w:type="dxa"/>
            <w:vAlign w:val="bottom"/>
          </w:tcPr>
          <w:p>
            <w:pPr>
              <w:spacing w:after="0"/>
              <w:rPr>
                <w:sz w:val="1"/>
                <w:szCs w:val="1"/>
                <w:color w:val="auto"/>
              </w:rPr>
            </w:pPr>
          </w:p>
        </w:tc>
      </w:tr>
      <w:tr>
        <w:trPr>
          <w:trHeight w:val="252"/>
        </w:trPr>
        <w:tc>
          <w:tcPr>
            <w:tcW w:w="328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80" w:type="dxa"/>
            <w:vAlign w:val="bottom"/>
          </w:tcPr>
          <w:p>
            <w:pPr>
              <w:ind w:left="40"/>
              <w:spacing w:after="0"/>
              <w:rPr>
                <w:sz w:val="20"/>
                <w:szCs w:val="20"/>
                <w:color w:val="auto"/>
              </w:rPr>
            </w:pPr>
            <w:r>
              <w:rPr>
                <w:rFonts w:ascii="Arial" w:cs="Arial" w:eastAsia="Arial" w:hAnsi="Arial"/>
                <w:sz w:val="13"/>
                <w:szCs w:val="13"/>
                <w:color w:val="auto"/>
              </w:rPr>
              <w:t>Balance, December 31, 2019</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79.7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1,396.7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143.6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1,529.8</w:t>
            </w:r>
          </w:p>
        </w:tc>
        <w:tc>
          <w:tcPr>
            <w:tcW w:w="0" w:type="dxa"/>
            <w:vAlign w:val="bottom"/>
          </w:tcPr>
          <w:p>
            <w:pPr>
              <w:spacing w:after="0"/>
              <w:rPr>
                <w:sz w:val="1"/>
                <w:szCs w:val="1"/>
                <w:color w:val="auto"/>
              </w:rPr>
            </w:pPr>
          </w:p>
        </w:tc>
      </w:tr>
      <w:tr>
        <w:trPr>
          <w:trHeight w:val="154"/>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5"/>
              </w:rPr>
              <w:t>Restaurant Group reorganization and deconsolidation of</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Blue Ribbon</w:t>
            </w:r>
          </w:p>
        </w:tc>
        <w:tc>
          <w:tcPr>
            <w:tcW w:w="7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 earnings — unrealized gain on</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0"/>
        </w:trPr>
        <w:tc>
          <w:tcPr>
            <w:tcW w:w="3280" w:type="dxa"/>
            <w:vAlign w:val="bottom"/>
          </w:tcPr>
          <w:p>
            <w:pPr>
              <w:ind w:left="180"/>
              <w:spacing w:after="0"/>
              <w:rPr>
                <w:sz w:val="20"/>
                <w:szCs w:val="20"/>
                <w:color w:val="auto"/>
              </w:rPr>
            </w:pPr>
            <w:r>
              <w:rPr>
                <w:rFonts w:ascii="Arial" w:cs="Arial" w:eastAsia="Arial" w:hAnsi="Arial"/>
                <w:sz w:val="13"/>
                <w:szCs w:val="13"/>
                <w:color w:val="auto"/>
                <w:w w:val="99"/>
              </w:rPr>
              <w:t>investments and other financial instruments, net of tax</w:t>
            </w: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Other comprehensive earnings — unrealized losses of</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investments in unconsolidated affiliates, net of tax</w:t>
            </w:r>
          </w:p>
        </w:tc>
        <w:tc>
          <w:tcPr>
            <w:tcW w:w="7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8" w:lineRule="exact"/>
              <w:rPr>
                <w:sz w:val="20"/>
                <w:szCs w:val="20"/>
                <w:color w:val="auto"/>
              </w:rPr>
            </w:pPr>
            <w:r>
              <w:rPr>
                <w:rFonts w:ascii="Arial" w:cs="Arial" w:eastAsia="Arial" w:hAnsi="Arial"/>
                <w:sz w:val="13"/>
                <w:szCs w:val="13"/>
                <w:color w:val="auto"/>
                <w:w w:val="88"/>
              </w:rPr>
              <w:t>Reclassification adjustments for unrealized gains and losses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180"/>
              <w:spacing w:after="0" w:line="135" w:lineRule="exact"/>
              <w:rPr>
                <w:sz w:val="20"/>
                <w:szCs w:val="20"/>
                <w:color w:val="auto"/>
              </w:rPr>
            </w:pPr>
            <w:r>
              <w:rPr>
                <w:rFonts w:ascii="Arial" w:cs="Arial" w:eastAsia="Arial" w:hAnsi="Arial"/>
                <w:sz w:val="13"/>
                <w:szCs w:val="13"/>
                <w:color w:val="auto"/>
                <w:w w:val="99"/>
              </w:rPr>
              <w:t>on unconsolidated affiliates, net of tax, included in net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1"/>
                <w:szCs w:val="11"/>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70"/>
        </w:trPr>
        <w:tc>
          <w:tcPr>
            <w:tcW w:w="3280" w:type="dxa"/>
            <w:vAlign w:val="bottom"/>
          </w:tcPr>
          <w:p>
            <w:pPr>
              <w:ind w:left="180"/>
              <w:spacing w:after="0"/>
              <w:rPr>
                <w:sz w:val="20"/>
                <w:szCs w:val="20"/>
                <w:color w:val="auto"/>
              </w:rPr>
            </w:pPr>
            <w:r>
              <w:rPr>
                <w:rFonts w:ascii="Arial" w:cs="Arial" w:eastAsia="Arial" w:hAnsi="Arial"/>
                <w:sz w:val="13"/>
                <w:szCs w:val="13"/>
                <w:color w:val="auto"/>
              </w:rPr>
              <w:t>earnings</w:t>
            </w: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5"/>
              </w:rPr>
              <w:t>Sale of noncontrolling interest in consolidated subsidiary</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3280" w:type="dxa"/>
            <w:vAlign w:val="bottom"/>
          </w:tcPr>
          <w:p>
            <w:pPr>
              <w:ind w:left="180"/>
              <w:spacing w:after="0"/>
              <w:rPr>
                <w:sz w:val="20"/>
                <w:szCs w:val="20"/>
                <w:color w:val="auto"/>
              </w:rPr>
            </w:pPr>
            <w:r>
              <w:rPr>
                <w:rFonts w:ascii="Arial" w:cs="Arial" w:eastAsia="Arial" w:hAnsi="Arial"/>
                <w:sz w:val="13"/>
                <w:szCs w:val="13"/>
                <w:color w:val="auto"/>
              </w:rPr>
              <w:t>Treasury stock repurchases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Stock-based compensation, consolidated subsidiaries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3280" w:type="dxa"/>
            <w:vAlign w:val="bottom"/>
          </w:tcPr>
          <w:p>
            <w:pPr>
              <w:ind w:left="180"/>
              <w:spacing w:after="0"/>
              <w:rPr>
                <w:sz w:val="20"/>
                <w:szCs w:val="20"/>
                <w:color w:val="auto"/>
              </w:rPr>
            </w:pPr>
            <w:r>
              <w:rPr>
                <w:rFonts w:ascii="Arial" w:cs="Arial" w:eastAsia="Arial" w:hAnsi="Arial"/>
                <w:sz w:val="13"/>
                <w:szCs w:val="13"/>
                <w:color w:val="auto"/>
              </w:rPr>
              <w:t>Contribution of CSA services from FNF</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unconsolidated affiliates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earnings (loss)</w:t>
            </w: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647.7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638.1</w:t>
            </w:r>
          </w:p>
        </w:tc>
        <w:tc>
          <w:tcPr>
            <w:tcW w:w="0" w:type="dxa"/>
            <w:vAlign w:val="bottom"/>
          </w:tcPr>
          <w:p>
            <w:pPr>
              <w:spacing w:after="0"/>
              <w:rPr>
                <w:sz w:val="1"/>
                <w:szCs w:val="1"/>
                <w:color w:val="auto"/>
              </w:rPr>
            </w:pPr>
          </w:p>
        </w:tc>
      </w:tr>
      <w:tr>
        <w:trPr>
          <w:trHeight w:val="241"/>
        </w:trPr>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March 31, 2020</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1,406.1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2,205.0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800" w:type="dxa"/>
            <w:vAlign w:val="bottom"/>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r>
      <w:tr>
        <w:trPr>
          <w:trHeight w:val="276"/>
        </w:trPr>
        <w:tc>
          <w:tcPr>
            <w:tcW w:w="844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69"/>
        </w:trPr>
        <w:tc>
          <w:tcPr>
            <w:tcW w:w="8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8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Net earnings (loss)</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638.1</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earnings (loss) to net cash (used in) provided by operating activities: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844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13.9</w:t>
            </w:r>
          </w:p>
        </w:tc>
      </w:tr>
      <w:tr>
        <w:trPr>
          <w:trHeight w:val="276"/>
        </w:trPr>
        <w:tc>
          <w:tcPr>
            <w:tcW w:w="8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losses of unconsolidated affiliates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r>
      <w:tr>
        <w:trPr>
          <w:trHeight w:val="264"/>
        </w:trPr>
        <w:tc>
          <w:tcPr>
            <w:tcW w:w="8440" w:type="dxa"/>
            <w:vAlign w:val="bottom"/>
          </w:tcPr>
          <w:p>
            <w:pPr>
              <w:ind w:left="460"/>
              <w:spacing w:after="0"/>
              <w:rPr>
                <w:sz w:val="20"/>
                <w:szCs w:val="20"/>
                <w:color w:val="auto"/>
              </w:rPr>
            </w:pPr>
            <w:r>
              <w:rPr>
                <w:rFonts w:ascii="Arial" w:cs="Arial" w:eastAsia="Arial" w:hAnsi="Arial"/>
                <w:sz w:val="14"/>
                <w:szCs w:val="14"/>
                <w:color w:val="auto"/>
              </w:rPr>
              <w:t>Distributions from investments in unconsolidated affiliates</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6"/>
        </w:trPr>
        <w:tc>
          <w:tcPr>
            <w:tcW w:w="8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Realized and other gains and losses and asset impairments, net</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(902.0)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64"/>
        </w:trPr>
        <w:tc>
          <w:tcPr>
            <w:tcW w:w="8440" w:type="dxa"/>
            <w:vAlign w:val="bottom"/>
          </w:tcPr>
          <w:p>
            <w:pPr>
              <w:ind w:left="460"/>
              <w:spacing w:after="0"/>
              <w:rPr>
                <w:sz w:val="20"/>
                <w:szCs w:val="20"/>
                <w:color w:val="auto"/>
              </w:rPr>
            </w:pPr>
            <w:r>
              <w:rPr>
                <w:rFonts w:ascii="Arial" w:cs="Arial" w:eastAsia="Arial" w:hAnsi="Arial"/>
                <w:sz w:val="14"/>
                <w:szCs w:val="14"/>
                <w:color w:val="auto"/>
              </w:rPr>
              <w:t>Lease asset amortization</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9.9</w:t>
            </w:r>
          </w:p>
        </w:tc>
      </w:tr>
      <w:tr>
        <w:trPr>
          <w:trHeight w:val="276"/>
        </w:trPr>
        <w:tc>
          <w:tcPr>
            <w:tcW w:w="8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8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decrease in trade receivables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r>
      <w:tr>
        <w:trPr>
          <w:trHeight w:val="264"/>
        </w:trPr>
        <w:tc>
          <w:tcPr>
            <w:tcW w:w="8440" w:type="dxa"/>
            <w:vAlign w:val="bottom"/>
          </w:tcPr>
          <w:p>
            <w:pPr>
              <w:ind w:left="540"/>
              <w:spacing w:after="0"/>
              <w:rPr>
                <w:sz w:val="20"/>
                <w:szCs w:val="20"/>
                <w:color w:val="auto"/>
              </w:rPr>
            </w:pPr>
            <w:r>
              <w:rPr>
                <w:rFonts w:ascii="Arial" w:cs="Arial" w:eastAsia="Arial" w:hAnsi="Arial"/>
                <w:sz w:val="14"/>
                <w:szCs w:val="14"/>
                <w:color w:val="auto"/>
              </w:rPr>
              <w:t>Net increase in inventory, prepaid expenses and other assets</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76"/>
        </w:trPr>
        <w:tc>
          <w:tcPr>
            <w:tcW w:w="8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decrease in lease liabilities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264"/>
        </w:trPr>
        <w:tc>
          <w:tcPr>
            <w:tcW w:w="8440" w:type="dxa"/>
            <w:vAlign w:val="bottom"/>
          </w:tcPr>
          <w:p>
            <w:pPr>
              <w:ind w:left="540"/>
              <w:spacing w:after="0"/>
              <w:rPr>
                <w:sz w:val="20"/>
                <w:szCs w:val="20"/>
                <w:color w:val="auto"/>
              </w:rPr>
            </w:pPr>
            <w:r>
              <w:rPr>
                <w:rFonts w:ascii="Arial" w:cs="Arial" w:eastAsia="Arial" w:hAnsi="Arial"/>
                <w:sz w:val="14"/>
                <w:szCs w:val="14"/>
                <w:color w:val="auto"/>
              </w:rPr>
              <w:t>Net decrease (increase) in accounts payable, accrued liabilities, deferred revenue and other</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70"/>
        </w:trPr>
        <w:tc>
          <w:tcPr>
            <w:tcW w:w="84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change in income taxes</w:t>
            </w:r>
          </w:p>
        </w:tc>
        <w:tc>
          <w:tcPr>
            <w:tcW w:w="8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50"/>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provided by operating activities</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Proceeds from sale of investment securities and investments in unconsolidated affiliates</w:t>
            </w:r>
          </w:p>
        </w:tc>
        <w:tc>
          <w:tcPr>
            <w:tcW w:w="86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partial sale of Ceridian shares - see Note A</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Additions to property and equipment and other intangible assets</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Additions to notes receivable</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Proceeds from sales of property and equipment</w:t>
            </w:r>
          </w:p>
        </w:tc>
        <w:tc>
          <w:tcPr>
            <w:tcW w:w="86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Dun &amp; Bradstreet, net of capitalized syndication fees</w:t>
            </w:r>
          </w:p>
        </w:tc>
        <w:tc>
          <w:tcPr>
            <w:tcW w:w="8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(502.7)</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Additional investments in unconsolidated affiliates</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(226.2)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deconsolidated through the Blue Ribbon Reorganization - see Note A</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Distributions from investments in unconsolidated affiliates</w:t>
            </w:r>
          </w:p>
        </w:tc>
        <w:tc>
          <w:tcPr>
            <w:tcW w:w="86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0.3</w:t>
            </w:r>
          </w:p>
        </w:tc>
      </w:tr>
      <w:tr>
        <w:trPr>
          <w:trHeight w:val="270"/>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proceeds from sales and maturities of short-term investment securities</w:t>
            </w:r>
          </w:p>
        </w:tc>
        <w:tc>
          <w:tcPr>
            <w:tcW w:w="8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r>
      <w:tr>
        <w:trPr>
          <w:trHeight w:val="250"/>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(481.8)</w:t>
            </w: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Borrowings</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262.2</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service payments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Subsidiary distributions paid to noncontrolling interest shareholders</w:t>
            </w:r>
          </w:p>
        </w:tc>
        <w:tc>
          <w:tcPr>
            <w:tcW w:w="86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 of noncontrolling interest in consolidated subsidiary</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Treasury stock repurchases</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Restaurant Group sale and leaseback of corporate office, net of issuance costs</w:t>
            </w:r>
          </w:p>
        </w:tc>
        <w:tc>
          <w:tcPr>
            <w:tcW w:w="86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r>
      <w:tr>
        <w:trPr>
          <w:trHeight w:val="250"/>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8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(86.4)</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274.0</w:t>
            </w: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8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533.7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323.0</w:t>
            </w: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121.2</w:t>
            </w: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engaged in actively managing and operating a group of companies and investments, as well as making additional majority and minority equity portfolio investments in businesses, in order to achieve superior financial performance and maximize the value of these assets. Our primary investments as of March 31, 2020 include our minority ownership interests in The Dun &amp; Bradstreet Corporation ("Dun &amp; Bradstreet" or "D&amp;B"), Ceridian HCM Holding, Inc. ("Ceridian") and AmeriLife Group, LLC ("AmeriLife"); majority equity ownership stakes in O'Charley's Holdings, LLC ("O'Charley's") and 99 Restaurants Holdings, LLC ("99 Restaurants"); and various other controlled portfolio companies and minority equity and debt investments.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H for further discussion of the businesses comprising our reportable segments.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conducts its business through its wholly-owned subsidiary Cannae Holdings, LLC ("Cannae LLC"), a Delaware limited liability company. The Company’s board of directors ("Board") oversees the management of the Company, Cannae LLC and its businesses, and the performance of Trasimene Capital Management, LLC (“Trasimene” or the “Manager”). In connection with the externalization of certain of our management functions in September 2019, the Company, Cannae LLC, and the Manager entered into a Management Services Agreement (the “Management Services Agreement”).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2019.</w:t>
      </w:r>
    </w:p>
    <w:p>
      <w:pPr>
        <w:spacing w:after="0" w:line="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Following the split-off of the former portfolio company investments by Fidelity National Financial, Inc. ("FNF"), and subsequent contribution to us (the "FNF Split-Off"), the Company is allocated certain corporate overhead and management services expenses from FNF based on the terms of the Corporate Services Agreement ("CSA"), dated as of November 17, 2017, by and between the Company and FNF and our proportionate share of the expense determined on actual usage and our best estimate of management's allocation of time. The CSA has an initial three-year term and after the initial three-year term, if the CSA is not mutually terminated by us or FNF prior to the expiration of the initial three-year term, it will automatically renew for successive one-year terms on mutually agreeable arm's length terms unless FNF and Cannae mutually agree to terminate the agreement. Both FNF and Cannae believe expense allocations pursuant to the CSA are reasonable; however, they may not be indicative of the actual results of operations or cash flows of the Company had the Company been operating as an independent, publicly-traded company for the periods presented or the amounts that will be incurred by the Company in the future. FNF is considered a related party to the Company.</w:t>
      </w:r>
    </w:p>
    <w:p>
      <w:pPr>
        <w:spacing w:after="0" w:line="4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All intercompany profits, transactions and balances have been eliminated. Our investments in non-majority-owned partnerships and affiliates are accounted for using the equity method until such time that they may become wholly or majority-owned. Earnings attributable to noncontrolling interests are recorded on the Condensed Consolidated Statements of Operations relating to majority-owned subsidiaries with the appropriate noncontrolling interest that represents the portion of equity not related to our ownership interest recorded on the Condensed Consolidated Balance Sheets in each period.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valuation of goodwill and acquired intangible assets and fair value measurements (Note C). Actual results may differ from estimates.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Ceridian</w:t>
      </w:r>
    </w:p>
    <w:p>
      <w:pPr>
        <w:spacing w:after="0" w:line="19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On February 21, 2020, we completed the sale of an additional 3.9 million shares of common stock of Ceridian to a broker pursuant to Rule 144 promulgated under the Securities Act of 1933, as amended. In connection with the sale, we received proceeds of $283.7 million and recorded a gain of $223.1 million. As a result of the sale, we now own 19.8 million shares of Ceridian which represents 13.7% of its outstanding common stock.</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2020 our voting agreement with Ceridian was terminated and, as a result, we are no longer able to exert influence over the composition and quantity of Ceridian's board of directors. In combination with the reduction in our ownership of Ceridian resulting from the sale of shares in February 2020, we no longer exercise significant influence over Ceridian. As of March 31, 2020, we account for our investment in Ceridian pursuant to the investment in equity security guidance of Accounting Standards Codification ("ASC") 321. The change resulted in the revaluation of our investment in Ceridian to its fair value of $993.4 million as of March 31, 2020 and recording a gain on such revaluation of $684.9 million. Refer to Notes C and D for further discussion of our accounting for our investment in Ceridian.</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8, 2020, we sold 1.8 million shares of common stock of Ceridian to a broker pursuant to Rule 144 promulgated under the Securities Act of 1933, as amended. We expect to receive proceeds of $115.9 million on May 12, 2020.</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1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January 27, 2020, American Blue Ribbon Holdings, LLC ("Blue Ribbon") and its wholly-owned subsidiaries, filed voluntary petitions for relief under chapter 11 of the United States Bankruptcy Code in the U.S. Bankruptcy Court for the District of Delaware (the "Blue Ribbon Reorganization"). The Blue Ribbon Reorganization does not involve or affect the operations of O’Charley’s or 99 Restaurants, which are not part of Blue Ribbon.</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Blue Ribbon Reorganization, we deconsolidated Blue Ribbon as of January 27, 2020 because the bankruptcy court and committee of creditors formed are deemed to have control of Blue Ribbon. We continue to own 65.4% of the equity of Blue Ribbon and we have agreed to provide debtor-in-possession financing (the "DIP Loan") of up to $20.0 million to Blue Ribbon and its subsidiaries.</w:t>
      </w:r>
    </w:p>
    <w:p>
      <w:pPr>
        <w:spacing w:after="0" w:line="1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recorded a gain of $26.5 million on January 27, 2020 as a result of the deconsolidation of Blue Ribbon which is included in Realized and other gains and losses, net on the Condensed Consolidated Statement of Operations. The recorded gain was measured as the excess of the fair value of our retained equity investment in Blue Ribbon over our book value of Blue Ribbon as of January 27, 2020.</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account for our retained equity interest in Blue Ribbon under the equity method of accounting because (1) we continue to exert significant influence over Blue Ribbon through our majority equity ownership and position as the single largest post-petition creditor of Blue Ribbon through the DIP Loan, (2) the Blue Ribbon Reorganization is limited in scope and is expected to be short in duration, and (3) we expect to retain our equity interest upon completion of the Blue Ribbon Reorganization. We recorded an investment of $33.6 million as of January 27, 2020. The fair value of the investment was determined by performing a combination of discounted cash flow and market approaches.</w:t>
      </w:r>
    </w:p>
    <w:p>
      <w:pPr>
        <w:spacing w:after="0" w:line="1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unprecedented social restrictions imposed by state and local government authorities related to the novel coronavirus ("COVID-19") pandemic, our Restaurant Group brands experienced a significant reduction in guest counts beginning in the last two weeks of March 2020. In response to the outbreak and these changing conditions, our Restaurant Group brands closed the dining rooms in substantially all of our restaurants, with limited exceptions related to stores that have reopened in states which have relaxed restrictions in late April and May 2020. As of the filing of this report, in most of our restaurants we are solely operating to-go and delivery services where able. Due to increased uncertainty in the operating environment for restaurants and a significant reduction in forecasted cash flows for Blue Ribbon, we recorded an other-than-temporary impairment of our investment of $18.6 million as of March 31, 2020.</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D for further discussion of our investments in unconsolidated affiliates.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2020, we have provided $11.0 million of financing to Blue Ribbon and its subsidiaries under the DIP Loan which is included in Prepaid expenses and other current assets on the Condensed Consolidated Balance Sheet.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AmeriLife</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18, 2020, we closed on the previously announced $125.0 million investment in a partnership (the “AmeriLife Joint Venture”) which invested in the recapitalization of AmeriLife. Cannae and other investors provided an aggregate of $617.0 million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3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equity financing to the AmeriLife Joint Venture to acquire AmeriLife. AmeriLife is a leader in marketing and distributing life, health, and retirement solutions. The Company's $125.0 million investment represents 20.3% of the outstanding equity of the AmeriLife Joint Venture. We account for our investment in the AmeriLife Joint Venture under the equity method of accounting and the investment is included in Investments in unconsolidated affiliates on our Condensed Consolidated Balance Sheet as of March 31, 2020. Refer to Note D for further discussion of our investments in unconsolidated affiliates.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Fund</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12, 2019, we entered into a limited partnership with an investment fund manager designed to opportunistically trade in marketable securities (the "Equity Fund"). In December 2019, we initially contributed $90.9 million of cash in exchange for limited partnership interests in the Equity Fund representing 49.0% of its outstanding equity and a deposit on hand with the Equity Fund. In the three months ended March 31, 2020, we invested an additional $101.2 million in the Equity Fund. Subsequent to March 31, 2020, we invested an additional $50.0 million in the Equity Fund. Refer to Note D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Basic earnings per share, as presented on the Condensed Consolidated Statement of Operations, is computed by dividing net earnings available to common shareholders by the weighted average number of common shares outstanding during the period.</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shares of restricted stock which have been treated as common share equivalents for purposes of calculating diluted earnings per share for periods in which positive earnings have been reported.</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Instruments that provide the ability to purchase shares of our common stock that are antidilutive are excluded from the computation of diluted earnings per share. For the three months ended March 31, 2020 there were no antidilutive shares of restricted stock outstanding which were excluded from the calculation of diluted earnings per share. For the three months ended March 31, 2019 there were 0.2 million antidilutive shares of restricted stock outstanding which were excluded from the calculation of diluted earnings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Income tax expense (benefit) was $169.4 million and $(6.0) million in the three-month periods ended March 31, 2020 and 2019, respectively. Our effective tax rate was 19.7% and 272.7% in the three months ended March 31, 2020 and 2019, respectively. The change in the effective tax rate in the three-month period ended March 31, 2020 was primarily attributable to the reduced impact of equity in losses of unconsolidated affiliates on pretax earnings in 2020 compared to the impact of equity in losses of unconsolidated affiliates on pretax losses in the same period in the 2019. We have a Deferred tax liability of $124.5 million as of March 31, 2020 and a Deferred tax asset of $54.5 million as of December 31, 2019. The $179.0 million change in deferred taxes in the three months ended March 31, 2020 is primarily attributable to the tax impact on the gain recorded for the change in accounting for Ceridian as of March 31, 2020.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Restaurant Group is required to hold cash collateralizing its outstanding letters of credit. Included in Cash and cash equivalents on our Condensed Consolidated Balance Sheets as of March 31, 2020 and December 31, 2019 is $11.4 million of such restricted cash.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 Simplifying the Accounting for Income Taxes (Topic 740)</w:t>
      </w:r>
      <w:r>
        <w:rPr>
          <w:rFonts w:ascii="Arial" w:cs="Arial" w:eastAsia="Arial" w:hAnsi="Arial"/>
          <w:sz w:val="18"/>
          <w:szCs w:val="18"/>
          <w:color w:val="auto"/>
        </w:rPr>
        <w:t>, which simplifies various aspects of the income tax accounting guidance and will be applied using different approaches depending on what the specific amendment relates to and, for public entities, are effective for fiscal years, and interim periods within those fiscal years, beginning after December 15, 2020. Early adoption is permitted. We are still evaluating the impact of this guidance and have not yet concluded on its anticipated impact on our Condensed Consolidated Financial Statements and related disclosures upon adoption.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historically accounted for our investment and proportionate share of losses in Dun &amp; Bradstreet utilizing a three-month reporting lag due to timeliness considerations. In the third quarter of 2019, the Company was able to obtain financial information</w:t>
      </w:r>
    </w:p>
    <w:p>
      <w:pPr>
        <w:sectPr>
          <w:pgSz w:w="11900" w:h="16838" w:orient="portrait"/>
          <w:cols w:equalWidth="0" w:num="1">
            <w:col w:w="11240"/>
          </w:cols>
          <w:pgMar w:left="320" w:top="121" w:right="339"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Dun &amp; Bradstreet on a more timely basis and determined it was preferable to record our investment in Dun &amp; Bradstreet on a current basis as opposed to the previous three-month lag.</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applicable accounting literature, a change to eliminate a previously existing reporting lag is considered a change in accounting principle. Changes in accounting principles are to be reported through retrospective application of the new principle to all prior financial statement periods presented. Accordingly, the Company's condensed consolidated financial statements for the interim periods of fiscal year 2019 were adjusted in the third quarter of 2019 to reflect the period specific effects of eliminating the three-month reporting lag. The elimination of the three-month reporting lag did not impact total operating, investing or financing cash flows for any period presented.</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elimination of the three-month reporting lag for our equity investment in Dun &amp; Bradstreet resulted in the adjustments as of and for the periods indicated below (in millions, except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6"/>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3"/>
              </w:rPr>
              <w:t>March 31, 2019</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7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81"/>
              <w:spacing w:after="0" w:line="147" w:lineRule="exact"/>
              <w:rPr>
                <w:sz w:val="20"/>
                <w:szCs w:val="20"/>
                <w:color w:val="auto"/>
              </w:rPr>
            </w:pPr>
            <w:r>
              <w:rPr>
                <w:rFonts w:ascii="Arial" w:cs="Arial" w:eastAsia="Arial" w:hAnsi="Arial"/>
                <w:sz w:val="14"/>
                <w:szCs w:val="14"/>
                <w:b w:val="1"/>
                <w:bCs w:val="1"/>
                <w:color w:val="auto"/>
                <w:w w:val="94"/>
              </w:rPr>
              <w:t>As Previously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As Adjusted</w:t>
            </w:r>
          </w:p>
        </w:tc>
        <w:tc>
          <w:tcPr>
            <w:tcW w:w="180" w:type="dxa"/>
            <w:vAlign w:val="bottom"/>
          </w:tcPr>
          <w:p>
            <w:pPr>
              <w:spacing w:after="0"/>
              <w:rPr>
                <w:sz w:val="12"/>
                <w:szCs w:val="12"/>
                <w:color w:val="auto"/>
              </w:rPr>
            </w:pPr>
          </w:p>
        </w:tc>
        <w:tc>
          <w:tcPr>
            <w:tcW w:w="10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Reported</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8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Income tax benefit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earnings (losses)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Net earnings (loss)</w:t>
            </w: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 (loss) attributable to Cannae Holdings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Per Share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Basic earnings (loss) per share attributable to Cannae Holdings common shareholders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0.07</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Diluted</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Diluted earnings (loss) per share attributable to Cannae Holdings common shareholders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0.07</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Comprehensive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Net earnings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gain relating to investments in unconsolidated affiliates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6"/>
                <w:szCs w:val="16"/>
                <w:color w:val="auto"/>
              </w:rPr>
              <w:t>Comprehensive earnings (loss) attributable to Cannae Holdings,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11.7</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Leases</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party to operating lease arrangements primarily for leased real estate for restaurants and office space. Right-of-use assets and lease liabilities related to operating leases are recorded at commencement when we are party to a contract which conveys the right for the Company to control an asset for a specified period of time. We are not a party to any material contracts considered finance leases. Right-of-use assets and lease liabilities related to operating leases are recorded as Lease assets and Lease liabilities, respectively, on the Condensed Consolidated Balance Sheets as of March 31, 2020 and December 31, 2019.</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in our accounting for leases as of or during the three months ended March 31, 2020.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result of the Blue Ribbon Reorganization, we deconsolidated Blue Ribbon as of January 27, 2020. Future payments under operating lease arrangements as of March 31, 2020 are now as follows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 (remaining)</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37.4</w:t>
            </w:r>
          </w:p>
        </w:tc>
      </w:tr>
      <w:tr>
        <w:trPr>
          <w:trHeight w:val="27"/>
        </w:trPr>
        <w:tc>
          <w:tcPr>
            <w:tcW w:w="9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25.9</w:t>
            </w:r>
          </w:p>
        </w:tc>
      </w:tr>
      <w:tr>
        <w:trPr>
          <w:trHeight w:val="27"/>
        </w:trPr>
        <w:tc>
          <w:tcPr>
            <w:tcW w:w="9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88.3</w:t>
            </w:r>
          </w:p>
        </w:tc>
      </w:tr>
      <w:tr>
        <w:trPr>
          <w:trHeight w:val="27"/>
        </w:trPr>
        <w:tc>
          <w:tcPr>
            <w:tcW w:w="99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 undiscounted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227.3</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Less: discount</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62.2</w:t>
            </w:r>
          </w:p>
        </w:tc>
      </w:tr>
      <w:tr>
        <w:trPr>
          <w:trHeight w:val="27"/>
        </w:trPr>
        <w:tc>
          <w:tcPr>
            <w:tcW w:w="99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liability as of March 31, 2020, at present value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165.1</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Less: operating lease liability as of March 31, 2020, current</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26.7</w:t>
            </w:r>
          </w:p>
        </w:tc>
      </w:tr>
      <w:tr>
        <w:trPr>
          <w:trHeight w:val="27"/>
        </w:trPr>
        <w:tc>
          <w:tcPr>
            <w:tcW w:w="99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 as of March 31, 2020, long term</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138.4</w:t>
            </w: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hierarchy established by the accounting standards on fair value measurements includes three levels that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Condensed Consolidated Balance Sheets are categorized based on the inputs to the valuation techniques as follows:</w:t>
      </w:r>
    </w:p>
    <w:p>
      <w:pPr>
        <w:spacing w:after="0" w:line="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have the ability to access.</w:t>
      </w:r>
    </w:p>
    <w:p>
      <w:pPr>
        <w:spacing w:after="0" w:line="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March 31, 2020 and December 31, 2019, respectively:</w:t>
      </w:r>
    </w:p>
    <w:p>
      <w:pPr>
        <w:spacing w:after="0" w:line="108"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23495</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Total</w:t>
            </w:r>
          </w:p>
        </w:tc>
      </w:tr>
      <w:tr>
        <w:trPr>
          <w:trHeight w:val="190"/>
        </w:trPr>
        <w:tc>
          <w:tcPr>
            <w:tcW w:w="6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55"/>
        </w:trPr>
        <w:tc>
          <w:tcPr>
            <w:tcW w:w="686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Investment in Ceridian</w:t>
            </w: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993.4</w:t>
            </w:r>
          </w:p>
        </w:tc>
      </w:tr>
      <w:tr>
        <w:trPr>
          <w:trHeight w:val="27"/>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993.4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1,019.5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23495</wp:posOffset>
            </wp:positionV>
            <wp:extent cx="2777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Total</w:t>
            </w:r>
          </w:p>
        </w:tc>
      </w:tr>
      <w:tr>
        <w:trPr>
          <w:trHeight w:val="196"/>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19.2</w:t>
            </w:r>
          </w:p>
        </w:tc>
      </w:tr>
      <w:tr>
        <w:trPr>
          <w:trHeight w:val="27"/>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Level 1 fair value measurement for our investment in Ceridian is based on quoted market prices of Ceridian's common equity (NYSE: CDAY).</w:t>
      </w:r>
    </w:p>
    <w:p>
      <w:pPr>
        <w:spacing w:after="0" w:line="11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Level 3 fair value measurement for our fixed maturity securities available for sale are provided by a single third-party pricing service. Depending on security specific characteristics, either a combination of an income approach or a contingent claims approach was utilized in determining the fair value of our Level 3 fixed-maturity securities available for sale. Discount rates are the primary unobservable inputs utilized for the securities valued using a combination of an income and net recovery approach. The discount rates used are based on company-specific risk premiums, public company comparable securities, and leveraged loan indices. The discount rates used in our determination of the fair value of our Level 3 fixed-maturity securities available for sale varies by security type and ranged from 14.0% to 14.5% as of March 31, 2020 and a weighted average based on relative fair value of the underlying securities of 14.5%. Based on the total fair value of our Level 3 fixed-maturity securities available for sale as of March 31, 2020, changes in the discount rate utilized will not result in a fair value significantly different or material to the Company's financial position or results of operation than the amount recorded.</w:t>
      </w:r>
    </w:p>
    <w:p>
      <w:pPr>
        <w:spacing w:after="0" w:line="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for the three months ended March 31, 2020 and 2019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152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244"/>
        </w:trPr>
        <w:tc>
          <w:tcPr>
            <w:tcW w:w="7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 debt</w:t>
            </w:r>
          </w:p>
        </w:tc>
        <w:tc>
          <w:tcPr>
            <w:tcW w:w="160" w:type="dxa"/>
            <w:vAlign w:val="bottom"/>
          </w:tcPr>
          <w:p>
            <w:pPr>
              <w:spacing w:after="0"/>
              <w:rPr>
                <w:sz w:val="21"/>
                <w:szCs w:val="21"/>
                <w:color w:val="auto"/>
              </w:rPr>
            </w:pPr>
          </w:p>
        </w:tc>
        <w:tc>
          <w:tcPr>
            <w:tcW w:w="152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Corporate debt</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securities</w:t>
            </w:r>
          </w:p>
        </w:tc>
        <w:tc>
          <w:tcPr>
            <w:tcW w:w="160" w:type="dxa"/>
            <w:vAlign w:val="bottom"/>
          </w:tcPr>
          <w:p>
            <w:pPr>
              <w:spacing w:after="0"/>
              <w:rPr>
                <w:sz w:val="23"/>
                <w:szCs w:val="23"/>
                <w:color w:val="auto"/>
              </w:rPr>
            </w:pPr>
          </w:p>
        </w:tc>
        <w:tc>
          <w:tcPr>
            <w:tcW w:w="1520" w:type="dxa"/>
            <w:vAlign w:val="bottom"/>
          </w:tcPr>
          <w:p>
            <w:pPr>
              <w:jc w:val="center"/>
              <w:ind w:right="99"/>
              <w:spacing w:after="0"/>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282"/>
        </w:trPr>
        <w:tc>
          <w:tcPr>
            <w:tcW w:w="7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Impairment (1)</w:t>
            </w: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valuation gain included in other comprehensive earnings (2)</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760" w:type="dxa"/>
            <w:vAlign w:val="bottom"/>
          </w:tcPr>
          <w:p>
            <w:pPr>
              <w:ind w:left="40"/>
              <w:spacing w:after="0"/>
              <w:rPr>
                <w:sz w:val="20"/>
                <w:szCs w:val="20"/>
                <w:color w:val="auto"/>
              </w:rPr>
            </w:pPr>
            <w:r>
              <w:rPr>
                <w:rFonts w:ascii="Arial" w:cs="Arial" w:eastAsia="Arial" w:hAnsi="Arial"/>
                <w:sz w:val="18"/>
                <w:szCs w:val="18"/>
                <w:color w:val="auto"/>
              </w:rPr>
              <w:t>Fair value,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Realized and other gains and losses, net on the Condensed Consolidated Statements of Operations</w:t>
      </w:r>
    </w:p>
    <w:p>
      <w:pPr>
        <w:spacing w:after="0" w:line="9" w:lineRule="exact"/>
        <w:rPr>
          <w:rFonts w:ascii="Arial" w:cs="Arial" w:eastAsia="Arial" w:hAnsi="Arial"/>
          <w:sz w:val="18"/>
          <w:szCs w:val="18"/>
          <w:color w:val="auto"/>
        </w:rPr>
      </w:pPr>
    </w:p>
    <w:p>
      <w:pPr>
        <w:ind w:right="20" w:firstLine="8"/>
        <w:spacing w:after="0" w:line="260" w:lineRule="auto"/>
        <w:tabs>
          <w:tab w:leader="none" w:pos="28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Unrealized gain (loss) on investments and other financial instruments, net (excluding investments in unconsolidated affiliates) on the Condensed Consolidated Statements of Comprehensive Earnings (Loss)</w:t>
      </w:r>
    </w:p>
    <w:p>
      <w:pPr>
        <w:spacing w:after="0" w:line="18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Transfers into or out of the Level 3 fair value category occur when unobservable inputs become more or less significant to the fair value measurement or upon a change in valuation technique. There were no transfers between Level 2 and Level 3 in the three months ended March 31, 2020 and 2019.</w:t>
      </w:r>
    </w:p>
    <w:p>
      <w:pPr>
        <w:spacing w:after="0" w:line="9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All of the unrealized gain on investments and other financial instruments, net (excluding investments in unconsolidated affiliates) on our Condensed Consolidated Statements of Comprehensive Earnings (Loss) for the three months ended March 31, 2020 relate to fixed maturity securities considered Level 3 fair value measures.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trade receivables and notes receivable approximate fair value due to their short-term nature. The fair value of our notes payable is included in Note F.</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 Ceridian</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2020, we account for our investment in Ceridian at fair value pursuant to ASC 321. We recorded unrealized gains of $684.9 million upon the change in accounting all of which relates to Ceridian equity securities which continue to be held by the Company as of March 31, 2020. The unrealized gain is included in Realized and other gains and losses, net on the Condensed Consolidated Statement of Operations for the three months ended March 31, 2020.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recorded using the equity method of accounting as of March 31, 2020 and December 31, 2019 consisted of the following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Ownership at March</w:t>
            </w:r>
          </w:p>
        </w:tc>
        <w:tc>
          <w:tcPr>
            <w:tcW w:w="20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8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71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31, 2020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Dun &amp; Bradstreet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385.9</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Ceridian (1)</w:t>
            </w:r>
          </w:p>
        </w:tc>
        <w:tc>
          <w:tcPr>
            <w:tcW w:w="14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309.5</w:t>
            </w:r>
          </w:p>
        </w:tc>
      </w:tr>
      <w:tr>
        <w:trPr>
          <w:trHeight w:val="27"/>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Fund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46.7</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AmeriLife</w:t>
            </w:r>
          </w:p>
        </w:tc>
        <w:tc>
          <w:tcPr>
            <w:tcW w:w="142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various</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94.4</w:t>
            </w:r>
          </w:p>
        </w:tc>
      </w:tr>
      <w:tr>
        <w:trPr>
          <w:trHeight w:val="257"/>
        </w:trPr>
        <w:tc>
          <w:tcPr>
            <w:tcW w:w="7140" w:type="dxa"/>
            <w:vAlign w:val="bottom"/>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759.2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836.5</w:t>
            </w:r>
          </w:p>
        </w:tc>
      </w:tr>
      <w:tr>
        <w:trPr>
          <w:trHeight w:val="20"/>
        </w:trPr>
        <w:tc>
          <w:tcPr>
            <w:tcW w:w="7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Investment in Ceridian is no longer accounted for under the equity method of accounting as of March 31, 2020.</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Equity in earnings (losses) of unconsolidated affiliates for the three months ended March 31, 2020 and March 31, 2019 consisted of the following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9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180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Three months ended March</w:t>
            </w:r>
          </w:p>
        </w:tc>
      </w:tr>
      <w:tr>
        <w:trPr>
          <w:trHeight w:val="192"/>
        </w:trPr>
        <w:tc>
          <w:tcPr>
            <w:tcW w:w="75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31, 2019</w:t>
            </w: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Dun &amp; Bradstreet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Ceridian (1)</w:t>
            </w:r>
          </w:p>
        </w:tc>
        <w:tc>
          <w:tcPr>
            <w:tcW w:w="3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27"/>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Fund</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AmeriLife</w:t>
            </w:r>
          </w:p>
        </w:tc>
        <w:tc>
          <w:tcPr>
            <w:tcW w:w="3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0"/>
        </w:trPr>
        <w:tc>
          <w:tcPr>
            <w:tcW w:w="7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right="440" w:firstLine="8"/>
        <w:spacing w:after="0" w:line="260"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Fiscal year 2020 amount represents the Company's equity in earnings of Ceridian in the three months ended March 31, 2020 prior to the change in accounting for the investment as of March 31, 2020.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Summarized financial information for Dun &amp; Bradstreet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acquired our initial interest in Dun &amp; Bradstreet's parent on February 8, 2019. The results of operations for the three months ended March 31, 2019 presented below represents Dun &amp; Bradstreet's results of operations subsequent to our acquisition.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0"/>
        </w:trPr>
        <w:tc>
          <w:tcPr>
            <w:tcW w:w="8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417.9</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7,994.2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8,091.5</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603.4</w:t>
            </w:r>
          </w:p>
        </w:tc>
      </w:tr>
      <w:tr>
        <w:trPr>
          <w:trHeight w:val="297"/>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9,172.4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9,112.8</w:t>
            </w:r>
          </w:p>
        </w:tc>
      </w:tr>
      <w:tr>
        <w:trPr>
          <w:trHeight w:val="284"/>
        </w:trPr>
        <w:tc>
          <w:tcPr>
            <w:tcW w:w="8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927.7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1,090.4</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3,818.9</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1,568.5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1,594.0</w:t>
            </w: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6,503.3</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Preferred equity</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1,030.6</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capital</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1,578.9</w:t>
            </w:r>
          </w:p>
        </w:tc>
      </w:tr>
      <w:tr>
        <w:trPr>
          <w:trHeight w:val="257"/>
        </w:trPr>
        <w:tc>
          <w:tcPr>
            <w:tcW w:w="866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9,172.4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9,112.8</w:t>
            </w: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0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5"/>
              </w:rPr>
              <w:t>Three months ended March 31,</w:t>
            </w:r>
          </w:p>
        </w:tc>
        <w:tc>
          <w:tcPr>
            <w:tcW w:w="20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Period from February 8, 2019</w:t>
            </w:r>
          </w:p>
        </w:tc>
      </w:tr>
      <w:tr>
        <w:trPr>
          <w:trHeight w:val="192"/>
        </w:trPr>
        <w:tc>
          <w:tcPr>
            <w:tcW w:w="70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7"/>
              </w:rPr>
              <w:t>to March 31, 2019</w:t>
            </w:r>
          </w:p>
        </w:tc>
      </w:tr>
      <w:tr>
        <w:trPr>
          <w:trHeight w:val="250"/>
        </w:trPr>
        <w:tc>
          <w:tcPr>
            <w:tcW w:w="7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395.3</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5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(111.6)</w:t>
            </w: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73.9</w:t>
            </w:r>
          </w:p>
        </w:tc>
        <w:tc>
          <w:tcPr>
            <w:tcW w:w="4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Dividends attributable to preferred equity and noncontrolling interest expense</w:t>
            </w:r>
          </w:p>
        </w:tc>
        <w:tc>
          <w:tcPr>
            <w:tcW w:w="5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(32.4)</w:t>
            </w:r>
          </w:p>
        </w:tc>
        <w:tc>
          <w:tcPr>
            <w:tcW w:w="4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Dun &amp; Bradstreet</w:t>
            </w: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41.5</w:t>
            </w:r>
          </w:p>
        </w:tc>
        <w:tc>
          <w:tcPr>
            <w:tcW w:w="4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7"/>
        </w:trPr>
        <w:tc>
          <w:tcPr>
            <w:tcW w:w="7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Fund</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2020, we have invested $192.1 million in the Equity Fund, all of which has been contributed to the fund's capital and is accounted for under the equity method of accounting for investments. Summarized financial information for the Equity Fund for the relevant dates and time periods included in Investments in unconsolidated affiliates and Equity in losses of unconsolidated affiliates in our Condensed Consolidated Balance Sheets and Statements of Operations, respectively, is presented below.</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0"/>
        </w:trPr>
        <w:tc>
          <w:tcPr>
            <w:tcW w:w="8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brokers and counterparties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93.2</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45.2</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contracts,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140.8</w:t>
            </w: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8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contracts,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Capital received in advance</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45.2</w:t>
            </w: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45.4</w:t>
            </w:r>
          </w:p>
        </w:tc>
      </w:tr>
      <w:tr>
        <w:trPr>
          <w:trHeight w:val="27"/>
        </w:trPr>
        <w:tc>
          <w:tcPr>
            <w:tcW w:w="8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95.4</w:t>
            </w: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Three months ended</w:t>
            </w:r>
          </w:p>
        </w:tc>
      </w:tr>
      <w:tr>
        <w:trPr>
          <w:trHeight w:val="192"/>
        </w:trPr>
        <w:tc>
          <w:tcPr>
            <w:tcW w:w="9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March 31, 2020</w:t>
            </w:r>
          </w:p>
        </w:tc>
      </w:tr>
      <w:tr>
        <w:trPr>
          <w:trHeight w:val="250"/>
        </w:trPr>
        <w:tc>
          <w:tcPr>
            <w:tcW w:w="9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investment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Realized gain on securities and derivative contracts</w:t>
            </w:r>
          </w:p>
        </w:tc>
        <w:tc>
          <w:tcPr>
            <w:tcW w:w="160" w:type="dxa"/>
            <w:vAlign w:val="bottom"/>
          </w:tcPr>
          <w:p>
            <w:pPr>
              <w:spacing w:after="0"/>
              <w:rPr>
                <w:sz w:val="21"/>
                <w:szCs w:val="21"/>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0.5</w:t>
            </w:r>
          </w:p>
        </w:tc>
      </w:tr>
      <w:tr>
        <w:trPr>
          <w:trHeight w:val="27"/>
        </w:trPr>
        <w:tc>
          <w:tcPr>
            <w:tcW w:w="9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unrealized loss on derivative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Change in net assets from operations</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(120.3)</w:t>
            </w: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AmerLife</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18, 2020, we closed on our $125.0 million investment in the AmeriLife Joint Venture. We account for our investment in AmeriLife as an equity method investment and report our equity in earnings or loss of the AmeriLife Joint Venture on a three-month lag. Because the Company will record its equity in earnings or loss of the AmeriLife Joint Venture using lag reporting, there is no equity in earnings or loss of AmeriLife included in the Company’s results of operations for the three months ended March 31, 2020. The Company plans to begin including its equity earnings or loss related to AmeriLife in the three months ended June 30, 2020, at which time the Company expects to begin providing summary financial information for the AmeriLife Joint Venture.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Security Investments Without Readily Determinable Fair Values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account for our investment in preferred equity of QOMPLX, Inc. ("QOMPLX"), an intelligent decision and analytics platform used by businesses for modeling and planning, at cost less impairment, if any, plus or minus changes resulting from observable price changes in orderly market transactions. As of March 31, 2020, we have $22.5 million recorded for our investment in QOMPLX, which is included in Other long term investments and noncurrent assets on our Condensed Consolidated Balance Sheet. We have not recorded any upward or downward adjustments to our investment in QOMPLX.</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Fixed Maturity Securities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carrying amounts and fair values of our available for sale fixed maturity securities at March 31, 2020 and December 31, 2019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4"/>
              </w:rPr>
              <w:t>March 31, 2020</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8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3"/>
                <w:szCs w:val="13"/>
                <w:color w:val="auto"/>
              </w:rPr>
            </w:pPr>
          </w:p>
        </w:tc>
        <w:tc>
          <w:tcPr>
            <w:tcW w:w="780" w:type="dxa"/>
            <w:vAlign w:val="bottom"/>
          </w:tcPr>
          <w:p>
            <w:pPr>
              <w:jc w:val="center"/>
              <w:ind w:right="159"/>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8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3"/>
                <w:szCs w:val="13"/>
                <w:color w:val="auto"/>
              </w:rPr>
            </w:pPr>
          </w:p>
        </w:tc>
        <w:tc>
          <w:tcPr>
            <w:tcW w:w="780" w:type="dxa"/>
            <w:vAlign w:val="bottom"/>
          </w:tcPr>
          <w:p>
            <w:pPr>
              <w:jc w:val="center"/>
              <w:ind w:right="159"/>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discount and other-than-temporary-impairment recognized in earnings since the date of purchase.</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2020, $25.7 million of the fixed maturity securities in our investment portfolio had a maturity of less than one year and $0.4 million had a maturity of greater than one year, but less than five years. Expected maturities may differ from contractual maturities because certain borrowers have the right to call or prepay obligations with or without call or prepayment penalties.</w:t>
      </w:r>
    </w:p>
    <w:p>
      <w:pPr>
        <w:spacing w:after="0" w:line="4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During the three months ended March 31, 2020, we incurred no other-than-temporary impairment charges relating to corporate debt securities. During the three months ended March 31, 2019, we incurred $0.3 million of other-than-temporary impairment charges relating to corporate debt securities which is included in Realized and other gains and losses, net on the Condensed Consolidated Statement of Operations. The impairment recorded relates to a corporate debt holding that had experienced a prolonged period of declining earnings and that we were uncertain of our ability to recover our initial investment. All of the loss represents credit loss recognized in earnings and no portion of the loss was included in other comprehensive earnings.</w:t>
      </w:r>
    </w:p>
    <w:p>
      <w:pPr>
        <w:spacing w:after="0" w:line="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2020, we held corporate debt securities with a fair value of $7.8 million for which an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results of operations.</w:t>
      </w:r>
    </w:p>
    <w:p>
      <w:pPr>
        <w:spacing w:after="0" w:line="3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E.</w:t>
      </w:r>
      <w:r>
        <w:rPr>
          <w:sz w:val="20"/>
          <w:szCs w:val="20"/>
          <w:color w:val="auto"/>
        </w:rPr>
        <w:tab/>
      </w:r>
      <w:r>
        <w:rPr>
          <w:rFonts w:ascii="Arial" w:cs="Arial" w:eastAsia="Arial" w:hAnsi="Arial"/>
          <w:sz w:val="16"/>
          <w:szCs w:val="16"/>
          <w:b w:val="1"/>
          <w:bCs w:val="1"/>
          <w:color w:val="auto"/>
        </w:rPr>
        <w:t>Variable Interest Entities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in the normal course of business, engages in certain activities that involve variable interest entities ("VIEs"), which are legal entities in which the equity investors as a group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March 31, 2020 and December 31, 2019, we are not the primary beneficiary of any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table below summarizes select information related to variable interests held by the Company as of March 31, 2020 and December 31, 2019, of which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203200</wp:posOffset>
            </wp:positionV>
            <wp:extent cx="3051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91"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23495</wp:posOffset>
            </wp:positionV>
            <wp:extent cx="1491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 w:lineRule="exact"/>
        <w:rPr>
          <w:sz w:val="20"/>
          <w:szCs w:val="20"/>
          <w:color w:val="auto"/>
        </w:rPr>
      </w:pPr>
    </w:p>
    <w:tbl>
      <w:tblPr>
        <w:tblLayout w:type="fixed"/>
        <w:tblInd w:w="656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Total Assets</w:t>
            </w:r>
          </w:p>
        </w:tc>
        <w:tc>
          <w:tcPr>
            <w:tcW w:w="920" w:type="dxa"/>
            <w:vAlign w:val="bottom"/>
          </w:tcPr>
          <w:p>
            <w:pPr>
              <w:jc w:val="center"/>
              <w:ind w:left="208"/>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6"/>
        </w:trPr>
        <w:tc>
          <w:tcPr>
            <w:tcW w:w="1000" w:type="dxa"/>
            <w:vAlign w:val="bottom"/>
            <w:vMerge w:val="continue"/>
          </w:tcPr>
          <w:p>
            <w:pPr>
              <w:spacing w:after="0"/>
              <w:rPr>
                <w:sz w:val="16"/>
                <w:szCs w:val="16"/>
                <w:color w:val="auto"/>
              </w:rPr>
            </w:pPr>
          </w:p>
        </w:tc>
        <w:tc>
          <w:tcPr>
            <w:tcW w:w="92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7620</wp:posOffset>
            </wp:positionV>
            <wp:extent cx="1491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23495</wp:posOffset>
            </wp:positionV>
            <wp:extent cx="1491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Total Assets</w:t>
            </w:r>
          </w:p>
        </w:tc>
        <w:tc>
          <w:tcPr>
            <w:tcW w:w="920" w:type="dxa"/>
            <w:vAlign w:val="bottom"/>
          </w:tcPr>
          <w:p>
            <w:pPr>
              <w:jc w:val="center"/>
              <w:ind w:left="208"/>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6"/>
        </w:trPr>
        <w:tc>
          <w:tcPr>
            <w:tcW w:w="1000" w:type="dxa"/>
            <w:vAlign w:val="bottom"/>
            <w:vMerge w:val="continue"/>
          </w:tcPr>
          <w:p>
            <w:pPr>
              <w:spacing w:after="0"/>
              <w:rPr>
                <w:sz w:val="16"/>
                <w:szCs w:val="16"/>
                <w:color w:val="auto"/>
              </w:rPr>
            </w:pPr>
          </w:p>
        </w:tc>
        <w:tc>
          <w:tcPr>
            <w:tcW w:w="92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7620</wp:posOffset>
            </wp:positionV>
            <wp:extent cx="1491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8480" w:space="540"/>
            <w:col w:w="2220"/>
          </w:cols>
          <w:pgMar w:left="320" w:top="121" w:right="339" w:bottom="1440" w:gutter="0" w:footer="0" w:header="0"/>
          <w:type w:val="continuous"/>
        </w:sectPr>
      </w:pPr>
    </w:p>
    <w:p>
      <w:pPr>
        <w:ind w:left="83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891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6380" w:val="left"/>
          <w:tab w:leader="none" w:pos="6960" w:val="left"/>
          <w:tab w:leader="none" w:pos="7600" w:val="left"/>
          <w:tab w:leader="none" w:pos="8180" w:val="left"/>
          <w:tab w:leader="none" w:pos="8840" w:val="left"/>
          <w:tab w:leader="none" w:pos="9420" w:val="left"/>
          <w:tab w:leader="none" w:pos="10060" w:val="left"/>
          <w:tab w:leader="none" w:pos="10640" w:val="left"/>
        </w:tabs>
        <w:rPr>
          <w:sz w:val="20"/>
          <w:szCs w:val="20"/>
          <w:color w:val="auto"/>
        </w:rPr>
      </w:pPr>
      <w:r>
        <w:rPr>
          <w:rFonts w:ascii="Arial" w:cs="Arial" w:eastAsia="Arial" w:hAnsi="Arial"/>
          <w:sz w:val="18"/>
          <w:szCs w:val="18"/>
          <w:color w:val="auto"/>
        </w:rPr>
        <w:t>Investments in unconsolidated affiliates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567.2</w:t>
        <w:tab/>
        <w:t>$</w:t>
      </w:r>
      <w:r>
        <w:rPr>
          <w:sz w:val="20"/>
          <w:szCs w:val="20"/>
          <w:color w:val="auto"/>
        </w:rPr>
        <w:tab/>
      </w:r>
      <w:r>
        <w:rPr>
          <w:rFonts w:ascii="Arial" w:cs="Arial" w:eastAsia="Arial" w:hAnsi="Arial"/>
          <w:sz w:val="18"/>
          <w:szCs w:val="18"/>
          <w:color w:val="auto"/>
        </w:rPr>
        <w:t>578.6</w:t>
        <w:tab/>
        <w:t>$</w:t>
      </w:r>
      <w:r>
        <w:rPr>
          <w:sz w:val="20"/>
          <w:szCs w:val="20"/>
          <w:color w:val="auto"/>
        </w:rPr>
        <w:tab/>
      </w:r>
      <w:r>
        <w:rPr>
          <w:rFonts w:ascii="Arial" w:cs="Arial" w:eastAsia="Arial" w:hAnsi="Arial"/>
          <w:sz w:val="18"/>
          <w:szCs w:val="18"/>
          <w:color w:val="auto"/>
        </w:rPr>
        <w:t>440.2</w:t>
        <w:tab/>
        <w:t>$</w:t>
      </w:r>
      <w:r>
        <w:rPr>
          <w:sz w:val="20"/>
          <w:szCs w:val="20"/>
          <w:color w:val="auto"/>
        </w:rPr>
        <w:tab/>
      </w:r>
      <w:r>
        <w:rPr>
          <w:rFonts w:ascii="Arial" w:cs="Arial" w:eastAsia="Arial" w:hAnsi="Arial"/>
          <w:sz w:val="15"/>
          <w:szCs w:val="15"/>
          <w:color w:val="auto"/>
        </w:rPr>
        <w:t>440.2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holds variable interests in certain unconsolidated affiliates, outlined in the table above, which are primarily comprised of Dun &amp; Bradstreet, the Equity Fund, Blue Ribbon and, to a lesser extent, funds that hold minority ownership interests primarily in healthcare-related entities. The principal risk to which these investments and funds are exposed is the credit risk of the underlying investees and the impact of equity market volatility on investments of the Equity Fund. We do not provide any implicit or explicit liquidity guarantees or principal value guarantees to these VIEs. The assets are included in investments in unconsolidated affiliates on the Condensed Consolidated Balance Sheets and accounted for under the equity method of accounting. See Note D for further discussion of our accounting for investments in unconsolidated affiliates. Maximum exposure related to these VIEs as of March 31, 2020 includes the book value of our investment in unconsolidated affiliates and an additional $11.3 million related to notes receivable from such affiliates, primarily related to our DIP Loan with Blue Ribbon.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Notes Payable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44"/>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680" w:type="dxa"/>
            <w:vAlign w:val="bottom"/>
          </w:tcPr>
          <w:p>
            <w:pPr>
              <w:ind w:left="40"/>
              <w:spacing w:after="0"/>
              <w:rPr>
                <w:sz w:val="20"/>
                <w:szCs w:val="20"/>
                <w:color w:val="auto"/>
              </w:rPr>
            </w:pPr>
            <w:r>
              <w:rPr>
                <w:rFonts w:ascii="Arial" w:cs="Arial" w:eastAsia="Arial" w:hAnsi="Arial"/>
                <w:sz w:val="18"/>
                <w:szCs w:val="18"/>
                <w:color w:val="auto"/>
              </w:rPr>
              <w:t>99 Term Loan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30.9</w:t>
            </w:r>
          </w:p>
        </w:tc>
      </w:tr>
      <w:tr>
        <w:trPr>
          <w:trHeight w:val="27"/>
        </w:trPr>
        <w:tc>
          <w:tcPr>
            <w:tcW w:w="8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99 Revolver</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99 DLOC Loan</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 Facility</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Brasada Interstate Loans</w:t>
            </w: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13.4</w:t>
            </w:r>
          </w:p>
        </w:tc>
      </w:tr>
      <w:tr>
        <w:trPr>
          <w:trHeight w:val="27"/>
        </w:trPr>
        <w:tc>
          <w:tcPr>
            <w:tcW w:w="8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FNF Revolver</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4.8</w:t>
            </w:r>
          </w:p>
        </w:tc>
      </w:tr>
      <w:tr>
        <w:trPr>
          <w:trHeight w:val="27"/>
        </w:trPr>
        <w:tc>
          <w:tcPr>
            <w:tcW w:w="8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 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127.1</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Less: Notes payable, current</w:t>
            </w: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7.0</w:t>
            </w:r>
          </w:p>
        </w:tc>
      </w:tr>
      <w:tr>
        <w:trPr>
          <w:trHeight w:val="27"/>
        </w:trPr>
        <w:tc>
          <w:tcPr>
            <w:tcW w:w="8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 long term</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120.1</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2020, the carrying value of our outstanding notes payable approximates fair value. The respective carrying values of our variable rate notes payable approximate fair value as they are variable rate instruments with short reset periods that reflect current market rates. The revolving credit facilities are considered Level 2 financial liabilities. The fixed-rate A Note, as defined below, pursuant to the Interstate Credit Agreement approximates fair value as of March 31, 2020.</w:t>
      </w:r>
    </w:p>
    <w:p>
      <w:pPr>
        <w:spacing w:after="0" w:line="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21, 2018, 99 Restaurants LLC, a direct, wholly-owned subsidiary of 99 Restaurants, entered into the 99 Restaurants Credit Facility with Fifth Third Bank and other lenders thereto. The 99 Restaurants Credit Facility provides for (i) a maximum revolving loan of $15.0 million (the “99 Revolver”) with a maturity date of December 21, 2023; (ii) a maximum term loan of $37.0 million (the "99 Term Loan") with monthly installment repayments through November 30, 2023 and a maturity date of December 21, 2023 for the outstanding unpaid principal balance; and (iii) a maximum Development Line of Credit loan (the “99 DLOC Loan”) of up to $10.0 million to be advanced from time to time through December 21, 2020, with quarterly installment payments through (a) September 30, 2024 with respect to 99 DLOC Loans borrowed prior to December 21, 2019, and (b) September 30, 2025 with respect to 99 DLOC Loans borrowed on or after December 21, 2019. Interest on the 99 Credit Facility is based on, at our option, an applicable margin of (x) two and one half percent (2.50%) per annum with respect to Base Rate Loans, as provided therein, and (y) three and one half percent (3.50%) per annum with respect to LIBOR Loans, as provided therein. As of March 31,</w:t>
      </w:r>
    </w:p>
    <w:p>
      <w:pPr>
        <w:sectPr>
          <w:pgSz w:w="11900" w:h="16838" w:orient="portrait"/>
          <w:cols w:equalWidth="0" w:num="1">
            <w:col w:w="11240"/>
          </w:cols>
          <w:pgMar w:left="320" w:top="121" w:right="339" w:bottom="1440" w:gutter="0" w:footer="0" w:header="0"/>
          <w:type w:val="continuous"/>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2020, interest on the 99 Term Loan and 99 Revolver is payable monthly at a rate of 4.13% and 5.38%, respectively, and there is $12.5 million of aggregate borrowing capacity under the 99 Revolver and DLOC Loans.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November 7, 2018, Cannae Funding, LLC (the "Borrower"), a wholly-owned special purpose subsidiary of the Company, entered into a Margin Loan Agreement (the "Original Loan Agreement"), and certain other related agreements, with Credit Suisse AG (in such capacity, "Administrative Agent") and other lenders thereto. On December 18, 2019, the Borrower entered into an Amended and Restated Margin Loan Agreement (the “Amended Loan Agreement”) with the lenders thereto, the Administrative Agent, and others which amended the Original Loan Agreement. Pursuant to the Amended Loan Agreement, the Borrower could borrow up to $300.0 million (the "Margin Facility") in term loans at an interest rate of the three-month LIBOR plus an applicable margin. The Original Loan Agreement was secured by a first priority lien on 25.0 million shares of Ceridian held by the Company which was contributed to the Borrower prior to any draws under the Margin Facility. On November 13, 2019 and December 18, 2019, 5,000,000 and 200,000 shares, respectively, of Ceridian were released from such lien. On February 18, 2020, the Borrower repaid the remaining $75.0 million outstanding under the Margin Facility and terminated the Amended Loan Agreement. Accordingly, all of the Company's holdings of Ceridian common stock have been released from the first priority lien under the terminated Margin Facility.</w:t>
      </w:r>
    </w:p>
    <w:p>
      <w:pPr>
        <w:spacing w:after="0" w:line="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January 29, 2016, FNF NV Brasada, LLC, an Oregon limited liability company and majority-owned subsidiary of the Company, entered into a credit agreement with an aggregate borrowing capacity of $17.0 million (the “Interstate Credit Agreement”) originally with Bank of the Cascades, as lender. The Interstate Credit Agreement provides for (i) a $12.5 million acquisition loan (the "Acquisition Loan"), (ii) a $3.0 million development loan (the "Development Loan"), and (iii) a $1.5 million line of credit loan (the "Line of Credit Loan", and collectively with the Acquisition Loan and the Development Loan, the "Brasada Interstate Loans"). On June 13, 2018, the Interstate Credit Agreement was modified to add an additional line of credit of $3.6 million ("C Note") and to assign the loan from the Bank of the Cascades to First Interstate Bank. Pursuant to the Acquisition Loan, NV Brasada executed a $6.25 million ("A Note"), which accrues interest at a rate of 4.51% per annum and matures on the tenth anniversary of the issuance thereof, and a $6.25 million ("B Note"), which accrues interest at the rate of LIBOR plus 225 basis points, adjusted monthly, and matures on the tenth anniversary of the issuance thereof. As of March 31, 2020, the B Note and Line of Credit Loan incurred interest at 3.90%, the C Note incurred interest at 3.61%, and there was $3.8 million available to be drawn pursuant to the Brasada Interstate Loans.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 to FNF</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November 17, 2017, in conjunction with the FNF Split-Off, FNF issued to the Company a revolver note in an aggregate principal amount of up to $100.0 million (the "FNF Revolver"). Pursuant to the FNF Revolver, FNF may make one or more loans to us in increments of $1.0 million, with up to $100.0 million outstanding at any time. The FNF Revolver accrues interest at LIBOR plus 450 basis points and matures on the five year anniversary of the date we were issued the FNF Revolver. The maturity date is automatically extended for additional five year terms unless notice of non-renewal is otherwise provided by either FNF or the Company, in their sole discretion. As of March 31, 2020, there was no outstanding balance under the FNF Revolver and there was $100.0 million remaining borrowing capacity.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principal maturities of notes payable at March 31, 2020 are as follows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 (remaining)</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r>
      <w:tr>
        <w:trPr>
          <w:trHeight w:val="243"/>
        </w:trPr>
        <w:tc>
          <w:tcPr>
            <w:tcW w:w="10100" w:type="dxa"/>
            <w:vAlign w:val="bottom"/>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7"/>
        </w:trPr>
        <w:tc>
          <w:tcPr>
            <w:tcW w:w="10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0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r>
      <w:tr>
        <w:trPr>
          <w:trHeight w:val="243"/>
        </w:trPr>
        <w:tc>
          <w:tcPr>
            <w:tcW w:w="10100" w:type="dxa"/>
            <w:vAlign w:val="bottom"/>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18.9</w:t>
            </w:r>
          </w:p>
        </w:tc>
      </w:tr>
      <w:tr>
        <w:trPr>
          <w:trHeight w:val="27"/>
        </w:trPr>
        <w:tc>
          <w:tcPr>
            <w:tcW w:w="10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0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43"/>
        </w:trPr>
        <w:tc>
          <w:tcPr>
            <w:tcW w:w="10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27"/>
        </w:trPr>
        <w:tc>
          <w:tcPr>
            <w:tcW w:w="10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8"/>
        </w:trPr>
        <w:tc>
          <w:tcPr>
            <w:tcW w:w="10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investigative demands or subpoenas. Some of these regulatory inquiries may result in the assessment of fines for violations of regulations or settlements with such authorities requiring a variety of remedies. We believe that no actions, other than those discussed below, depart from customary litigation or regulatory inquiries incidental to our business.</w:t>
      </w:r>
    </w:p>
    <w:p>
      <w:pPr>
        <w:spacing w:after="0" w:line="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discrimination, wage and hour and other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5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is recorded. As of March 31, 2020 and December 31, 2019, we had $0.1 million, respectively, accrued for legal proceedings.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 Ribbon Reorganization</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January 27, 2020, Blue Ribbon, which owns the Village Inn, Baker's Square and Legendary Baking concepts, filed a petition for voluntary chapter 11 reorganization with the U.S. Bankruptcy Court for the District of Delaware in connection with the Blue Ribbon Reorganization. The Blue Ribbon Reorganization does not involve or affect the operations of O’Charley’s, LLC or 99 Restaurants, LLC, which are not part of Blue Ribbon. In conjunction with the Blue Ribbon Reorganization, we have agreed to provide the DIP Loan of up to $20.0 million to Blue Ribbon and its subsidiaries. As of March 31, 2020, we have provided $11.0 million of financing to Blue Ribbon and its subsidiaries under the DIP Loan.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March 31, 2020 to determine the amount of the obligations.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Purchase obligations as of March 31, 2020 are as follows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 (remaining)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r>
      <w:tr>
        <w:trPr>
          <w:trHeight w:val="243"/>
        </w:trPr>
        <w:tc>
          <w:tcPr>
            <w:tcW w:w="10120" w:type="dxa"/>
            <w:vAlign w:val="bottom"/>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10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43"/>
        </w:trPr>
        <w:tc>
          <w:tcPr>
            <w:tcW w:w="10120" w:type="dxa"/>
            <w:vAlign w:val="bottom"/>
          </w:tcPr>
          <w:p>
            <w:pPr>
              <w:ind w:left="4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10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10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10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commitments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r>
      <w:tr>
        <w:trPr>
          <w:trHeight w:val="20"/>
        </w:trPr>
        <w:tc>
          <w:tcPr>
            <w:tcW w:w="10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discussed in Notes A and D, as of March 31, 2020 we no longer account for our investment in Ceridian under the equity method of accounting for equity investments. As a result of our reduction in influence over Ceridian and change in our accounting for our investment, we no longer consider Ceridian a reportable segment.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Corporate and</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color w:val="auto"/>
                <w:w w:val="90"/>
              </w:rPr>
              <w:t>Dun &amp; Bradstreet</w:t>
            </w:r>
          </w:p>
        </w:tc>
        <w:tc>
          <w:tcPr>
            <w:tcW w:w="160" w:type="dxa"/>
            <w:vAlign w:val="bottom"/>
          </w:tcPr>
          <w:p>
            <w:pPr>
              <w:spacing w:after="0"/>
              <w:rPr>
                <w:sz w:val="13"/>
                <w:szCs w:val="13"/>
                <w:color w:val="auto"/>
              </w:rPr>
            </w:pPr>
          </w:p>
        </w:tc>
        <w:tc>
          <w:tcPr>
            <w:tcW w:w="60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Restaurant Group</w:t>
            </w: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Dun &amp; Bradstreet</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5"/>
              </w:rPr>
              <w:t>Other</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94"/>
              </w:rPr>
              <w:t>Elimination</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169.9</w:t>
            </w:r>
          </w:p>
        </w:tc>
        <w:tc>
          <w:tcPr>
            <w:tcW w:w="0" w:type="dxa"/>
            <w:vAlign w:val="bottom"/>
          </w:tcPr>
          <w:p>
            <w:pPr>
              <w:spacing w:after="0"/>
              <w:rPr>
                <w:sz w:val="1"/>
                <w:szCs w:val="1"/>
                <w:color w:val="auto"/>
              </w:rPr>
            </w:pPr>
          </w:p>
        </w:tc>
      </w:tr>
      <w:tr>
        <w:trPr>
          <w:trHeight w:val="264"/>
        </w:trPr>
        <w:tc>
          <w:tcPr>
            <w:tcW w:w="5640" w:type="dxa"/>
            <w:vAlign w:val="bottom"/>
          </w:tcPr>
          <w:p>
            <w:pPr>
              <w:ind w:left="40"/>
              <w:spacing w:after="0"/>
              <w:rPr>
                <w:sz w:val="20"/>
                <w:szCs w:val="20"/>
                <w:color w:val="auto"/>
              </w:rPr>
            </w:pPr>
            <w:r>
              <w:rPr>
                <w:rFonts w:ascii="Arial" w:cs="Arial" w:eastAsia="Arial" w:hAnsi="Arial"/>
                <w:sz w:val="14"/>
                <w:szCs w:val="14"/>
                <w:color w:val="auto"/>
              </w:rPr>
              <w:t>Other operating revenues</w:t>
            </w:r>
          </w:p>
        </w:tc>
        <w:tc>
          <w:tcPr>
            <w:tcW w:w="3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395.3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56"/>
        </w:trPr>
        <w:tc>
          <w:tcPr>
            <w:tcW w:w="5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3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169.9</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173.0</w:t>
            </w:r>
          </w:p>
        </w:tc>
        <w:tc>
          <w:tcPr>
            <w:tcW w:w="0" w:type="dxa"/>
            <w:vAlign w:val="bottom"/>
          </w:tcPr>
          <w:p>
            <w:pPr>
              <w:spacing w:after="0"/>
              <w:rPr>
                <w:sz w:val="1"/>
                <w:szCs w:val="1"/>
                <w:color w:val="auto"/>
              </w:rPr>
            </w:pPr>
          </w:p>
        </w:tc>
      </w:tr>
      <w:tr>
        <w:trPr>
          <w:trHeight w:val="264"/>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investment and other income, including realized and other gains and losses, net</w:t>
            </w: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909.5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917.3</w:t>
            </w: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 and other income</w:t>
            </w:r>
          </w:p>
        </w:tc>
        <w:tc>
          <w:tcPr>
            <w:tcW w:w="3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485.6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912.6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1,090.3</w:t>
            </w:r>
          </w:p>
        </w:tc>
        <w:tc>
          <w:tcPr>
            <w:tcW w:w="0" w:type="dxa"/>
            <w:vAlign w:val="bottom"/>
          </w:tcPr>
          <w:p>
            <w:pPr>
              <w:spacing w:after="0"/>
              <w:rPr>
                <w:sz w:val="1"/>
                <w:szCs w:val="1"/>
                <w:color w:val="auto"/>
              </w:rPr>
            </w:pPr>
          </w:p>
        </w:tc>
      </w:tr>
      <w:tr>
        <w:trPr>
          <w:trHeight w:val="250"/>
        </w:trPr>
        <w:tc>
          <w:tcPr>
            <w:tcW w:w="564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264"/>
        </w:trPr>
        <w:tc>
          <w:tcPr>
            <w:tcW w:w="5640" w:type="dxa"/>
            <w:vAlign w:val="bottom"/>
          </w:tcPr>
          <w:p>
            <w:pPr>
              <w:ind w:left="40"/>
              <w:spacing w:after="0"/>
              <w:rPr>
                <w:sz w:val="20"/>
                <w:szCs w:val="20"/>
                <w:color w:val="auto"/>
              </w:rPr>
            </w:pPr>
            <w:r>
              <w:rPr>
                <w:rFonts w:ascii="Arial" w:cs="Arial" w:eastAsia="Arial" w:hAnsi="Arial"/>
                <w:sz w:val="14"/>
                <w:szCs w:val="14"/>
                <w:color w:val="auto"/>
                <w:w w:val="94"/>
              </w:rPr>
              <w:t>(Loss) earnings before income taxes and equity in earnings (losses) of unconsolidated affiliates</w:t>
            </w:r>
          </w:p>
        </w:tc>
        <w:tc>
          <w:tcPr>
            <w:tcW w:w="3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881.1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860.2</w:t>
            </w:r>
          </w:p>
        </w:tc>
        <w:tc>
          <w:tcPr>
            <w:tcW w:w="0" w:type="dxa"/>
            <w:vAlign w:val="bottom"/>
          </w:tcPr>
          <w:p>
            <w:pPr>
              <w:spacing w:after="0"/>
              <w:rPr>
                <w:sz w:val="1"/>
                <w:szCs w:val="1"/>
                <w:color w:val="auto"/>
              </w:rPr>
            </w:pPr>
          </w:p>
        </w:tc>
      </w:tr>
      <w:tr>
        <w:trPr>
          <w:trHeight w:val="270"/>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3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169.4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169.4</w:t>
            </w:r>
          </w:p>
        </w:tc>
        <w:tc>
          <w:tcPr>
            <w:tcW w:w="0" w:type="dxa"/>
            <w:vAlign w:val="bottom"/>
          </w:tcPr>
          <w:p>
            <w:pPr>
              <w:spacing w:after="0"/>
              <w:rPr>
                <w:sz w:val="1"/>
                <w:szCs w:val="1"/>
                <w:color w:val="auto"/>
              </w:rPr>
            </w:pPr>
          </w:p>
        </w:tc>
      </w:tr>
      <w:tr>
        <w:trPr>
          <w:trHeight w:val="250"/>
        </w:trPr>
        <w:tc>
          <w:tcPr>
            <w:tcW w:w="5640" w:type="dxa"/>
            <w:vAlign w:val="bottom"/>
          </w:tcPr>
          <w:p>
            <w:pPr>
              <w:ind w:left="40"/>
              <w:spacing w:after="0"/>
              <w:rPr>
                <w:sz w:val="20"/>
                <w:szCs w:val="20"/>
                <w:color w:val="auto"/>
              </w:rPr>
            </w:pPr>
            <w:r>
              <w:rPr>
                <w:rFonts w:ascii="Arial" w:cs="Arial" w:eastAsia="Arial" w:hAnsi="Arial"/>
                <w:sz w:val="14"/>
                <w:szCs w:val="14"/>
                <w:color w:val="auto"/>
              </w:rPr>
              <w:t>(Loss) earnings, before equity in (losses) earnings of unconsolidated affiliates</w:t>
            </w:r>
          </w:p>
        </w:tc>
        <w:tc>
          <w:tcPr>
            <w:tcW w:w="3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711.7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690.8</w:t>
            </w:r>
          </w:p>
        </w:tc>
        <w:tc>
          <w:tcPr>
            <w:tcW w:w="0" w:type="dxa"/>
            <w:vAlign w:val="bottom"/>
          </w:tcPr>
          <w:p>
            <w:pPr>
              <w:spacing w:after="0"/>
              <w:rPr>
                <w:sz w:val="1"/>
                <w:szCs w:val="1"/>
                <w:color w:val="auto"/>
              </w:rPr>
            </w:pPr>
          </w:p>
        </w:tc>
      </w:tr>
      <w:tr>
        <w:trPr>
          <w:trHeight w:val="270"/>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earnings of unconsolidated affiliates</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(52.7)</w:t>
            </w:r>
          </w:p>
        </w:tc>
        <w:tc>
          <w:tcPr>
            <w:tcW w:w="0" w:type="dxa"/>
            <w:vAlign w:val="bottom"/>
          </w:tcPr>
          <w:p>
            <w:pPr>
              <w:spacing w:after="0"/>
              <w:rPr>
                <w:sz w:val="1"/>
                <w:szCs w:val="1"/>
                <w:color w:val="auto"/>
              </w:rPr>
            </w:pPr>
          </w:p>
        </w:tc>
      </w:tr>
      <w:tr>
        <w:trPr>
          <w:trHeight w:val="283"/>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earnings</w:t>
            </w: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654.1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638.1</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2,705.1</w:t>
            </w:r>
          </w:p>
        </w:tc>
        <w:tc>
          <w:tcPr>
            <w:tcW w:w="0" w:type="dxa"/>
            <w:vAlign w:val="bottom"/>
          </w:tcPr>
          <w:p>
            <w:pPr>
              <w:spacing w:after="0"/>
              <w:rPr>
                <w:sz w:val="1"/>
                <w:szCs w:val="1"/>
                <w:color w:val="auto"/>
              </w:rPr>
            </w:pPr>
          </w:p>
        </w:tc>
      </w:tr>
      <w:tr>
        <w:trPr>
          <w:trHeight w:val="258"/>
        </w:trPr>
        <w:tc>
          <w:tcPr>
            <w:tcW w:w="5640" w:type="dxa"/>
            <w:vAlign w:val="bottom"/>
          </w:tcPr>
          <w:p>
            <w:pPr>
              <w:ind w:left="4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2,850.8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(2,850.8)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color w:val="auto"/>
              </w:rPr>
              <w:t>Corporate</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color w:val="auto"/>
                <w:w w:val="90"/>
              </w:rPr>
              <w:t>Dun &amp; Bradstreet</w:t>
            </w:r>
          </w:p>
        </w:tc>
        <w:tc>
          <w:tcPr>
            <w:tcW w:w="160" w:type="dxa"/>
            <w:vAlign w:val="bottom"/>
          </w:tcPr>
          <w:p>
            <w:pPr>
              <w:spacing w:after="0"/>
              <w:rPr>
                <w:sz w:val="13"/>
                <w:szCs w:val="13"/>
                <w:color w:val="auto"/>
              </w:rPr>
            </w:pPr>
          </w:p>
        </w:tc>
        <w:tc>
          <w:tcPr>
            <w:tcW w:w="60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Restaurant Group</w:t>
            </w: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Dun &amp; Bradstreet</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and Other</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94"/>
              </w:rPr>
              <w:t>Elimination</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257.8</w:t>
            </w:r>
          </w:p>
        </w:tc>
        <w:tc>
          <w:tcPr>
            <w:tcW w:w="0" w:type="dxa"/>
            <w:vAlign w:val="bottom"/>
          </w:tcPr>
          <w:p>
            <w:pPr>
              <w:spacing w:after="0"/>
              <w:rPr>
                <w:sz w:val="1"/>
                <w:szCs w:val="1"/>
                <w:color w:val="auto"/>
              </w:rPr>
            </w:pPr>
          </w:p>
        </w:tc>
      </w:tr>
      <w:tr>
        <w:trPr>
          <w:trHeight w:val="264"/>
        </w:trPr>
        <w:tc>
          <w:tcPr>
            <w:tcW w:w="5640" w:type="dxa"/>
            <w:vAlign w:val="bottom"/>
          </w:tcPr>
          <w:p>
            <w:pPr>
              <w:ind w:left="40"/>
              <w:spacing w:after="0"/>
              <w:rPr>
                <w:sz w:val="20"/>
                <w:szCs w:val="20"/>
                <w:color w:val="auto"/>
              </w:rPr>
            </w:pPr>
            <w:r>
              <w:rPr>
                <w:rFonts w:ascii="Arial" w:cs="Arial" w:eastAsia="Arial" w:hAnsi="Arial"/>
                <w:sz w:val="14"/>
                <w:szCs w:val="14"/>
                <w:color w:val="auto"/>
              </w:rPr>
              <w:t>Other operating revenues</w:t>
            </w:r>
          </w:p>
        </w:tc>
        <w:tc>
          <w:tcPr>
            <w:tcW w:w="3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174.1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256"/>
        </w:trPr>
        <w:tc>
          <w:tcPr>
            <w:tcW w:w="5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3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257.8</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262.3</w:t>
            </w:r>
          </w:p>
        </w:tc>
        <w:tc>
          <w:tcPr>
            <w:tcW w:w="0" w:type="dxa"/>
            <w:vAlign w:val="bottom"/>
          </w:tcPr>
          <w:p>
            <w:pPr>
              <w:spacing w:after="0"/>
              <w:rPr>
                <w:sz w:val="1"/>
                <w:szCs w:val="1"/>
                <w:color w:val="auto"/>
              </w:rPr>
            </w:pPr>
          </w:p>
        </w:tc>
      </w:tr>
      <w:tr>
        <w:trPr>
          <w:trHeight w:val="264"/>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investment and other income, including realized and other gains and losses, net</w:t>
            </w: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12.6</w:t>
            </w: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 and other income</w:t>
            </w:r>
          </w:p>
        </w:tc>
        <w:tc>
          <w:tcPr>
            <w:tcW w:w="3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274.9</w:t>
            </w:r>
          </w:p>
        </w:tc>
        <w:tc>
          <w:tcPr>
            <w:tcW w:w="0" w:type="dxa"/>
            <w:vAlign w:val="bottom"/>
          </w:tcPr>
          <w:p>
            <w:pPr>
              <w:spacing w:after="0"/>
              <w:rPr>
                <w:sz w:val="1"/>
                <w:szCs w:val="1"/>
                <w:color w:val="auto"/>
              </w:rPr>
            </w:pPr>
          </w:p>
        </w:tc>
      </w:tr>
      <w:tr>
        <w:trPr>
          <w:trHeight w:val="250"/>
        </w:trPr>
        <w:tc>
          <w:tcPr>
            <w:tcW w:w="564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276"/>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64"/>
        </w:trPr>
        <w:tc>
          <w:tcPr>
            <w:tcW w:w="5640" w:type="dxa"/>
            <w:vAlign w:val="bottom"/>
          </w:tcPr>
          <w:p>
            <w:pPr>
              <w:ind w:left="40"/>
              <w:spacing w:after="0"/>
              <w:rPr>
                <w:sz w:val="20"/>
                <w:szCs w:val="20"/>
                <w:color w:val="auto"/>
              </w:rPr>
            </w:pPr>
            <w:r>
              <w:rPr>
                <w:rFonts w:ascii="Arial" w:cs="Arial" w:eastAsia="Arial" w:hAnsi="Arial"/>
                <w:sz w:val="14"/>
                <w:szCs w:val="14"/>
                <w:color w:val="auto"/>
                <w:w w:val="94"/>
              </w:rPr>
              <w:t>(Loss) earnings before income taxes and equity in earnings (losses) of unconsolidated affiliates</w:t>
            </w:r>
          </w:p>
        </w:tc>
        <w:tc>
          <w:tcPr>
            <w:tcW w:w="3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111.6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270"/>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3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50"/>
        </w:trPr>
        <w:tc>
          <w:tcPr>
            <w:tcW w:w="5640" w:type="dxa"/>
            <w:vAlign w:val="bottom"/>
          </w:tcPr>
          <w:p>
            <w:pPr>
              <w:ind w:left="40"/>
              <w:spacing w:after="0"/>
              <w:rPr>
                <w:sz w:val="20"/>
                <w:szCs w:val="20"/>
                <w:color w:val="auto"/>
              </w:rPr>
            </w:pPr>
            <w:r>
              <w:rPr>
                <w:rFonts w:ascii="Arial" w:cs="Arial" w:eastAsia="Arial" w:hAnsi="Arial"/>
                <w:sz w:val="14"/>
                <w:szCs w:val="14"/>
                <w:color w:val="auto"/>
              </w:rPr>
              <w:t>(Loss) earnings before equity in earnings of unconsolidated affiliates</w:t>
            </w:r>
          </w:p>
        </w:tc>
        <w:tc>
          <w:tcPr>
            <w:tcW w:w="34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270"/>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(losses) of unconsolidated affiliates</w:t>
            </w:r>
          </w:p>
        </w:tc>
        <w:tc>
          <w:tcPr>
            <w:tcW w:w="3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(21.4)</w:t>
            </w:r>
          </w:p>
        </w:tc>
        <w:tc>
          <w:tcPr>
            <w:tcW w:w="0" w:type="dxa"/>
            <w:vAlign w:val="bottom"/>
          </w:tcPr>
          <w:p>
            <w:pPr>
              <w:spacing w:after="0"/>
              <w:rPr>
                <w:sz w:val="1"/>
                <w:szCs w:val="1"/>
                <w:color w:val="auto"/>
              </w:rPr>
            </w:pPr>
          </w:p>
        </w:tc>
      </w:tr>
      <w:tr>
        <w:trPr>
          <w:trHeight w:val="283"/>
        </w:trPr>
        <w:tc>
          <w:tcPr>
            <w:tcW w:w="5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earnings</w:t>
            </w: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56.8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9,161.0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1,957.8</w:t>
            </w:r>
          </w:p>
        </w:tc>
        <w:tc>
          <w:tcPr>
            <w:tcW w:w="0" w:type="dxa"/>
            <w:vAlign w:val="bottom"/>
          </w:tcPr>
          <w:p>
            <w:pPr>
              <w:spacing w:after="0"/>
              <w:rPr>
                <w:sz w:val="1"/>
                <w:szCs w:val="1"/>
                <w:color w:val="auto"/>
              </w:rPr>
            </w:pPr>
          </w:p>
        </w:tc>
      </w:tr>
      <w:tr>
        <w:trPr>
          <w:trHeight w:val="258"/>
        </w:trPr>
        <w:tc>
          <w:tcPr>
            <w:tcW w:w="5640" w:type="dxa"/>
            <w:vAlign w:val="bottom"/>
          </w:tcPr>
          <w:p>
            <w:pPr>
              <w:ind w:left="4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2,797.6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(2,797.6)</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76.5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90" w:lineRule="exact"/>
        <w:rPr>
          <w:sz w:val="20"/>
          <w:szCs w:val="20"/>
          <w:color w:val="auto"/>
        </w:rPr>
      </w:pPr>
    </w:p>
    <w:p>
      <w:pPr>
        <w:jc w:val="both"/>
        <w:ind w:left="660" w:hanging="409"/>
        <w:spacing w:after="0" w:line="255"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O'Charley's and 99 Restaurants, in which we have 65.4% and 88.5%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respectively, and our portion of Blue Ribbon's losses accounted for as an unconsolidated affiliate. The full results of Blue Ribbon are included through January 27, 2020, the date of commencement of the Blue Ribbon Reorganization. O'Charley's and its affiliates are the owners and operators of the O'Charley's restaurant concept. 99 Restaurants and its affiliates are the owners and operators of Ninety Nine Restaurants restaurant concept. Blue Ribbon and its affiliates are the owners and operators of the Village Inn and Bakers Square food service and restaurant concepts, as well as the Legendary Baking bakery operation.</w:t>
      </w:r>
    </w:p>
    <w:p>
      <w:pPr>
        <w:spacing w:after="0" w:line="138" w:lineRule="exact"/>
        <w:rPr>
          <w:rFonts w:ascii="Arial" w:cs="Arial" w:eastAsia="Arial" w:hAnsi="Arial"/>
          <w:sz w:val="18"/>
          <w:szCs w:val="18"/>
          <w:i w:val="1"/>
          <w:iCs w:val="1"/>
          <w:color w:val="auto"/>
        </w:rPr>
      </w:pPr>
    </w:p>
    <w:p>
      <w:pPr>
        <w:jc w:val="both"/>
        <w:ind w:left="660" w:hanging="409"/>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Dun &amp; Bradstreet. </w:t>
      </w:r>
      <w:r>
        <w:rPr>
          <w:rFonts w:ascii="Arial" w:cs="Arial" w:eastAsia="Arial" w:hAnsi="Arial"/>
          <w:sz w:val="16"/>
          <w:szCs w:val="16"/>
          <w:color w:val="auto"/>
        </w:rPr>
        <w:t>This segment consists of our 24.3% ownership interest in Dun &amp; Bradstreet. Dun &amp; Bradstreet is a leading global provider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business decisioning data and analytics. Its mission is to deliver a global network of trust, enabling clients to transform uncertainty into confidence, risk into opportunity and potential into prosperity.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2019 contained more than 355 million business records. Our chief operating decision maker reviews the full financial results of Dun &amp; Bradstreet for purposes of assessing performance and allocating resources. Thus, we consider Dun &amp; Bradstreet a reportable segment and have included the full results of Dun &amp; Bradstreet subsequent to the D&amp;B Acquisition in the tables above. We account for Dun &amp; Bradstreet using the equity method of accounting, and therefore its results do not consolidate into ours. Accordingly, we have presented the elimination of Dun &amp; Bradstreet's results in the </w:t>
      </w:r>
      <w:r>
        <w:rPr>
          <w:rFonts w:ascii="Arial" w:cs="Arial" w:eastAsia="Arial" w:hAnsi="Arial"/>
          <w:sz w:val="16"/>
          <w:szCs w:val="16"/>
          <w:i w:val="1"/>
          <w:iCs w:val="1"/>
          <w:color w:val="auto"/>
        </w:rPr>
        <w:t>Dun &amp; Bradstreet Elimination</w:t>
      </w:r>
      <w:r>
        <w:rPr>
          <w:rFonts w:ascii="Arial" w:cs="Arial" w:eastAsia="Arial" w:hAnsi="Arial"/>
          <w:sz w:val="16"/>
          <w:szCs w:val="16"/>
          <w:color w:val="auto"/>
        </w:rPr>
        <w:t xml:space="preserve"> section of the segment presentation above. Our net earnings for the quarter ended March 31, 2019, includes our equity in Dun &amp; Bradstreet’s losses for the period from February 8, 2019, the date we made our initial investment in D&amp;B, to March 31, 2019. See Note D for further discussion of our investment in Dun &amp; Bradstreet and related accounting.</w:t>
      </w:r>
    </w:p>
    <w:p>
      <w:pPr>
        <w:spacing w:after="0" w:line="119" w:lineRule="exact"/>
        <w:rPr>
          <w:rFonts w:ascii="Arial" w:cs="Arial" w:eastAsia="Arial" w:hAnsi="Arial"/>
          <w:sz w:val="16"/>
          <w:szCs w:val="16"/>
          <w:color w:val="auto"/>
        </w:rPr>
      </w:pPr>
    </w:p>
    <w:p>
      <w:pPr>
        <w:ind w:left="660" w:hanging="409"/>
        <w:spacing w:after="0" w:line="277"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nonreportable segment consists of our share in the operations of certain controlled portfolio companies and other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activity of the corporate holding company and certain intercompany eliminations and taxes.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supplemental cash flow information is provided with respect to certain cash payments, as well as certain non-cash investing and financing activities.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263"/>
        </w:trPr>
        <w:tc>
          <w:tcPr>
            <w:tcW w:w="6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98"/>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6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3"/>
          </w:tcPr>
          <w:p>
            <w:pPr>
              <w:jc w:val="center"/>
              <w:ind w:left="18"/>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6"/>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during the period:</w:t>
            </w:r>
          </w:p>
        </w:tc>
        <w:tc>
          <w:tcPr>
            <w:tcW w:w="16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248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2.8</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Operating leases</w:t>
            </w:r>
          </w:p>
        </w:tc>
        <w:tc>
          <w:tcPr>
            <w:tcW w:w="1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15.7</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Lease liabilities recognized in exchange for new lease right-of-use assets</w:t>
            </w:r>
          </w:p>
        </w:tc>
        <w:tc>
          <w:tcPr>
            <w:tcW w:w="248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5.1</w:t>
            </w:r>
          </w:p>
        </w:tc>
      </w:tr>
      <w:tr>
        <w:trPr>
          <w:trHeight w:val="675"/>
        </w:trPr>
        <w:tc>
          <w:tcPr>
            <w:tcW w:w="654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89"/>
              </w:rPr>
              <w:t>Note J — Revenue Recognition</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5"/>
        </w:trPr>
        <w:tc>
          <w:tcPr>
            <w:tcW w:w="6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6540" w:type="dxa"/>
            <w:vAlign w:val="bottom"/>
            <w:gridSpan w:val="2"/>
          </w:tcPr>
          <w:p>
            <w:pPr>
              <w:jc w:val="center"/>
              <w:ind w:right="4120"/>
              <w:spacing w:after="0"/>
              <w:rPr>
                <w:sz w:val="20"/>
                <w:szCs w:val="20"/>
                <w:color w:val="auto"/>
              </w:rPr>
            </w:pPr>
            <w:r>
              <w:rPr>
                <w:rFonts w:ascii="Arial" w:cs="Arial" w:eastAsia="Arial" w:hAnsi="Arial"/>
                <w:sz w:val="18"/>
                <w:szCs w:val="18"/>
                <w:color w:val="auto"/>
                <w:w w:val="89"/>
              </w:rPr>
              <w:t>Our revenue consists of:</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6"/>
        </w:trPr>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80"/>
        </w:trPr>
        <w:tc>
          <w:tcPr>
            <w:tcW w:w="6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58"/>
        </w:trPr>
        <w:tc>
          <w:tcPr>
            <w:tcW w:w="6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2019</w:t>
            </w:r>
          </w:p>
        </w:tc>
      </w:tr>
      <w:tr>
        <w:trPr>
          <w:trHeight w:val="250"/>
        </w:trPr>
        <w:tc>
          <w:tcPr>
            <w:tcW w:w="642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Revenue Stream</w:t>
            </w:r>
          </w:p>
        </w:tc>
        <w:tc>
          <w:tcPr>
            <w:tcW w:w="120" w:type="dxa"/>
            <w:vAlign w:val="bottom"/>
          </w:tcPr>
          <w:p>
            <w:pPr>
              <w:spacing w:after="0"/>
              <w:rPr>
                <w:sz w:val="21"/>
                <w:szCs w:val="21"/>
                <w:color w:val="auto"/>
              </w:rPr>
            </w:pP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jc w:val="center"/>
              <w:ind w:right="378"/>
              <w:spacing w:after="0"/>
              <w:rPr>
                <w:sz w:val="20"/>
                <w:szCs w:val="20"/>
                <w:color w:val="auto"/>
              </w:rPr>
            </w:pPr>
            <w:r>
              <w:rPr>
                <w:rFonts w:ascii="Arial" w:cs="Arial" w:eastAsia="Arial" w:hAnsi="Arial"/>
                <w:sz w:val="14"/>
                <w:szCs w:val="14"/>
                <w:b w:val="1"/>
                <w:bCs w:val="1"/>
                <w:color w:val="auto"/>
                <w:w w:val="91"/>
              </w:rPr>
              <w:t>Total Revenue</w:t>
            </w:r>
          </w:p>
        </w:tc>
      </w:tr>
      <w:tr>
        <w:trPr>
          <w:trHeight w:val="263"/>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Restaurant revenue:</w:t>
            </w:r>
          </w:p>
        </w:tc>
        <w:tc>
          <w:tcPr>
            <w:tcW w:w="1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gridSpan w:val="4"/>
          </w:tcPr>
          <w:p>
            <w:pPr>
              <w:jc w:val="center"/>
              <w:ind w:right="378"/>
              <w:spacing w:after="0"/>
              <w:rPr>
                <w:sz w:val="20"/>
                <w:szCs w:val="20"/>
                <w:color w:val="auto"/>
              </w:rPr>
            </w:pPr>
            <w:r>
              <w:rPr>
                <w:rFonts w:ascii="Arial" w:cs="Arial" w:eastAsia="Arial" w:hAnsi="Arial"/>
                <w:sz w:val="14"/>
                <w:szCs w:val="14"/>
                <w:color w:val="auto"/>
              </w:rPr>
              <w:t>(in millions)</w:t>
            </w:r>
          </w:p>
        </w:tc>
      </w:tr>
      <w:tr>
        <w:trPr>
          <w:trHeight w:val="256"/>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Restaurant sales</w:t>
            </w:r>
          </w:p>
        </w:tc>
        <w:tc>
          <w:tcPr>
            <w:tcW w:w="260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89"/>
              </w:rPr>
              <w:t>Restaurant Group</w:t>
            </w:r>
          </w:p>
        </w:tc>
        <w:tc>
          <w:tcPr>
            <w:tcW w:w="480" w:type="dxa"/>
            <w:vAlign w:val="bottom"/>
            <w:tcBorders>
              <w:bottom w:val="single" w:sz="8" w:color="CCEEFF"/>
            </w:tcBorders>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167.0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245.3</w:t>
            </w:r>
          </w:p>
        </w:tc>
      </w:tr>
      <w:tr>
        <w:trPr>
          <w:trHeight w:val="237"/>
        </w:trPr>
        <w:tc>
          <w:tcPr>
            <w:tcW w:w="6540" w:type="dxa"/>
            <w:vAlign w:val="bottom"/>
            <w:gridSpan w:val="2"/>
          </w:tcPr>
          <w:p>
            <w:pPr>
              <w:ind w:left="180"/>
              <w:spacing w:after="0"/>
              <w:rPr>
                <w:sz w:val="20"/>
                <w:szCs w:val="20"/>
                <w:color w:val="auto"/>
              </w:rPr>
            </w:pPr>
            <w:r>
              <w:rPr>
                <w:rFonts w:ascii="Arial" w:cs="Arial" w:eastAsia="Arial" w:hAnsi="Arial"/>
                <w:sz w:val="16"/>
                <w:szCs w:val="16"/>
                <w:color w:val="auto"/>
              </w:rPr>
              <w:t>Bakery sales</w:t>
            </w:r>
          </w:p>
        </w:tc>
        <w:tc>
          <w:tcPr>
            <w:tcW w:w="2600" w:type="dxa"/>
            <w:vAlign w:val="bottom"/>
            <w:gridSpan w:val="3"/>
          </w:tcPr>
          <w:p>
            <w:pPr>
              <w:jc w:val="center"/>
              <w:ind w:right="100"/>
              <w:spacing w:after="0"/>
              <w:rPr>
                <w:sz w:val="20"/>
                <w:szCs w:val="20"/>
                <w:color w:val="auto"/>
              </w:rPr>
            </w:pPr>
            <w:r>
              <w:rPr>
                <w:rFonts w:ascii="Arial" w:cs="Arial" w:eastAsia="Arial" w:hAnsi="Arial"/>
                <w:sz w:val="16"/>
                <w:szCs w:val="16"/>
                <w:color w:val="auto"/>
                <w:w w:val="89"/>
              </w:rPr>
              <w:t>Restaurant Group</w:t>
            </w:r>
          </w:p>
        </w:tc>
        <w:tc>
          <w:tcPr>
            <w:tcW w:w="4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11.0</w:t>
            </w:r>
          </w:p>
        </w:tc>
      </w:tr>
      <w:tr>
        <w:trPr>
          <w:trHeight w:val="33"/>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Franchise and other</w:t>
            </w:r>
          </w:p>
        </w:tc>
        <w:tc>
          <w:tcPr>
            <w:tcW w:w="260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89"/>
              </w:rPr>
              <w:t>Restaurant Group</w:t>
            </w:r>
          </w:p>
        </w:tc>
        <w:tc>
          <w:tcPr>
            <w:tcW w:w="4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w:t>
            </w:r>
          </w:p>
        </w:tc>
      </w:tr>
      <w:tr>
        <w:trPr>
          <w:trHeight w:val="217"/>
        </w:trPr>
        <w:tc>
          <w:tcPr>
            <w:tcW w:w="6540" w:type="dxa"/>
            <w:vAlign w:val="bottom"/>
            <w:gridSpan w:val="2"/>
          </w:tcPr>
          <w:p>
            <w:pPr>
              <w:ind w:left="280"/>
              <w:spacing w:after="0"/>
              <w:rPr>
                <w:sz w:val="20"/>
                <w:szCs w:val="20"/>
                <w:color w:val="auto"/>
              </w:rPr>
            </w:pPr>
            <w:r>
              <w:rPr>
                <w:rFonts w:ascii="Arial" w:cs="Arial" w:eastAsia="Arial" w:hAnsi="Arial"/>
                <w:sz w:val="16"/>
                <w:szCs w:val="16"/>
                <w:color w:val="auto"/>
              </w:rPr>
              <w:t>Total restaurant revenue</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169.9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257.8</w:t>
            </w:r>
          </w:p>
        </w:tc>
      </w:tr>
      <w:tr>
        <w:trPr>
          <w:trHeight w:val="33"/>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operating revenue:</w:t>
            </w:r>
          </w:p>
        </w:tc>
        <w:tc>
          <w:tcPr>
            <w:tcW w:w="1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gridSpan w:val="2"/>
          </w:tcPr>
          <w:p>
            <w:pPr>
              <w:ind w:left="180"/>
              <w:spacing w:after="0"/>
              <w:rPr>
                <w:sz w:val="20"/>
                <w:szCs w:val="20"/>
                <w:color w:val="auto"/>
              </w:rPr>
            </w:pPr>
            <w:r>
              <w:rPr>
                <w:rFonts w:ascii="Arial" w:cs="Arial" w:eastAsia="Arial" w:hAnsi="Arial"/>
                <w:sz w:val="16"/>
                <w:szCs w:val="16"/>
                <w:color w:val="auto"/>
              </w:rPr>
              <w:t>Real estate and resort</w:t>
            </w:r>
          </w:p>
        </w:tc>
        <w:tc>
          <w:tcPr>
            <w:tcW w:w="2600" w:type="dxa"/>
            <w:vAlign w:val="bottom"/>
            <w:gridSpan w:val="3"/>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4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4.4</w:t>
            </w:r>
          </w:p>
        </w:tc>
      </w:tr>
      <w:tr>
        <w:trPr>
          <w:trHeight w:val="33"/>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60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4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0.1</w:t>
            </w:r>
          </w:p>
        </w:tc>
      </w:tr>
      <w:tr>
        <w:trPr>
          <w:trHeight w:val="217"/>
        </w:trPr>
        <w:tc>
          <w:tcPr>
            <w:tcW w:w="6540" w:type="dxa"/>
            <w:vAlign w:val="bottom"/>
            <w:gridSpan w:val="2"/>
          </w:tcPr>
          <w:p>
            <w:pPr>
              <w:ind w:left="280"/>
              <w:spacing w:after="0"/>
              <w:rPr>
                <w:sz w:val="20"/>
                <w:szCs w:val="20"/>
                <w:color w:val="auto"/>
              </w:rPr>
            </w:pPr>
            <w:r>
              <w:rPr>
                <w:rFonts w:ascii="Arial" w:cs="Arial" w:eastAsia="Arial" w:hAnsi="Arial"/>
                <w:sz w:val="16"/>
                <w:szCs w:val="16"/>
                <w:color w:val="auto"/>
              </w:rPr>
              <w:t>Total other operating revenue</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4.5</w:t>
            </w:r>
          </w:p>
        </w:tc>
      </w:tr>
      <w:tr>
        <w:trPr>
          <w:trHeight w:val="33"/>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540" w:type="dxa"/>
            <w:vAlign w:val="bottom"/>
            <w:tcBorders>
              <w:bottom w:val="single" w:sz="8" w:color="CCEEFF"/>
            </w:tcBorders>
            <w:gridSpan w:val="2"/>
            <w:shd w:val="clear" w:color="auto" w:fill="CCEEFF"/>
          </w:tcPr>
          <w:p>
            <w:pPr>
              <w:jc w:val="center"/>
              <w:ind w:right="4180"/>
              <w:spacing w:after="0"/>
              <w:rPr>
                <w:sz w:val="20"/>
                <w:szCs w:val="20"/>
                <w:color w:val="auto"/>
              </w:rPr>
            </w:pPr>
            <w:r>
              <w:rPr>
                <w:rFonts w:ascii="Arial" w:cs="Arial" w:eastAsia="Arial" w:hAnsi="Arial"/>
                <w:sz w:val="16"/>
                <w:szCs w:val="16"/>
                <w:color w:val="auto"/>
                <w:w w:val="90"/>
              </w:rPr>
              <w:t>Total operating revenues</w:t>
            </w:r>
          </w:p>
        </w:tc>
        <w:tc>
          <w:tcPr>
            <w:tcW w:w="1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262.3</w:t>
            </w:r>
          </w:p>
        </w:tc>
      </w:tr>
      <w:tr>
        <w:trPr>
          <w:trHeight w:val="20"/>
        </w:trPr>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Restaurant revenue consists of restaurant sales, bakery operations,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bakery operations is recognized at a point in time in the period during which the products are shipped and control transfers to the customer. Bakery sales represent revenue from subsidiaries of Blue Ribbon through January 27, 2020.</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Franchise revenue and other revenue consist of development fees and royalties on sales by franchised units. Initial franchise fees are recognized as income upon commencement of the franchise operation and completion of all material services and conditions by the Company. Royalties are calculated as a percentage of the franchisee sales and recognized in the period in which the sales are generated. Revenue resulting from the sale of gift cards is recognized in the period in which the gift card is redeemed and is recorded as deferred revenue until recognized.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ectPr>
          <w:pgSz w:w="11900" w:h="16838" w:orient="portrait"/>
          <w:cols w:equalWidth="0" w:num="1">
            <w:col w:w="11240"/>
          </w:cols>
          <w:pgMar w:left="320" w:top="121"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receivables and deferred revenue:</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01"/>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196"/>
        </w:trPr>
        <w:tc>
          <w:tcPr>
            <w:tcW w:w="8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3"/>
          </w:tcPr>
          <w:p>
            <w:pPr>
              <w:jc w:val="right"/>
              <w:ind w:right="919"/>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16.0</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Deferred revenue (contract liabilities)</w:t>
            </w:r>
          </w:p>
        </w:tc>
        <w:tc>
          <w:tcPr>
            <w:tcW w:w="24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26.4</w:t>
            </w:r>
          </w:p>
        </w:tc>
      </w:tr>
    </w:tbl>
    <w:p>
      <w:pPr>
        <w:spacing w:after="0" w:line="3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revenue is recorded primarily for restaurant gift card sales. The unrecognized portion of such revenue is recorded as Deferred revenue in the Condensed Consolidated Balance Sheets. Revenue of $10.5 million was recognized in the three months ended March 31, 2020 that was included in Deferred revenue at the beginning of the period.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impairment related to contract balances.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Note K.</w:t>
            </w:r>
          </w:p>
        </w:tc>
        <w:tc>
          <w:tcPr>
            <w:tcW w:w="6500" w:type="dxa"/>
            <w:vAlign w:val="bottom"/>
          </w:tcPr>
          <w:p>
            <w:pPr>
              <w:ind w:left="160"/>
              <w:spacing w:after="0"/>
              <w:rPr>
                <w:sz w:val="20"/>
                <w:szCs w:val="20"/>
                <w:color w:val="auto"/>
              </w:rPr>
            </w:pPr>
            <w:r>
              <w:rPr>
                <w:rFonts w:ascii="Arial" w:cs="Arial" w:eastAsia="Arial" w:hAnsi="Arial"/>
                <w:sz w:val="18"/>
                <w:szCs w:val="18"/>
                <w:b w:val="1"/>
                <w:bCs w:val="1"/>
                <w:color w:val="auto"/>
              </w:rPr>
              <w:t>Goodwill and Other Intangible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600" w:type="dxa"/>
            <w:vAlign w:val="bottom"/>
            <w:gridSpan w:val="2"/>
          </w:tcPr>
          <w:p>
            <w:pPr>
              <w:ind w:left="300"/>
              <w:spacing w:after="0"/>
              <w:rPr>
                <w:sz w:val="20"/>
                <w:szCs w:val="20"/>
                <w:color w:val="auto"/>
              </w:rPr>
            </w:pPr>
            <w:r>
              <w:rPr>
                <w:rFonts w:ascii="Arial" w:cs="Arial" w:eastAsia="Arial" w:hAnsi="Arial"/>
                <w:sz w:val="18"/>
                <w:szCs w:val="18"/>
                <w:color w:val="auto"/>
              </w:rPr>
              <w:t>Goodwill consists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Restaurant</w:t>
            </w: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24"/>
                <w:szCs w:val="24"/>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and 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65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auto"/>
              </w:rPr>
              <w:t>Impairments</w:t>
            </w:r>
          </w:p>
        </w:tc>
        <w:tc>
          <w:tcPr>
            <w:tcW w:w="6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Deconsolidation of Blue Ribbon</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Balance, March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2020, we recorded $7.7 million of impairment to goodwill in our Restaurant Group segment. The impairment recorded was calculated as the deficit between the carrying value of our O'Charley's reporting unit of our Restaurant Group compared to the fair value of the reporting unit determined by performing a combination of discounted cash flow and market approaches.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2020, we recorded $4.5 million of impairment to tradenames in our Restaurant Group segment.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Both impairment charges are a result of a decrease in forecasted revenue and cash flows and increased uncertainty in future revenue and cash flow projections resulting from government imposed social restrictions and other mitigation measures in response to the COVID-19 pandemic beginning primarily in mid-March 2020.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A for further discussion of our deconsolidation of Blue Ribbon as a result of the Blue Ribbon Reorganization.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Discontinued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T-System</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31, 2019, we completed the contribution (the "T-System Contribution") of T-System Holdings, Inc. ("T-System") to a new joint venture known as Coding Solutions Topco, Inc ("Coding Solutions"). As a result of the T-System Contribution, T-System was deconsolidated and the results of operations of T-System have been reclassified to discontinued operations in our Condensed Consolidated Statement of Operations for the three months ended March 31, 2019. We retained a 22.7% equity interest in Coding Solutions.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operations of T-System to the Condensed Consolidated Statement of Operations is shown below:</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00" w:type="dxa"/>
            <w:vAlign w:val="bottom"/>
          </w:tcPr>
          <w:p>
            <w:pPr>
              <w:spacing w:after="0"/>
              <w:rPr>
                <w:sz w:val="18"/>
                <w:szCs w:val="18"/>
                <w:color w:val="auto"/>
              </w:rPr>
            </w:pPr>
          </w:p>
        </w:tc>
        <w:tc>
          <w:tcPr>
            <w:tcW w:w="2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Three months ended March 31,</w:t>
            </w:r>
          </w:p>
        </w:tc>
      </w:tr>
      <w:tr>
        <w:trPr>
          <w:trHeight w:val="33"/>
        </w:trPr>
        <w:tc>
          <w:tcPr>
            <w:tcW w:w="8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8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jc w:val="center"/>
              <w:ind w:right="359"/>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8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8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jc w:val="center"/>
              <w:ind w:right="359"/>
              <w:spacing w:after="0"/>
              <w:rPr>
                <w:sz w:val="20"/>
                <w:szCs w:val="20"/>
                <w:color w:val="auto"/>
              </w:rPr>
            </w:pPr>
            <w:r>
              <w:rPr>
                <w:rFonts w:ascii="Arial" w:cs="Arial" w:eastAsia="Arial" w:hAnsi="Arial"/>
                <w:sz w:val="16"/>
                <w:szCs w:val="16"/>
                <w:b w:val="1"/>
                <w:bCs w:val="1"/>
                <w:color w:val="auto"/>
                <w:w w:val="94"/>
              </w:rPr>
              <w:t>(Unaudited)</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Revenues:</w:t>
            </w:r>
          </w:p>
        </w:tc>
        <w:tc>
          <w:tcPr>
            <w:tcW w:w="42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33"/>
        </w:trPr>
        <w:tc>
          <w:tcPr>
            <w:tcW w:w="8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7"/>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revenue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17"/>
        </w:trPr>
        <w:tc>
          <w:tcPr>
            <w:tcW w:w="8900" w:type="dxa"/>
            <w:vAlign w:val="bottom"/>
          </w:tcPr>
          <w:p>
            <w:pPr>
              <w:ind w:left="500"/>
              <w:spacing w:after="0"/>
              <w:rPr>
                <w:sz w:val="20"/>
                <w:szCs w:val="20"/>
                <w:color w:val="auto"/>
              </w:rPr>
            </w:pPr>
            <w:r>
              <w:rPr>
                <w:rFonts w:ascii="Arial" w:cs="Arial" w:eastAsia="Arial" w:hAnsi="Arial"/>
                <w:sz w:val="16"/>
                <w:szCs w:val="16"/>
                <w:color w:val="auto"/>
              </w:rPr>
              <w:t>Total operating revenues</w:t>
            </w:r>
          </w:p>
        </w:tc>
        <w:tc>
          <w:tcPr>
            <w:tcW w:w="4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w:t>
            </w:r>
          </w:p>
        </w:tc>
      </w:tr>
      <w:tr>
        <w:trPr>
          <w:trHeight w:val="33"/>
        </w:trPr>
        <w:tc>
          <w:tcPr>
            <w:tcW w:w="8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4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23"/>
        </w:trPr>
        <w:tc>
          <w:tcPr>
            <w:tcW w:w="890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42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8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4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24"/>
        </w:trPr>
        <w:tc>
          <w:tcPr>
            <w:tcW w:w="890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42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33"/>
        </w:trPr>
        <w:tc>
          <w:tcPr>
            <w:tcW w:w="8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17"/>
        </w:trPr>
        <w:tc>
          <w:tcPr>
            <w:tcW w:w="8900" w:type="dxa"/>
            <w:vAlign w:val="bottom"/>
          </w:tcPr>
          <w:p>
            <w:pPr>
              <w:ind w:left="600"/>
              <w:spacing w:after="0"/>
              <w:rPr>
                <w:sz w:val="20"/>
                <w:szCs w:val="20"/>
                <w:color w:val="auto"/>
              </w:rPr>
            </w:pPr>
            <w:r>
              <w:rPr>
                <w:rFonts w:ascii="Arial" w:cs="Arial" w:eastAsia="Arial" w:hAnsi="Arial"/>
                <w:sz w:val="16"/>
                <w:szCs w:val="16"/>
                <w:color w:val="auto"/>
              </w:rPr>
              <w:t>Operating loss</w:t>
            </w:r>
          </w:p>
        </w:tc>
        <w:tc>
          <w:tcPr>
            <w:tcW w:w="4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8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before income taxes</w:t>
            </w:r>
          </w:p>
        </w:tc>
        <w:tc>
          <w:tcPr>
            <w:tcW w:w="4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23"/>
        </w:trPr>
        <w:tc>
          <w:tcPr>
            <w:tcW w:w="890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4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8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conditions resulting from the outbreak of a pandemic such as the novel coronavirus COVID-19 ("COVID-19"); the overall impact of the outbreak of COVID-19 and measures to curb its spread, including the effect of governmental or voluntary mitigation measures such as business shutdowns, social distancing, and stay-at-home orders;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associated with our Split-Off from FNF, including limitations on our strategic and operating flexibility related to the tax-free nature of the Split-Off and the Investment Company Act of 1940; risks related to our Externalization and other risks detailed in the “Statement Regarding Forward-Looking Information,” “Risk Factors” and other sections of our Annual Report on Form 10-K for the year ended December 31, 2019 (our "Annual Report") and other filings with the SEC.</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Quarterly Report,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Part I, Item 2.</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9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Businesses rely on business-to-business data and analytics providers to extract data-driven insights and make better decisions. For example, in commercial lending and trade credit, the scarcity of readily available credit history makes the extension of credit a time-consuming and imprecise process. In procurement, businesses face increasingly complex and global supply chains, making the assessment of compliance and viability of all suppliers prohibitively difficult and expensive if not conducted effectively. In sales and marketing, businesses have benefited from the proliferation of CRM, Marketing Automation and Sales Acceleration tools designed to help identify, track and improve both customer management and prospecting growth activities. While these tools are helping to fill sales funnels and improve the progression of opportunities, key challenges remain in salesforce productivity, effective client segmentation and marketing campaign activation. Common stumbling blocks include incorrect, or outdated, contact information, duplicated or inaccurate firmographic data and a lack of synchronization between the various platforms in the marketing technology ecosystem.</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D&amp;B helps its clients solve these mission critical business problems. D&amp;B believes the total addressable market (‘‘TAM’’) in which it operates is large, growing and significantly underpenetrated. IDC estimates worldwide revenues of big data and analytics software to be approximately $67 billion in 2019. Within the broader market of data and analytics solutions, D&amp;B serves a number of different markets, including the commercial credit data, sales and marketing data and Governance, Risk and Compliance markets. As D&amp;B continues to drive innovation in its solutions, it expects to address a greater portion of this TAM as new use cases for its data assets and analytical capabilities are introduced.</w:t>
      </w:r>
    </w:p>
    <w:p>
      <w:pPr>
        <w:spacing w:after="0" w:line="1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D&amp;B believes there are several key trends in the global macroeconomic environment generating additional growth in D&amp;B's TAM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198" w:lineRule="exact"/>
        <w:rPr>
          <w:sz w:val="20"/>
          <w:szCs w:val="20"/>
          <w:color w:val="auto"/>
        </w:rPr>
      </w:pPr>
    </w:p>
    <w:p>
      <w:pPr>
        <w:jc w:val="both"/>
        <w:ind w:firstLine="418"/>
        <w:spacing w:after="0" w:line="257" w:lineRule="auto"/>
        <w:rPr>
          <w:sz w:val="20"/>
          <w:szCs w:val="20"/>
          <w:color w:val="auto"/>
        </w:rPr>
      </w:pPr>
      <w:r>
        <w:rPr>
          <w:rFonts w:ascii="Arial" w:cs="Arial" w:eastAsia="Arial" w:hAnsi="Arial"/>
          <w:sz w:val="18"/>
          <w:szCs w:val="18"/>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Higher labor costs due to state and local minimum wage increases and shopping pattern shifts to e-commerce and “ready to eat” grocery and convenience stores have had a negative impact on restaurant performance, particularly in the casual and family dining restaurants in which the company operates.</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revenues in future periods will continue to be subject to these and other factors that are beyond our control and, as a result, are likely to fluctuate.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COVID-19</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March 2020 the outbreak of COVID-19 was declared a national health emergency in the United States. The ongoing COVID-19 global and national health emergency has caused significant disruption in the international and United States economies and financial markets. The Company has been closely monitoring developments related to COVID-19 and its impacts to our portfolio of investments and financial markets. We are working with management of our subsidiaries to evaluate business-specific risks and respond to any financial and operational disruptions. At the holding company level, we believe our operating model, low financial leverage and access to capital uniquely position us to weather economic disruptions. See further discussion of our financial resources in the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xml:space="preserve"> subsection below.</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result of the unprecedented social restrictions related to COVID-19, our Restaurant Group brands experienced a significant reduction in guest counts beginning in the last two weeks of March 2020. In response to the outbreak and these changing conditions, our Restaurant Group brands have closed the dining rooms in substantially all of our restaurants, with limited exceptions for stores that have reopened in states which have relaxed restrictions in late April and May 2020. As of the filing of this Quarterly Report, in most of our restaurants we are solely operating to-go and delivery services in the jurisdictions where government regulations permit restaurants to continue to operate and where the guest demand makes such operations sustainable. We have temporarily closed certain restaurants, modified work hours for our Restaurant Group employees and identified and implemented cost savings measures throughout our Restaurant Group operations. We have been in discussions with our Restaurant Group businesses’ major suppliers and currently have not experienced disruptions in our supply chain. The COVID-19 outbreak and these responses have affected and are projected to continue to adversely affect our Restaurant Group brands' guest traffic, sales and operating costs.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further discussion of the impact of COVID-19 on our Restaurant Group in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subsection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1A of Part II of this Quarterly Report for further discussion risk factors related to COVID-19.</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3"/>
        </w:trPr>
        <w:tc>
          <w:tcPr>
            <w:tcW w:w="86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r>
      <w:tr>
        <w:trPr>
          <w:trHeight w:val="196"/>
        </w:trPr>
        <w:tc>
          <w:tcPr>
            <w:tcW w:w="8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Restaurant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169.9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257.8</w:t>
            </w:r>
          </w:p>
        </w:tc>
      </w:tr>
      <w:tr>
        <w:trPr>
          <w:trHeight w:val="33"/>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revenue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17"/>
        </w:trPr>
        <w:tc>
          <w:tcPr>
            <w:tcW w:w="8660" w:type="dxa"/>
            <w:vAlign w:val="bottom"/>
          </w:tcPr>
          <w:p>
            <w:pPr>
              <w:ind w:left="500"/>
              <w:spacing w:after="0"/>
              <w:rPr>
                <w:sz w:val="20"/>
                <w:szCs w:val="20"/>
                <w:color w:val="auto"/>
              </w:rPr>
            </w:pPr>
            <w:r>
              <w:rPr>
                <w:rFonts w:ascii="Arial" w:cs="Arial" w:eastAsia="Arial" w:hAnsi="Arial"/>
                <w:sz w:val="16"/>
                <w:szCs w:val="16"/>
                <w:color w:val="auto"/>
              </w:rPr>
              <w:t>Total operating revenues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173.0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262.3</w:t>
            </w:r>
          </w:p>
        </w:tc>
      </w:tr>
      <w:tr>
        <w:trPr>
          <w:trHeight w:val="33"/>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Cost of restaurant revenue</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227.0</w:t>
            </w:r>
          </w:p>
        </w:tc>
      </w:tr>
      <w:tr>
        <w:trPr>
          <w:trHeight w:val="33"/>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Goodwill impairment</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273.4</w:t>
            </w:r>
          </w:p>
        </w:tc>
      </w:tr>
      <w:tr>
        <w:trPr>
          <w:trHeight w:val="217"/>
        </w:trPr>
        <w:tc>
          <w:tcPr>
            <w:tcW w:w="8660" w:type="dxa"/>
            <w:vAlign w:val="bottom"/>
          </w:tcPr>
          <w:p>
            <w:pPr>
              <w:ind w:left="600"/>
              <w:spacing w:after="0"/>
              <w:rPr>
                <w:sz w:val="20"/>
                <w:szCs w:val="20"/>
                <w:color w:val="auto"/>
              </w:rPr>
            </w:pPr>
            <w:r>
              <w:rPr>
                <w:rFonts w:ascii="Arial" w:cs="Arial" w:eastAsia="Arial" w:hAnsi="Arial"/>
                <w:sz w:val="16"/>
                <w:szCs w:val="16"/>
                <w:color w:val="auto"/>
              </w:rPr>
              <w:t>Operating loss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w:t>
            </w:r>
          </w:p>
        </w:tc>
      </w:tr>
      <w:tr>
        <w:trPr>
          <w:trHeight w:val="33"/>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Interest, investment and other income</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33"/>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Realized and other gains and losses, net</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915.1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Earnings (loss) before income taxes and equity in losses of unconsolidated affiliates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860.2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Earnings before equity in losses of unconsolidated affiliates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690.8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losses of unconsolidated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Net earnings (loss)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638.1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w:t>
            </w:r>
          </w:p>
        </w:tc>
      </w:tr>
      <w:tr>
        <w:trPr>
          <w:trHeight w:val="33"/>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Net earnings (loss)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638.1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r>
      <w:tr>
        <w:trPr>
          <w:trHeight w:val="33"/>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44"/>
        </w:trPr>
        <w:tc>
          <w:tcPr>
            <w:tcW w:w="8660" w:type="dxa"/>
            <w:vAlign w:val="bottom"/>
          </w:tcPr>
          <w:p>
            <w:pPr>
              <w:ind w:left="40"/>
              <w:spacing w:after="0"/>
              <w:rPr>
                <w:sz w:val="20"/>
                <w:szCs w:val="20"/>
                <w:color w:val="auto"/>
              </w:rPr>
            </w:pPr>
            <w:r>
              <w:rPr>
                <w:rFonts w:ascii="Arial" w:cs="Arial" w:eastAsia="Arial" w:hAnsi="Arial"/>
                <w:sz w:val="16"/>
                <w:szCs w:val="16"/>
                <w:color w:val="auto"/>
              </w:rPr>
              <w:t>Net earnings (loss) attributable to Cannae Holdings, Inc. common shareholders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647.7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0"/>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revenues decreased $89.3 million, or 34.0%, in the three months ended March 31, 2020 compared to the corresponding period in 2019.</w:t>
      </w:r>
    </w:p>
    <w:p>
      <w:pPr>
        <w:spacing w:after="0" w:line="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earnings (loss) attributable to Cannae Holdings, Inc. common shareholders increased $664.5 million, or 3,955.4%, in the three months ended March 31, 2020 compared to the corresponding period in 2019.</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(loss) is discussed in further detail at the segment level below.</w:t>
      </w:r>
    </w:p>
    <w:p>
      <w:pPr>
        <w:sectPr>
          <w:pgSz w:w="11900" w:h="16838" w:orient="portrait"/>
          <w:cols w:equalWidth="0" w:num="1">
            <w:col w:w="11240"/>
          </w:cols>
          <w:pgMar w:left="320" w:top="121"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operating expenses consist primarily of personnel costs, cost of restaurant revenue, other operating expenses, and depreciation and amortization.</w:t>
      </w:r>
    </w:p>
    <w:p>
      <w:pPr>
        <w:spacing w:after="0" w:line="2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1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operating expenses include professional fees, advertising costs, travel expenses and impairments of operating assets.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 consists of our depreciation related to investments in property and equipment as well as amortization of intangible assets.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our segments is discussed in further detail at the segment level below.</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Income tax expense (benefit) was $169.4 million and $(6.0) million in the three-month periods ended March 31, 2020 and 2019, respectively. Income tax expense (benefit) as a percentage of earnings (loss) from continuing operations before income taxes and equity in unconsolidated affiliates was 19.7% and 272.7% for the three-month periods ended March 31, 2020 and 2019, respectively. Income tax expense as a percentage of earnings before income taxes and equity in unconsolidated affiliates fluctuates depending on our estimate of ultimate income tax liability and changes in the characteristics of net earnings, such as the weighting of operating income versus investment income. The change in the effective tax rate in the three-month period ended March 31, 2020 was primarily attributable to the reduced impact of equity in losses of unconsolidated affiliates on pretax earnings in 2020 compared to the impact of equity in losses of unconsolidated affiliates on pretax losses in 2019. The $179.0 million change in deferred taxes in the three months ended March 31, 2020 is primarily attributable to the impact of taxes on the gain recorded for the change in accounting for Ceridian as of March 31, 2020.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Equity in earnings (losses) of unconsolidated affiliates for the three months ended March 31, 2020 and 2019 consisted of the following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9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180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Three months ended March</w:t>
            </w:r>
          </w:p>
        </w:tc>
        <w:tc>
          <w:tcPr>
            <w:tcW w:w="0" w:type="dxa"/>
            <w:vAlign w:val="bottom"/>
          </w:tcPr>
          <w:p>
            <w:pPr>
              <w:spacing w:after="0"/>
              <w:rPr>
                <w:sz w:val="1"/>
                <w:szCs w:val="1"/>
                <w:color w:val="auto"/>
              </w:rPr>
            </w:pPr>
          </w:p>
        </w:tc>
      </w:tr>
      <w:tr>
        <w:trPr>
          <w:trHeight w:val="192"/>
        </w:trPr>
        <w:tc>
          <w:tcPr>
            <w:tcW w:w="75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31, 2020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Dun &amp; Bradstreet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Ceridian (1)</w:t>
            </w:r>
          </w:p>
        </w:tc>
        <w:tc>
          <w:tcPr>
            <w:tcW w:w="3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Fund</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AmeriLife</w:t>
            </w:r>
          </w:p>
        </w:tc>
        <w:tc>
          <w:tcPr>
            <w:tcW w:w="3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752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440" w:firstLine="8"/>
        <w:spacing w:after="0" w:line="260"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Fiscal year 2020 amount represents the Company's equity in earnings of Ceridian in the three months ended March 31, 2020 prior to the change in accounting for the investment as of March 31,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96"/>
        </w:trPr>
        <w:tc>
          <w:tcPr>
            <w:tcW w:w="82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r>
      <w:tr>
        <w:trPr>
          <w:trHeight w:val="196"/>
        </w:trPr>
        <w:tc>
          <w:tcPr>
            <w:tcW w:w="8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gridSpan w:val="3"/>
          </w:tcPr>
          <w:p>
            <w:pPr>
              <w:jc w:val="right"/>
              <w:ind w:right="54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Restaurant revenue</w:t>
            </w:r>
          </w:p>
        </w:tc>
        <w:tc>
          <w:tcPr>
            <w:tcW w:w="940" w:type="dxa"/>
            <w:vAlign w:val="bottom"/>
          </w:tcPr>
          <w:p>
            <w:pPr>
              <w:jc w:val="right"/>
              <w:ind w:right="76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0"/>
              <w:spacing w:after="0"/>
              <w:rPr>
                <w:sz w:val="20"/>
                <w:szCs w:val="20"/>
                <w:color w:val="auto"/>
              </w:rPr>
            </w:pPr>
            <w:r>
              <w:rPr>
                <w:rFonts w:ascii="Arial" w:cs="Arial" w:eastAsia="Arial" w:hAnsi="Arial"/>
                <w:sz w:val="16"/>
                <w:szCs w:val="16"/>
                <w:color w:val="auto"/>
                <w:w w:val="99"/>
              </w:rPr>
              <w:t>169.9</w:t>
            </w:r>
          </w:p>
        </w:tc>
        <w:tc>
          <w:tcPr>
            <w:tcW w:w="120" w:type="dxa"/>
            <w:vAlign w:val="bottom"/>
          </w:tcPr>
          <w:p>
            <w:pPr>
              <w:spacing w:after="0"/>
              <w:rPr>
                <w:sz w:val="20"/>
                <w:szCs w:val="20"/>
                <w:color w:val="auto"/>
              </w:rPr>
            </w:pP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257.8</w:t>
            </w:r>
          </w:p>
        </w:tc>
      </w:tr>
      <w:tr>
        <w:trPr>
          <w:trHeight w:val="33"/>
        </w:trPr>
        <w:tc>
          <w:tcPr>
            <w:tcW w:w="8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revenues</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169.9</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257.8</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restaurant revenue</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227.0</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9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9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 impairment</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22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9"/>
              </w:rPr>
              <w:t>195.5</w:t>
            </w: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265.6</w:t>
            </w:r>
          </w:p>
        </w:tc>
      </w:tr>
      <w:tr>
        <w:trPr>
          <w:trHeight w:val="33"/>
        </w:trPr>
        <w:tc>
          <w:tcPr>
            <w:tcW w:w="8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loss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1"/>
        </w:trPr>
        <w:tc>
          <w:tcPr>
            <w:tcW w:w="822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Realized and other gains and losses, net</w:t>
            </w:r>
          </w:p>
        </w:tc>
        <w:tc>
          <w:tcPr>
            <w:tcW w:w="9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8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other expense</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Loss before income taxes, equity in losses of unconsolidated affiliates and noncontrolling interest</w:t>
            </w:r>
          </w:p>
        </w:tc>
        <w:tc>
          <w:tcPr>
            <w:tcW w:w="940" w:type="dxa"/>
            <w:vAlign w:val="bottom"/>
            <w:tcBorders>
              <w:top w:val="single" w:sz="8" w:color="auto"/>
            </w:tcBorders>
          </w:tcPr>
          <w:p>
            <w:pPr>
              <w:jc w:val="right"/>
              <w:ind w:right="764"/>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r>
    </w:tbl>
    <w:p>
      <w:pPr>
        <w:spacing w:after="0" w:line="12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Total revenues for the Restaurant group segment decreased $87.9 million, or 34.1%, in the three months ended March 31, 2020, compared to the corresponding period in 2019. The decrease was primarily driven by decreased revenue related to the Blue Ribbon Reorganization, which resulted in the deconsolidation of Blue Ribbon as of January 27, 2020, the closing or sale of company-owned restaurants primarily associated with our O'Charley's, Village Inn and Baker's Square concepts subsequent to the prior year periods and a decrease in comparable store sales driven by social restrictions imposed by state and local governments in connection with COVID-19 in March 2020, which resulted in the closing of dining rooms for substantially all of our restaurants. The decrease was partially offset by increases in the average guest check. Revenue of $11.8 million is recorded in the three months ended March 31, 2019 associated with stores closed subsequent to March 31, 2019. Revenue associated with our Blue Ribbon brands was $17.8 million and $64.9 million, respectively, in the three months ended March 31, 2020 and 2019. Revenue for Blue Ribbon recorded in the three months ended March 31, 2020 represents Blue Ribbon's revenue for the period from January 1, 2020 through January 27, 2020, the date of Blue Ribbon's filing for bankruptcy.</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Comparable Store Sales. </w:t>
      </w:r>
      <w:r>
        <w:rPr>
          <w:rFonts w:ascii="Arial" w:cs="Arial" w:eastAsia="Arial" w:hAnsi="Arial"/>
          <w:sz w:val="16"/>
          <w:szCs w:val="16"/>
          <w:color w:val="auto"/>
        </w:rPr>
        <w:t>One method we use in evaluating the performance of our restaurants is to compare sales results for restaurants period over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99 Restaurants and O' Charley's brands decreased 12.9% and 16.9%, respectively, in the three months ended March 31, 2020 compared to the comparable period in 2019. The decrease is primarily attributable to the closing of dining rooms in our restaurants beginning in the second week of March 2020.</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restaurant revenue decreased consistently with Restaurant revenues. Cost of restaurant revenue as a percentage of restaurant revenue was 90.1% and 88.1% in the three months ended March 31, 2020 and 2019, respectively. The increase in cost of restaurant revenue as a percentage of restaurant revenue in the three months ended March 31, 2020 compared to the comparable period in 2019 is primarily attributable to the impact of fixed costs on decreased revenue.</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expense increased $2.4 million, or 14.9%, in the three months ended March 31, 2020, from the corresponding period in 2019. The increase is primarily attributable to impairment of assets of $6.8 million in the three months ended March 31, 2020, partially offset by miscellaneous reductions in expenses.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K to our Condensed Consolidated Financial Statements included in Item 1 of Part I of this Quarterly Report for discussion of our impairment of goodwill for the O'Charley's reporting unit of our Restaurant Group.</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Realized and other gains and losses, net for the three months ended March 31, 2020 includes a gain of $26.5 million as a result of the deconsolidation of Blue Ribbon on January 27, 2020 and an other-than-temporary impairment loss on our recorded</w:t>
      </w:r>
    </w:p>
    <w:p>
      <w:pPr>
        <w:sectPr>
          <w:pgSz w:w="11900" w:h="16838" w:orient="portrait"/>
          <w:cols w:equalWidth="0" w:num="1">
            <w:col w:w="11240"/>
          </w:cols>
          <w:pgMar w:left="320" w:top="121"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of $18.6 million as of March 31, 2020. See Note A to our Condensed Consolidated Financial Statements included in Item 1 of Part I of this Quarterly Report for further discussion.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Loss before income taxes decreased by $12.8 million, or 158.0%, in the three months ended March 31, 2020, from the corresponding period in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loss was primarily attributable to the factors discussed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Dun &amp; Bradstreet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2020, we own a 24.3% interest in Dun &amp; Bradstreet. We account for our investment in Dun &amp; Bradstreet under the equity method of accounting; therefore, its results of operations do not consolidate into ours.</w:t>
      </w:r>
    </w:p>
    <w:p>
      <w:pPr>
        <w:spacing w:after="0" w:line="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Summarized financial information for Dun &amp; Bradstreet for the relevant dates and time periods included in Equity in losses of unconsolidated affiliates in our Statements of Operations is presented below. Our net earnings for the three-month period ended March 31, 2019 includes our equity in Dun &amp; Bradstreet’s losses for the period from February 8, 2019, the date we acquired our initial interest in Dun &amp; Bradstreet, through March 31, 2019.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0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5"/>
              </w:rPr>
              <w:t>Three months ended March 31,</w:t>
            </w:r>
          </w:p>
        </w:tc>
        <w:tc>
          <w:tcPr>
            <w:tcW w:w="20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Period from February 8, 2019</w:t>
            </w:r>
          </w:p>
        </w:tc>
      </w:tr>
      <w:tr>
        <w:trPr>
          <w:trHeight w:val="192"/>
        </w:trPr>
        <w:tc>
          <w:tcPr>
            <w:tcW w:w="70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7"/>
              </w:rPr>
              <w:t>to March 31, 2019</w:t>
            </w:r>
          </w:p>
        </w:tc>
      </w:tr>
      <w:tr>
        <w:trPr>
          <w:trHeight w:val="250"/>
        </w:trPr>
        <w:tc>
          <w:tcPr>
            <w:tcW w:w="7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395.3</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5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(111.6)</w:t>
            </w: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73.9</w:t>
            </w:r>
          </w:p>
        </w:tc>
        <w:tc>
          <w:tcPr>
            <w:tcW w:w="4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Dividends attributable to preferred equity and noncontrolling interest expense</w:t>
            </w:r>
          </w:p>
        </w:tc>
        <w:tc>
          <w:tcPr>
            <w:tcW w:w="5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(32.4)</w:t>
            </w:r>
          </w:p>
        </w:tc>
        <w:tc>
          <w:tcPr>
            <w:tcW w:w="4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7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Dun &amp; Bradstreet</w:t>
            </w: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41.5</w:t>
            </w:r>
          </w:p>
        </w:tc>
        <w:tc>
          <w:tcPr>
            <w:tcW w:w="4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7"/>
        </w:trPr>
        <w:tc>
          <w:tcPr>
            <w:tcW w:w="7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Corporate and Other segment consists of our share in the operations of certain controlled portfolio companies and other equity investments, activity of the corporate holding company and certain intercompany eliminations and taxes.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non-reportable Corporate and other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58"/>
        </w:trPr>
        <w:tc>
          <w:tcPr>
            <w:tcW w:w="8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208"/>
        </w:trPr>
        <w:tc>
          <w:tcPr>
            <w:tcW w:w="8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8"/>
                <w:szCs w:val="18"/>
                <w:color w:val="auto"/>
              </w:rPr>
            </w:pPr>
          </w:p>
        </w:tc>
      </w:tr>
      <w:tr>
        <w:trPr>
          <w:trHeight w:val="25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Other operating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33"/>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3.3</w:t>
            </w:r>
          </w:p>
        </w:tc>
      </w:tr>
      <w:tr>
        <w:trPr>
          <w:trHeight w:val="33"/>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3.8</w:t>
            </w:r>
          </w:p>
        </w:tc>
      </w:tr>
      <w:tr>
        <w:trPr>
          <w:trHeight w:val="33"/>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r>
      <w:tr>
        <w:trPr>
          <w:trHeight w:val="217"/>
        </w:trPr>
        <w:tc>
          <w:tcPr>
            <w:tcW w:w="8660" w:type="dxa"/>
            <w:vAlign w:val="bottom"/>
          </w:tcPr>
          <w:p>
            <w:pPr>
              <w:ind w:left="600"/>
              <w:spacing w:after="0"/>
              <w:rPr>
                <w:sz w:val="20"/>
                <w:szCs w:val="20"/>
                <w:color w:val="auto"/>
              </w:rPr>
            </w:pPr>
            <w:r>
              <w:rPr>
                <w:rFonts w:ascii="Arial" w:cs="Arial" w:eastAsia="Arial" w:hAnsi="Arial"/>
                <w:sz w:val="16"/>
                <w:szCs w:val="16"/>
                <w:color w:val="auto"/>
              </w:rPr>
              <w:t>Operating loss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11.0</w:t>
            </w:r>
          </w:p>
        </w:tc>
      </w:tr>
      <w:tr>
        <w:trPr>
          <w:trHeight w:val="33"/>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Realized and other gains and losses, net</w:t>
            </w:r>
          </w:p>
        </w:tc>
        <w:tc>
          <w:tcPr>
            <w:tcW w:w="2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907.3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0.9</w:t>
            </w:r>
          </w:p>
        </w:tc>
      </w:tr>
      <w:tr>
        <w:trPr>
          <w:trHeight w:val="33"/>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Earnings before income taxes, equity in losses of unconsolidated affiliates and noncontrolling interest</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881.1</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w:t>
            </w:r>
          </w:p>
        </w:tc>
      </w:tr>
    </w:tbl>
    <w:p>
      <w:pPr>
        <w:spacing w:after="0" w:line="23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Personnel costs increased $17.4 million in the three months ended March 31, 2020 compared to the corresponding period in 2019. The increase was primarily driven by $16.8 million of investment success bonuses related to our February 2020 sale of shares of Ceridian in the 2020 period.</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expenses increased by $5.6 million in the three months ended March 31, 2020 compared to the corresponding period in 2019. The increase was primarily driven by an increase in professional fees, including $4.3 million for our quarterly management fees to our Manager, in the 2020 period.</w:t>
      </w:r>
    </w:p>
    <w:p>
      <w:pPr>
        <w:sectPr>
          <w:pgSz w:w="11900" w:h="16838" w:orient="portrait"/>
          <w:cols w:equalWidth="0" w:num="1">
            <w:col w:w="11240"/>
          </w:cols>
          <w:pgMar w:left="320" w:top="121"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and investment income decreased $8.8 million in the three months ended March 31, 2020 compared to the corresponding period in 2019. The decrease was primarily attributable to $9.1 million of syndication fees earned in relation to our organization of investors for the Dun &amp; Bradstreet transaction in the 2019 period.</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Realized and other gains and losses, net, increased $906.4 million in the three months ended March 31, 2020 compared to the corresponding period in 2019. The increase is primarily attributable to a gain of $223.1 million on the sale of a portion of our holdings of Ceridian stock in February 2020 and a gain of $684.9 million on our change in accounting for our investment in Ceridian.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Earnings before income taxes increased $875.2 million in the three months ended March 31, 2020, compared to the corresponding periods in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increased earnings was primarily attributable to the factors noted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Cash Requirements. </w:t>
      </w:r>
      <w:r>
        <w:rPr>
          <w:rFonts w:ascii="Arial" w:cs="Arial" w:eastAsia="Arial" w:hAnsi="Arial"/>
          <w:sz w:val="16"/>
          <w:szCs w:val="16"/>
          <w:color w:val="auto"/>
        </w:rPr>
        <w:t>Our current cash requirements include personnel costs, operating expenses, taxes, payments of interest and principal on our debt,</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expenditures, and business acquisitions. 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stock repurchases and acquisitions.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March 31, 2020, we had cash and cash equivalents of $444.3 million and $100.0 million of capacity under our existing holding company credit facilities. 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9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are focused on evaluating our assets and investments as potential vehicles for creating liquidity. Our intent is to use that liquidity for general corporate purposes, including, potentially reducing debt, repurchasing shares of our stock, other strategic initiatives and/or conserving cash.</w:t>
      </w:r>
    </w:p>
    <w:p>
      <w:pPr>
        <w:spacing w:after="0" w:line="1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Operating Cash Flow</w:t>
      </w:r>
      <w:r>
        <w:rPr>
          <w:rFonts w:ascii="Arial" w:cs="Arial" w:eastAsia="Arial" w:hAnsi="Arial"/>
          <w:sz w:val="17"/>
          <w:szCs w:val="17"/>
          <w:color w:val="auto"/>
        </w:rPr>
        <w:t>. Our cash flows (used in) provided by operations for the three months ended March 31, 2020 and 2019 totaled $(34.3)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$6.0 million, respectively. The decrease in cash provided by (increase in cash used in) operations of $40.3 million is primarily attributable to increased losses in our Restaurant Group and timing of payment and receipt of cash associated with operating assets.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flows provided by (used in) investing activities for the three months ended March 31, 2020 and 2019 were $31.3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$(481.8) million, respectively. The increase in cash provided by (decrease in cash used in) investing activities of $513.1 million in the 2020 period from the 2019 period is primarily attributable to our investment in Dun &amp; Bradstreet in the 2019 period.</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Total capital expenditures for property and equipment and other intangible assets were $13.6 million and $3.2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three-month periods ended March 31, 2020 and 2019, respectively. Capital expenditures in the three months ended March 31, 2020 include the Company's purchase of our corporate headquarters for $9.3 million. The balance of expenditures in 2019 and all of the expenditures in the three months ended March 31, 2019 primarily consisted of purchases of property and equipment in our Restaurant Group segment.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(used in) provided by financing activities for the three months ended March 31, 2020 and 2019 were $(86.4)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$274.0 million, respectively. The decrease in cash provided by (increase in cash used in) financing activities of $360.4 million is primarily attributable to $262.2 million of cash proceeds from draws on credit facilities in the 2019 period, $91.2 million of debt service payments in the 2020 period and $10.8 million of cash paid for purchases of Treasury stock in the 2020 period.</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F included in Item 1 of Part 1 of this Quarterly Report,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Item 2 of Part I.</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There have been no material changes to the seasonality experienced in our businesses from those described for the period as of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2019 included in our Annual Report on Form 10-K.</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Our long term contractual obligations generally include our credit agreements and other debt facilities, lease payments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obligations on certain of our premises and equipment, purchase obligations of the Restaurant Group and payments to our Manager.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B to our Condensed Consolidated Financial Statements included in Item 1 of Part I of this Quarterly Report for further discussion of our leasing arrangements.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regards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March 31, 2020 to determine the amount of these obligations.</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$1,121.4 million as of March 31, 2020.</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Restaurant Group financing obligations include its agreements to lease its corporate office and certain O'Charley's restaurant locations which are accounted for as failed sale and leaseback transactions.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our required annual payments relating to these contractual obligations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19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payments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227.3</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Unconditional purchase obligations</w:t>
            </w: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241.1</w:t>
            </w:r>
          </w:p>
        </w:tc>
      </w:tr>
      <w:tr>
        <w:trPr>
          <w:trHeight w:val="27"/>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Management fees payable to Manager</w:t>
            </w: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75.6</w:t>
            </w:r>
          </w:p>
        </w:tc>
      </w:tr>
      <w:tr>
        <w:trPr>
          <w:trHeight w:val="27"/>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Restaurant Group financing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w:t>
            </w:r>
          </w:p>
        </w:tc>
      </w:tr>
      <w:tr>
        <w:trPr>
          <w:trHeight w:val="257"/>
        </w:trPr>
        <w:tc>
          <w:tcPr>
            <w:tcW w:w="350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634.0</w:t>
            </w:r>
          </w:p>
        </w:tc>
      </w:tr>
      <w:tr>
        <w:trPr>
          <w:trHeight w:val="20"/>
        </w:trPr>
        <w:tc>
          <w:tcPr>
            <w:tcW w:w="3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September 19, 2019, our Board of Directors approved a new three-year stock repurchase program effective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19, 2019 (the "2019 Repurchase Program") under which we may purchase up to 5 million shares of our CNNE common stock through September 30, 2022. We may make repurchases from time to time in the open market, in block purchases or in privately negotiated transactions, depending on market conditions and other factors. We repurchased 386,517 shares of CNNE common stock during the three months ended March 31, 2020 for approximately $10.8 million in the aggregate, or an average of $27.94 per share. Subsequent to March 31, 2020 through market close on May 5, 2020 we repurchased 123,592 shares for approximately $3.6 million in the aggregate, or an average of 29.34 per share. Since the original commencement of the 2019 Repurchase Program through market close on May 5, 2020, we repurchased a total of 688,416 common shares for approximately $19.3 million in the aggregate, or an average of $28.03 per share.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There have been no significant changes to our off-balance sheet arrangements since our Annual Report.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2020 that have materially affected, or are reasonably likely to materially affect, our internal control over financial reporting.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G.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5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risk factors disclosed in "Item 1A. Risk Factors" included in our Annual Report on Form 10-K for the year ended December 31, 2019, are hereby incorporated by reference. In addition, we identified the following additional risks as a result of the recent outbreak of COVID-19.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Restaurant Group</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The COVID-19 outbreak has disrupted and is expected to continue to disrupt the business of our Restaurant Group, which has and could continue to materially affect our Restaurant Group's operations, financial condition and results of operations for an extended period of time.</w:t>
      </w:r>
    </w:p>
    <w:p>
      <w:pPr>
        <w:spacing w:after="0" w:line="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COVID-19 outbreak, the federal, state and local government responses to COVID-19 and our responses to the outbreak have all disrupted and will continue to disrupt our Restaurant Group businesses. In the United States, individuals are being encouraged to practice social distancing, in most places are restricted from gathering in groups and in many cases, placed on complete restriction from non-essential movements outside of their homes. In response to the COVID-19 outbreak and these changing conditions, we have closed the dining rooms in substantially all of our restaurants, with limited exceptions for stores that have reopened in states which have relaxed restrictions in late April and May 2020. As of the filing of this Quarterly Report, in most of our restaurants we are solely operating to-go and delivery services in the jurisdictions where government regulations permit restaurants to continue to operate and where the guest demand makes such operations sustainable. We have temporarily closed certain restaurants, modified work hours for our Restaurant Group employees and identified and implemented cost savings measures throughout our Restaurant Group operations. The COVID-19 outbreak and these responses have affected and will continue to adversely affect our Restaurant Group brands' guest traffic, sales and operating costs and we cannot predict how long the outbreak will last or what other government responses may occur.</w:t>
      </w:r>
    </w:p>
    <w:p>
      <w:pPr>
        <w:spacing w:after="0" w:line="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Suppliers of our Restaurant Group could be adversely impacted by the COVID-19 outbreak. If our Restaurant Group's suppliers’ access to resources is constrained or their employees are unable to work, whether because of illness, quarantine, limitations on travel or other government restrictions in connection with COVID-19, our Restaurant Group businesses could face shortages of food items or other restaurant supplies and our Restaurant Group's operations and sales could be adversely impacted by such supply interruptions.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the COVID-19 pandemic to negatively impact the financial results of our Restaurant Group and depending on the duration and scope, such impact could be material.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Company's Investment in Dun &amp; Bradstreet</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An outbreak of disease, global or localized health pandemic or epidemic or a similar public health threat, or the fear of such an event, could have a material adverse effect on Dun &amp; Bradstreet's business, financial condition and results operations.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 significant outbreak of contagious diseases in the human population, such as the recent outbreak of COVID-19, could result in a widespread health crisis that could adversely affect the economies and financial markets of many countries, resulting in an economic downturn that could have an adverse effect on demand for Dun &amp; Bradstreet's solutions and access to its data sources. Disruptions in the financial markets could limit the ability or willingness of D&amp;B's clients to extend credit to their customers or cause its clients to constrain budgets, which could adversely impact demand for D&amp;B's data and analytics solutions. The U.S. and other governments abroad have implemented enhanced screening, quarantine requirements and travel restrictions in connection with the COVID-19 global pandemic. In addition to governmental measures, companies, including Dun &amp; Bradstreet, are imposing, or may impose, temporary precautionary measures intended to help minimize the risk of the virus to employees, customers and communities, including requiring that employees work remotely and restricting non-essential travel. Given the breadth of Dun &amp; Bradstreet's data, the large number of countries the data is sourced from and system requirements necessary to process and analyze such data, many of D&amp;B's employees and employees of its partners may be limited or unable to effectively work remotely. Further, D&amp;B's employees travel frequently to maintain relationships with and sell solutions to its clients. Continued mandates that employees work remotely, prolonged travel restrictions or general economic uncertainty could negatively impact D&amp;B's suppliers’ ability to provide it with data and services, D&amp;B's ability to deliver or market its solutions and client demand for D&amp;B's solutions. The extent of the impact of COVID-19 on D&amp;B's operational and financial performance will depend on future developments, including the duration and spread of the global pandemic and related travel advisories and quarantine or social distancing restrictions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impacts to the global markets, all of which are highly uncertain and cannot be predicted. Preventing the effects from and responding to this market disruption or any other public health threat, related or otherwise, could further impact demand for D&amp;B's solutions and could have a material adverse effect on its business, financial condition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Company's Corporate and Other Businesses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The outbreak of COVID-19 and resulting government response have negatively affected the global economy, the United States economy and the global financial markets, and may disrupt our operations, which could have an adverse effect on our Corporate and Other businesses, financial condition and results of operations.</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ongoing COVID-19 global and national health emergency has caused significant disruption in the international and United States economies and financial markets. The spread of COVID-19 and resulting government imposed shutdown of many activities has resulted in an overarching reduction in business activity and financial transactions, an increase in unemployment, supply chain interruptions and overall economic and financial market instability. If such disruption persists for an extended period of time, the businesses comprising our Corporate and Other segment and our ability to consummate new investments could be adversely affected which could result in an adverse effect on our financial condition and results of operations.</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the Company during the three months ended March 31, 2020:</w:t>
      </w:r>
    </w:p>
    <w:p>
      <w:pPr>
        <w:spacing w:after="0" w:line="23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Number of Shares</w:t>
            </w:r>
          </w:p>
        </w:tc>
        <w:tc>
          <w:tcPr>
            <w:tcW w:w="1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(2)</w:t>
            </w:r>
          </w:p>
        </w:tc>
        <w:tc>
          <w:tcPr>
            <w:tcW w:w="0" w:type="dxa"/>
            <w:vAlign w:val="bottom"/>
          </w:tcPr>
          <w:p>
            <w:pPr>
              <w:spacing w:after="0"/>
              <w:rPr>
                <w:sz w:val="1"/>
                <w:szCs w:val="1"/>
                <w:color w:val="auto"/>
              </w:rPr>
            </w:pPr>
          </w:p>
        </w:tc>
      </w:tr>
      <w:tr>
        <w:trPr>
          <w:trHeight w:val="249"/>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1/1/2020 - 1/31/2020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4,821,693</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2/1/2020 - 2/28/2020</w:t>
            </w:r>
          </w:p>
        </w:tc>
        <w:tc>
          <w:tcPr>
            <w:tcW w:w="12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4,821,693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3/1/2020 - 3/31/2020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386,517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386,517</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4,435,176</w:t>
            </w:r>
          </w:p>
        </w:tc>
        <w:tc>
          <w:tcPr>
            <w:tcW w:w="0" w:type="dxa"/>
            <w:vAlign w:val="bottom"/>
          </w:tcPr>
          <w:p>
            <w:pPr>
              <w:spacing w:after="0"/>
              <w:rPr>
                <w:sz w:val="1"/>
                <w:szCs w:val="1"/>
                <w:color w:val="auto"/>
              </w:rPr>
            </w:pPr>
          </w:p>
        </w:tc>
      </w:tr>
      <w:tr>
        <w:trPr>
          <w:trHeight w:val="237"/>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386,517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386,517</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80" w:right="20" w:hanging="648"/>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September 19, 2019, our Board of Directors approved the 2019 Repurchase Program, under which we may purchase up to 5 million shares of our CNNE common stock through September 30, 2022.</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-455930</wp:posOffset>
            </wp:positionV>
            <wp:extent cx="31629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720" w:type="dxa"/>
            <w:vAlign w:val="bottom"/>
          </w:tcPr>
          <w:p>
            <w:pPr>
              <w:jc w:val="center"/>
              <w:ind w:right="270"/>
              <w:spacing w:after="0"/>
              <w:rPr>
                <w:rFonts w:ascii="Arial" w:cs="Arial" w:eastAsia="Arial" w:hAnsi="Arial"/>
                <w:sz w:val="18"/>
                <w:szCs w:val="18"/>
                <w:b w:val="1"/>
                <w:bCs w:val="1"/>
                <w:u w:val="single" w:color="auto"/>
                <w:color w:val="0000EE"/>
                <w:w w:val="89"/>
              </w:rPr>
            </w:pPr>
            <w:hyperlink w:anchor="page2">
              <w:r>
                <w:rPr>
                  <w:rFonts w:ascii="Arial" w:cs="Arial" w:eastAsia="Arial" w:hAnsi="Arial"/>
                  <w:sz w:val="18"/>
                  <w:szCs w:val="18"/>
                  <w:b w:val="1"/>
                  <w:bCs w:val="1"/>
                  <w:u w:val="single" w:color="auto"/>
                  <w:color w:val="0000EE"/>
                  <w:w w:val="89"/>
                </w:rPr>
                <w:t>Table of Contents</w:t>
              </w:r>
            </w:hyperlink>
          </w:p>
        </w:tc>
        <w:tc>
          <w:tcPr>
            <w:tcW w:w="17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720" w:type="dxa"/>
            <w:vAlign w:val="bottom"/>
          </w:tcPr>
          <w:p>
            <w:pPr>
              <w:jc w:val="center"/>
              <w:ind w:right="390"/>
              <w:spacing w:after="0"/>
              <w:rPr>
                <w:sz w:val="20"/>
                <w:szCs w:val="20"/>
                <w:color w:val="auto"/>
              </w:rPr>
            </w:pPr>
            <w:r>
              <w:rPr>
                <w:rFonts w:ascii="Arial" w:cs="Arial" w:eastAsia="Arial" w:hAnsi="Arial"/>
                <w:sz w:val="18"/>
                <w:szCs w:val="18"/>
                <w:b w:val="1"/>
                <w:bCs w:val="1"/>
                <w:color w:val="auto"/>
                <w:w w:val="93"/>
              </w:rPr>
              <w:t>Item 6. Exhibits</w:t>
            </w:r>
          </w:p>
        </w:tc>
        <w:tc>
          <w:tcPr>
            <w:tcW w:w="17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720" w:type="dxa"/>
            <w:vAlign w:val="bottom"/>
          </w:tcPr>
          <w:p>
            <w:pPr>
              <w:jc w:val="center"/>
              <w:ind w:right="270"/>
              <w:spacing w:after="0"/>
              <w:rPr>
                <w:sz w:val="20"/>
                <w:szCs w:val="20"/>
                <w:color w:val="auto"/>
              </w:rPr>
            </w:pPr>
            <w:r>
              <w:rPr>
                <w:rFonts w:ascii="Arial" w:cs="Arial" w:eastAsia="Arial" w:hAnsi="Arial"/>
                <w:sz w:val="18"/>
                <w:szCs w:val="18"/>
                <w:color w:val="auto"/>
                <w:w w:val="92"/>
              </w:rPr>
              <w:t>(a) Exhibits:</w:t>
            </w:r>
          </w:p>
        </w:tc>
        <w:tc>
          <w:tcPr>
            <w:tcW w:w="1740" w:type="dxa"/>
            <w:vAlign w:val="bottom"/>
          </w:tcPr>
          <w:p>
            <w:pPr>
              <w:spacing w:after="0"/>
              <w:rPr>
                <w:sz w:val="24"/>
                <w:szCs w:val="24"/>
                <w:color w:val="auto"/>
              </w:rPr>
            </w:pPr>
          </w:p>
        </w:tc>
        <w:tc>
          <w:tcPr>
            <w:tcW w:w="7740" w:type="dxa"/>
            <w:vAlign w:val="bottom"/>
            <w:vMerge w:val="restart"/>
          </w:tcPr>
          <w:p>
            <w:pPr>
              <w:ind w:left="14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1720" w:type="dxa"/>
            <w:vAlign w:val="bottom"/>
          </w:tcPr>
          <w:p>
            <w:pPr>
              <w:jc w:val="center"/>
              <w:ind w:right="370"/>
              <w:spacing w:after="0"/>
              <w:rPr>
                <w:sz w:val="20"/>
                <w:szCs w:val="20"/>
                <w:color w:val="auto"/>
              </w:rPr>
            </w:pPr>
            <w:r>
              <w:rPr>
                <w:rFonts w:ascii="Arial" w:cs="Arial" w:eastAsia="Arial" w:hAnsi="Arial"/>
                <w:sz w:val="18"/>
                <w:szCs w:val="18"/>
                <w:color w:val="auto"/>
                <w:w w:val="85"/>
              </w:rPr>
              <w:t>31.1</w:t>
            </w:r>
          </w:p>
        </w:tc>
        <w:tc>
          <w:tcPr>
            <w:tcW w:w="9480" w:type="dxa"/>
            <w:vAlign w:val="bottom"/>
            <w:gridSpan w:val="2"/>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540"/>
        </w:trPr>
        <w:tc>
          <w:tcPr>
            <w:tcW w:w="1720" w:type="dxa"/>
            <w:vAlign w:val="bottom"/>
          </w:tcPr>
          <w:p>
            <w:pPr>
              <w:jc w:val="center"/>
              <w:ind w:right="370"/>
              <w:spacing w:after="0"/>
              <w:rPr>
                <w:sz w:val="20"/>
                <w:szCs w:val="20"/>
                <w:color w:val="auto"/>
              </w:rPr>
            </w:pPr>
            <w:r>
              <w:rPr>
                <w:rFonts w:ascii="Arial" w:cs="Arial" w:eastAsia="Arial" w:hAnsi="Arial"/>
                <w:sz w:val="18"/>
                <w:szCs w:val="18"/>
                <w:color w:val="auto"/>
                <w:w w:val="85"/>
              </w:rPr>
              <w:t>31.2</w:t>
            </w:r>
          </w:p>
        </w:tc>
        <w:tc>
          <w:tcPr>
            <w:tcW w:w="9480" w:type="dxa"/>
            <w:vAlign w:val="bottom"/>
            <w:gridSpan w:val="2"/>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500"/>
        </w:trPr>
        <w:tc>
          <w:tcPr>
            <w:tcW w:w="1720" w:type="dxa"/>
            <w:vAlign w:val="bottom"/>
          </w:tcPr>
          <w:p>
            <w:pPr>
              <w:jc w:val="center"/>
              <w:ind w:right="370"/>
              <w:spacing w:after="0"/>
              <w:rPr>
                <w:sz w:val="20"/>
                <w:szCs w:val="20"/>
                <w:color w:val="auto"/>
              </w:rPr>
            </w:pPr>
            <w:r>
              <w:rPr>
                <w:rFonts w:ascii="Arial" w:cs="Arial" w:eastAsia="Arial" w:hAnsi="Arial"/>
                <w:sz w:val="18"/>
                <w:szCs w:val="18"/>
                <w:color w:val="auto"/>
                <w:w w:val="85"/>
              </w:rPr>
              <w:t>32.1</w:t>
            </w:r>
          </w:p>
        </w:tc>
        <w:tc>
          <w:tcPr>
            <w:tcW w:w="948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Certification by Chief Executive Officer of Periodic Financial Reports pursuant to Section 906 of the Sarbanes-Oxley Act of 2002,</w:t>
              </w:r>
            </w:hyperlink>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480" w:type="dxa"/>
            <w:vAlign w:val="bottom"/>
            <w:gridSpan w:val="2"/>
          </w:tcPr>
          <w:p>
            <w:pPr>
              <w:spacing w:after="0" w:line="196" w:lineRule="exact"/>
              <w:rPr>
                <w:rFonts w:ascii="Arial" w:cs="Arial" w:eastAsia="Arial" w:hAnsi="Arial"/>
                <w:sz w:val="18"/>
                <w:szCs w:val="18"/>
                <w:color w:val="0000FF"/>
              </w:rPr>
            </w:pPr>
            <w:hyperlink w:anchor="page39">
              <w:r>
                <w:rPr>
                  <w:rFonts w:ascii="Arial" w:cs="Arial" w:eastAsia="Arial" w:hAnsi="Arial"/>
                  <w:sz w:val="18"/>
                  <w:szCs w:val="18"/>
                  <w:color w:val="0000FF"/>
                </w:rPr>
                <w:t>18 U.S.C. Section 1350.</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720" w:type="dxa"/>
            <w:vAlign w:val="bottom"/>
          </w:tcPr>
          <w:p>
            <w:pPr>
              <w:jc w:val="center"/>
              <w:ind w:right="370"/>
              <w:spacing w:after="0"/>
              <w:rPr>
                <w:sz w:val="20"/>
                <w:szCs w:val="20"/>
                <w:color w:val="auto"/>
              </w:rPr>
            </w:pPr>
            <w:r>
              <w:rPr>
                <w:rFonts w:ascii="Arial" w:cs="Arial" w:eastAsia="Arial" w:hAnsi="Arial"/>
                <w:sz w:val="18"/>
                <w:szCs w:val="18"/>
                <w:color w:val="auto"/>
                <w:w w:val="85"/>
              </w:rPr>
              <w:t>32.2</w:t>
            </w:r>
          </w:p>
        </w:tc>
        <w:tc>
          <w:tcPr>
            <w:tcW w:w="948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40">
              <w:r>
                <w:rPr>
                  <w:rFonts w:ascii="Arial" w:cs="Arial" w:eastAsia="Arial" w:hAnsi="Arial"/>
                  <w:sz w:val="18"/>
                  <w:szCs w:val="18"/>
                  <w:color w:val="0000FF"/>
                  <w:w w:val="93"/>
                </w:rPr>
                <w:t>Certification by Chief Financial Officer of Periodic Financial Reports pursuant to Section 906 of the Sarbanes-Oxley Act of 2002,</w:t>
              </w:r>
            </w:hyperlink>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9480" w:type="dxa"/>
            <w:vAlign w:val="bottom"/>
            <w:gridSpan w:val="2"/>
          </w:tcPr>
          <w:p>
            <w:pPr>
              <w:spacing w:after="0" w:line="196" w:lineRule="exact"/>
              <w:rPr>
                <w:rFonts w:ascii="Arial" w:cs="Arial" w:eastAsia="Arial" w:hAnsi="Arial"/>
                <w:sz w:val="18"/>
                <w:szCs w:val="18"/>
                <w:color w:val="0000FF"/>
              </w:rPr>
            </w:pPr>
            <w:hyperlink w:anchor="page40">
              <w:r>
                <w:rPr>
                  <w:rFonts w:ascii="Arial" w:cs="Arial" w:eastAsia="Arial" w:hAnsi="Arial"/>
                  <w:sz w:val="18"/>
                  <w:szCs w:val="18"/>
                  <w:color w:val="0000FF"/>
                </w:rPr>
                <w:t>18 U.S.C. Section 1350.</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20" w:type="dxa"/>
            <w:vAlign w:val="bottom"/>
          </w:tcPr>
          <w:p>
            <w:pPr>
              <w:jc w:val="center"/>
              <w:ind w:right="370"/>
              <w:spacing w:after="0"/>
              <w:rPr>
                <w:sz w:val="20"/>
                <w:szCs w:val="20"/>
                <w:color w:val="auto"/>
              </w:rPr>
            </w:pPr>
            <w:r>
              <w:rPr>
                <w:rFonts w:ascii="Arial" w:cs="Arial" w:eastAsia="Arial" w:hAnsi="Arial"/>
                <w:sz w:val="18"/>
                <w:szCs w:val="18"/>
                <w:color w:val="auto"/>
                <w:w w:val="95"/>
              </w:rPr>
              <w:t>101.INS</w:t>
            </w:r>
          </w:p>
        </w:tc>
        <w:tc>
          <w:tcPr>
            <w:tcW w:w="9480" w:type="dxa"/>
            <w:vAlign w:val="bottom"/>
            <w:gridSpan w:val="2"/>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405"/>
        </w:trPr>
        <w:tc>
          <w:tcPr>
            <w:tcW w:w="1720" w:type="dxa"/>
            <w:vAlign w:val="bottom"/>
          </w:tcPr>
          <w:p>
            <w:pPr>
              <w:jc w:val="center"/>
              <w:ind w:right="370"/>
              <w:spacing w:after="0"/>
              <w:rPr>
                <w:sz w:val="20"/>
                <w:szCs w:val="20"/>
                <w:color w:val="auto"/>
              </w:rPr>
            </w:pPr>
            <w:r>
              <w:rPr>
                <w:rFonts w:ascii="Arial" w:cs="Arial" w:eastAsia="Arial" w:hAnsi="Arial"/>
                <w:sz w:val="18"/>
                <w:szCs w:val="18"/>
                <w:color w:val="auto"/>
                <w:w w:val="90"/>
              </w:rPr>
              <w:t>101.SCH</w:t>
            </w:r>
          </w:p>
        </w:tc>
        <w:tc>
          <w:tcPr>
            <w:tcW w:w="948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720" w:type="dxa"/>
            <w:vAlign w:val="bottom"/>
          </w:tcPr>
          <w:p>
            <w:pPr>
              <w:jc w:val="center"/>
              <w:ind w:right="370"/>
              <w:spacing w:after="0"/>
              <w:rPr>
                <w:sz w:val="20"/>
                <w:szCs w:val="20"/>
                <w:color w:val="auto"/>
              </w:rPr>
            </w:pPr>
            <w:r>
              <w:rPr>
                <w:rFonts w:ascii="Arial" w:cs="Arial" w:eastAsia="Arial" w:hAnsi="Arial"/>
                <w:sz w:val="18"/>
                <w:szCs w:val="18"/>
                <w:color w:val="auto"/>
                <w:w w:val="94"/>
              </w:rPr>
              <w:t>101.CAL</w:t>
            </w:r>
          </w:p>
        </w:tc>
        <w:tc>
          <w:tcPr>
            <w:tcW w:w="948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1720" w:type="dxa"/>
            <w:vAlign w:val="bottom"/>
          </w:tcPr>
          <w:p>
            <w:pPr>
              <w:jc w:val="center"/>
              <w:ind w:right="370"/>
              <w:spacing w:after="0"/>
              <w:rPr>
                <w:sz w:val="20"/>
                <w:szCs w:val="20"/>
                <w:color w:val="auto"/>
              </w:rPr>
            </w:pPr>
            <w:r>
              <w:rPr>
                <w:rFonts w:ascii="Arial" w:cs="Arial" w:eastAsia="Arial" w:hAnsi="Arial"/>
                <w:sz w:val="18"/>
                <w:szCs w:val="18"/>
                <w:color w:val="auto"/>
                <w:w w:val="92"/>
              </w:rPr>
              <w:t>101.DEF</w:t>
            </w:r>
          </w:p>
        </w:tc>
        <w:tc>
          <w:tcPr>
            <w:tcW w:w="948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1720" w:type="dxa"/>
            <w:vAlign w:val="bottom"/>
          </w:tcPr>
          <w:p>
            <w:pPr>
              <w:jc w:val="center"/>
              <w:ind w:right="370"/>
              <w:spacing w:after="0"/>
              <w:rPr>
                <w:sz w:val="20"/>
                <w:szCs w:val="20"/>
                <w:color w:val="auto"/>
              </w:rPr>
            </w:pPr>
            <w:r>
              <w:rPr>
                <w:rFonts w:ascii="Arial" w:cs="Arial" w:eastAsia="Arial" w:hAnsi="Arial"/>
                <w:sz w:val="18"/>
                <w:szCs w:val="18"/>
                <w:color w:val="auto"/>
                <w:w w:val="91"/>
              </w:rPr>
              <w:t>101.PRE</w:t>
            </w:r>
          </w:p>
        </w:tc>
        <w:tc>
          <w:tcPr>
            <w:tcW w:w="948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91"/>
        </w:trPr>
        <w:tc>
          <w:tcPr>
            <w:tcW w:w="1720" w:type="dxa"/>
            <w:vAlign w:val="bottom"/>
          </w:tcPr>
          <w:p>
            <w:pPr>
              <w:jc w:val="center"/>
              <w:ind w:right="370"/>
              <w:spacing w:after="0"/>
              <w:rPr>
                <w:sz w:val="20"/>
                <w:szCs w:val="20"/>
                <w:color w:val="auto"/>
              </w:rPr>
            </w:pPr>
            <w:r>
              <w:rPr>
                <w:rFonts w:ascii="Arial" w:cs="Arial" w:eastAsia="Arial" w:hAnsi="Arial"/>
                <w:sz w:val="18"/>
                <w:szCs w:val="18"/>
                <w:color w:val="auto"/>
                <w:w w:val="95"/>
              </w:rPr>
              <w:t>101.LAB</w:t>
            </w:r>
          </w:p>
        </w:tc>
        <w:tc>
          <w:tcPr>
            <w:tcW w:w="948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720" w:hanging="1226"/>
        <w:spacing w:after="0"/>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 instance document does not appear in the interactive data file because its XBRL tags are embedded within the inline XBRL document.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Date: May 8, 2020</w:t>
            </w:r>
          </w:p>
        </w:tc>
        <w:tc>
          <w:tcPr>
            <w:tcW w:w="6760" w:type="dxa"/>
            <w:vAlign w:val="bottom"/>
            <w:gridSpan w:val="2"/>
          </w:tcPr>
          <w:p>
            <w:pPr>
              <w:ind w:left="1620"/>
              <w:spacing w:after="0"/>
              <w:rPr>
                <w:sz w:val="20"/>
                <w:szCs w:val="20"/>
                <w:color w:val="auto"/>
              </w:rPr>
            </w:pPr>
            <w:r>
              <w:rPr>
                <w:rFonts w:ascii="Arial" w:cs="Arial" w:eastAsia="Arial" w:hAnsi="Arial"/>
                <w:sz w:val="18"/>
                <w:szCs w:val="18"/>
                <w:color w:val="auto"/>
              </w:rPr>
              <w:t>CANNAE HOLDINGS, INC.</w:t>
            </w:r>
          </w:p>
        </w:tc>
      </w:tr>
      <w:tr>
        <w:trPr>
          <w:trHeight w:val="230"/>
        </w:trPr>
        <w:tc>
          <w:tcPr>
            <w:tcW w:w="2980" w:type="dxa"/>
            <w:vAlign w:val="bottom"/>
          </w:tcPr>
          <w:p>
            <w:pPr>
              <w:spacing w:after="0"/>
              <w:rPr>
                <w:sz w:val="20"/>
                <w:szCs w:val="20"/>
                <w:color w:val="auto"/>
              </w:rPr>
            </w:pPr>
          </w:p>
        </w:tc>
        <w:tc>
          <w:tcPr>
            <w:tcW w:w="6760" w:type="dxa"/>
            <w:vAlign w:val="bottom"/>
            <w:gridSpan w:val="2"/>
          </w:tcPr>
          <w:p>
            <w:pPr>
              <w:ind w:left="1620"/>
              <w:spacing w:after="0"/>
              <w:rPr>
                <w:sz w:val="20"/>
                <w:szCs w:val="20"/>
                <w:color w:val="auto"/>
              </w:rPr>
            </w:pPr>
            <w:r>
              <w:rPr>
                <w:rFonts w:ascii="Arial" w:cs="Arial" w:eastAsia="Arial" w:hAnsi="Arial"/>
                <w:sz w:val="18"/>
                <w:szCs w:val="18"/>
                <w:color w:val="auto"/>
              </w:rPr>
              <w:t>(registrant)</w:t>
            </w:r>
          </w:p>
        </w:tc>
      </w:tr>
      <w:tr>
        <w:trPr>
          <w:trHeight w:val="486"/>
        </w:trPr>
        <w:tc>
          <w:tcPr>
            <w:tcW w:w="2980" w:type="dxa"/>
            <w:vAlign w:val="bottom"/>
          </w:tcPr>
          <w:p>
            <w:pPr>
              <w:spacing w:after="0"/>
              <w:rPr>
                <w:sz w:val="24"/>
                <w:szCs w:val="24"/>
                <w:color w:val="auto"/>
              </w:rPr>
            </w:pPr>
          </w:p>
        </w:tc>
        <w:tc>
          <w:tcPr>
            <w:tcW w:w="6760" w:type="dxa"/>
            <w:vAlign w:val="bottom"/>
            <w:gridSpan w:val="2"/>
          </w:tcPr>
          <w:p>
            <w:pPr>
              <w:ind w:left="1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Richard L. Cox</w:t>
            </w:r>
          </w:p>
        </w:tc>
      </w:tr>
      <w:tr>
        <w:trPr>
          <w:trHeight w:val="27"/>
        </w:trPr>
        <w:tc>
          <w:tcPr>
            <w:tcW w:w="2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Richard L. Cox</w:t>
            </w:r>
          </w:p>
        </w:tc>
      </w:tr>
      <w:tr>
        <w:trPr>
          <w:trHeight w:val="256"/>
        </w:trPr>
        <w:tc>
          <w:tcPr>
            <w:tcW w:w="29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29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2980" w:type="dxa"/>
            <w:vAlign w:val="bottom"/>
          </w:tcPr>
          <w:p>
            <w:pPr>
              <w:spacing w:after="0"/>
              <w:rPr>
                <w:sz w:val="24"/>
                <w:szCs w:val="24"/>
                <w:color w:val="auto"/>
              </w:rPr>
            </w:pPr>
          </w:p>
        </w:tc>
        <w:tc>
          <w:tcPr>
            <w:tcW w:w="6760" w:type="dxa"/>
            <w:vAlign w:val="bottom"/>
            <w:gridSpan w:val="2"/>
          </w:tcPr>
          <w:p>
            <w:pPr>
              <w:ind w:left="206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120"/>
          </w:cols>
          <w:pgMar w:left="320" w:top="121" w:right="4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Richard N. Massey, certify that:</w:t>
      </w:r>
    </w:p>
    <w:p>
      <w:pPr>
        <w:spacing w:after="0" w:line="15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8"/>
        <w:spacing w:after="0" w:line="277"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1460" w:hanging="966"/>
        <w:spacing w:after="0" w:line="263"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460" w:hanging="966"/>
        <w:spacing w:after="0" w:line="342" w:lineRule="auto"/>
        <w:tabs>
          <w:tab w:leader="none" w:pos="14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3"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Richard N.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217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Richard N. Massey</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55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Richard L. Cox, certify that:</w:t>
      </w:r>
    </w:p>
    <w:p>
      <w:pPr>
        <w:spacing w:after="0" w:line="15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1460" w:hanging="966"/>
        <w:spacing w:after="0" w:line="263"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460" w:hanging="966"/>
        <w:spacing w:after="0" w:line="342" w:lineRule="auto"/>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3"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L.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21774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Richard L. Cox</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5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23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Cannae Holdings,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58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8, 2020</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/s/Richard N.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3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Richard N. Massey</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76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right="20" w:firstLine="239"/>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58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8, 2020</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Richard L.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3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Richard L. Cox</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lvl w:ilvl="1">
      <w:lvlJc w:val="left"/>
      <w:lvlText w:val="%2"/>
      <w:numFmt w:val="decimal"/>
      <w:start w:val="104"/>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2020-05-08T14:03:04Z</dcterms:created>
  <dcterms:modified xsi:type="dcterms:W3CDTF">2020-05-08T14:03:04Z</dcterms:modified>
</cp:coreProperties>
</file>