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454660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411480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1" w:lineRule="exact"/>
        <w:rPr>
          <w:sz w:val="24"/>
          <w:szCs w:val="24"/>
          <w:color w:val="auto"/>
        </w:rPr>
      </w:pPr>
    </w:p>
    <w:p>
      <w:pPr>
        <w:ind w:left="3660" w:right="400" w:hanging="3267"/>
        <w:spacing w:after="0" w:line="407" w:lineRule="auto"/>
        <w:tabs>
          <w:tab w:leader="none" w:pos="170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320" w:right="380" w:hanging="3927"/>
        <w:spacing w:after="0" w:line="368" w:lineRule="auto"/>
        <w:tabs>
          <w:tab w:leader="none" w:pos="17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1-38300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CANNAE HOLDINGS, INC.</w:t>
      </w:r>
    </w:p>
    <w:p>
      <w:pPr>
        <w:spacing w:after="0" w:line="47" w:lineRule="exact"/>
        <w:rPr>
          <w:sz w:val="24"/>
          <w:szCs w:val="24"/>
          <w:color w:val="auto"/>
        </w:rPr>
      </w:pPr>
    </w:p>
    <w:p>
      <w:pPr>
        <w:ind w:left="15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48"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000" w:type="dxa"/>
            <w:vAlign w:val="bottom"/>
          </w:tcPr>
          <w:p>
            <w:pPr>
              <w:jc w:val="center"/>
              <w:ind w:left="910"/>
              <w:spacing w:after="0"/>
              <w:rPr>
                <w:sz w:val="20"/>
                <w:szCs w:val="20"/>
                <w:color w:val="auto"/>
              </w:rPr>
            </w:pPr>
            <w:r>
              <w:rPr>
                <w:rFonts w:ascii="Arial" w:cs="Arial" w:eastAsia="Arial" w:hAnsi="Arial"/>
                <w:sz w:val="18"/>
                <w:szCs w:val="18"/>
                <w:b w:val="1"/>
                <w:bCs w:val="1"/>
                <w:color w:val="auto"/>
                <w:w w:val="91"/>
              </w:rPr>
              <w:t>Delaware</w:t>
            </w:r>
          </w:p>
        </w:tc>
        <w:tc>
          <w:tcPr>
            <w:tcW w:w="780" w:type="dxa"/>
            <w:vAlign w:val="bottom"/>
          </w:tcPr>
          <w:p>
            <w:pPr>
              <w:spacing w:after="0"/>
              <w:rPr>
                <w:sz w:val="20"/>
                <w:szCs w:val="20"/>
                <w:color w:val="auto"/>
              </w:rPr>
            </w:pPr>
          </w:p>
        </w:tc>
        <w:tc>
          <w:tcPr>
            <w:tcW w:w="6100" w:type="dxa"/>
            <w:vAlign w:val="bottom"/>
            <w:gridSpan w:val="3"/>
          </w:tcPr>
          <w:p>
            <w:pPr>
              <w:jc w:val="right"/>
              <w:ind w:right="2050"/>
              <w:spacing w:after="0"/>
              <w:rPr>
                <w:sz w:val="20"/>
                <w:szCs w:val="20"/>
                <w:color w:val="auto"/>
              </w:rPr>
            </w:pPr>
            <w:r>
              <w:rPr>
                <w:rFonts w:ascii="Arial" w:cs="Arial" w:eastAsia="Arial" w:hAnsi="Arial"/>
                <w:sz w:val="18"/>
                <w:szCs w:val="18"/>
                <w:b w:val="1"/>
                <w:bCs w:val="1"/>
                <w:color w:val="auto"/>
              </w:rPr>
              <w:t>82-1273460</w:t>
            </w:r>
          </w:p>
        </w:tc>
      </w:tr>
      <w:tr>
        <w:trPr>
          <w:trHeight w:val="169"/>
        </w:trPr>
        <w:tc>
          <w:tcPr>
            <w:tcW w:w="4000" w:type="dxa"/>
            <w:vAlign w:val="bottom"/>
            <w:tcBorders>
              <w:top w:val="single" w:sz="8" w:color="auto"/>
            </w:tcBorders>
          </w:tcPr>
          <w:p>
            <w:pPr>
              <w:jc w:val="center"/>
              <w:ind w:left="910"/>
              <w:spacing w:after="0" w:line="169" w:lineRule="exact"/>
              <w:rPr>
                <w:sz w:val="20"/>
                <w:szCs w:val="20"/>
                <w:color w:val="auto"/>
              </w:rPr>
            </w:pPr>
            <w:r>
              <w:rPr>
                <w:rFonts w:ascii="Arial" w:cs="Arial" w:eastAsia="Arial" w:hAnsi="Arial"/>
                <w:sz w:val="18"/>
                <w:szCs w:val="18"/>
                <w:color w:val="auto"/>
                <w:w w:val="92"/>
              </w:rPr>
              <w:t>(State or other jurisdiction of</w:t>
            </w: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1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(I.R.S. Employer</w:t>
            </w:r>
          </w:p>
        </w:tc>
      </w:tr>
      <w:tr>
        <w:trPr>
          <w:trHeight w:val="230"/>
        </w:trPr>
        <w:tc>
          <w:tcPr>
            <w:tcW w:w="4000" w:type="dxa"/>
            <w:vAlign w:val="bottom"/>
          </w:tcPr>
          <w:p>
            <w:pPr>
              <w:jc w:val="center"/>
              <w:ind w:left="910"/>
              <w:spacing w:after="0"/>
              <w:rPr>
                <w:sz w:val="20"/>
                <w:szCs w:val="20"/>
                <w:color w:val="auto"/>
              </w:rPr>
            </w:pPr>
            <w:r>
              <w:rPr>
                <w:rFonts w:ascii="Arial" w:cs="Arial" w:eastAsia="Arial" w:hAnsi="Arial"/>
                <w:sz w:val="18"/>
                <w:szCs w:val="18"/>
                <w:color w:val="auto"/>
                <w:w w:val="92"/>
              </w:rPr>
              <w:t>incorporation or organization)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72"/>
        </w:trPr>
        <w:tc>
          <w:tcPr>
            <w:tcW w:w="4000" w:type="dxa"/>
            <w:vAlign w:val="bottom"/>
          </w:tcPr>
          <w:p>
            <w:pPr>
              <w:ind w:left="580"/>
              <w:spacing w:after="0"/>
              <w:rPr>
                <w:sz w:val="20"/>
                <w:szCs w:val="20"/>
                <w:color w:val="auto"/>
              </w:rPr>
            </w:pPr>
            <w:r>
              <w:rPr>
                <w:rFonts w:ascii="Arial" w:cs="Arial" w:eastAsia="Arial" w:hAnsi="Arial"/>
                <w:sz w:val="18"/>
                <w:szCs w:val="18"/>
                <w:b w:val="1"/>
                <w:bCs w:val="1"/>
                <w:color w:val="auto"/>
              </w:rPr>
              <w:t>1701 Village Center Circle,  Las Vegas,</w:t>
            </w:r>
          </w:p>
        </w:tc>
        <w:tc>
          <w:tcPr>
            <w:tcW w:w="780" w:type="dxa"/>
            <w:vAlign w:val="bottom"/>
          </w:tcPr>
          <w:p>
            <w:pPr>
              <w:ind w:left="80"/>
              <w:spacing w:after="0"/>
              <w:rPr>
                <w:sz w:val="20"/>
                <w:szCs w:val="20"/>
                <w:color w:val="auto"/>
              </w:rPr>
            </w:pPr>
            <w:r>
              <w:rPr>
                <w:rFonts w:ascii="Arial" w:cs="Arial" w:eastAsia="Arial" w:hAnsi="Arial"/>
                <w:sz w:val="18"/>
                <w:szCs w:val="18"/>
                <w:b w:val="1"/>
                <w:bCs w:val="1"/>
                <w:color w:val="auto"/>
              </w:rPr>
              <w:t>Nevada</w:t>
            </w:r>
          </w:p>
        </w:tc>
        <w:tc>
          <w:tcPr>
            <w:tcW w:w="6100" w:type="dxa"/>
            <w:vAlign w:val="bottom"/>
            <w:gridSpan w:val="3"/>
          </w:tcPr>
          <w:p>
            <w:pPr>
              <w:jc w:val="right"/>
              <w:ind w:right="2250"/>
              <w:spacing w:after="0"/>
              <w:rPr>
                <w:sz w:val="20"/>
                <w:szCs w:val="20"/>
                <w:color w:val="auto"/>
              </w:rPr>
            </w:pPr>
            <w:r>
              <w:rPr>
                <w:rFonts w:ascii="Arial" w:cs="Arial" w:eastAsia="Arial" w:hAnsi="Arial"/>
                <w:sz w:val="18"/>
                <w:szCs w:val="18"/>
                <w:b w:val="1"/>
                <w:bCs w:val="1"/>
                <w:color w:val="auto"/>
              </w:rPr>
              <w:t>89134</w:t>
            </w:r>
          </w:p>
        </w:tc>
      </w:tr>
      <w:tr>
        <w:trPr>
          <w:trHeight w:val="224"/>
        </w:trPr>
        <w:tc>
          <w:tcPr>
            <w:tcW w:w="4000" w:type="dxa"/>
            <w:vAlign w:val="bottom"/>
            <w:tcBorders>
              <w:top w:val="single" w:sz="8" w:color="auto"/>
            </w:tcBorders>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10"/>
        </w:trPr>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gridSpan w:val="3"/>
          </w:tcPr>
          <w:p>
            <w:pPr>
              <w:jc w:val="right"/>
              <w:ind w:right="4790"/>
              <w:spacing w:after="0"/>
              <w:rPr>
                <w:sz w:val="20"/>
                <w:szCs w:val="20"/>
                <w:color w:val="auto"/>
              </w:rPr>
            </w:pPr>
            <w:r>
              <w:rPr>
                <w:rFonts w:ascii="Arial" w:cs="Arial" w:eastAsia="Arial" w:hAnsi="Arial"/>
                <w:sz w:val="18"/>
                <w:szCs w:val="18"/>
                <w:b w:val="1"/>
                <w:bCs w:val="1"/>
                <w:color w:val="auto"/>
                <w:w w:val="97"/>
              </w:rPr>
              <w:t>(702) 323-7330</w:t>
            </w:r>
          </w:p>
        </w:tc>
      </w:tr>
    </w:tbl>
    <w:p>
      <w:pPr>
        <w:spacing w:after="0" w:line="4" w:lineRule="exact"/>
        <w:rPr>
          <w:sz w:val="24"/>
          <w:szCs w:val="24"/>
          <w:color w:val="auto"/>
        </w:rPr>
      </w:pPr>
    </w:p>
    <w:p>
      <w:pPr>
        <w:ind w:left="382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720" w:type="dxa"/>
            <w:vAlign w:val="bottom"/>
            <w:gridSpan w:val="2"/>
          </w:tcPr>
          <w:p>
            <w:pPr>
              <w:jc w:val="center"/>
              <w:ind w:right="1500"/>
              <w:spacing w:after="0"/>
              <w:rPr>
                <w:sz w:val="20"/>
                <w:szCs w:val="20"/>
                <w:color w:val="auto"/>
              </w:rPr>
            </w:pPr>
            <w:r>
              <w:rPr>
                <w:rFonts w:ascii="Arial" w:cs="Arial" w:eastAsia="Arial" w:hAnsi="Arial"/>
                <w:sz w:val="16"/>
                <w:szCs w:val="16"/>
                <w:color w:val="auto"/>
                <w:w w:val="91"/>
              </w:rPr>
              <w:t>Title of Each Class</w:t>
            </w:r>
          </w:p>
        </w:tc>
        <w:tc>
          <w:tcPr>
            <w:tcW w:w="2220" w:type="dxa"/>
            <w:vAlign w:val="bottom"/>
            <w:gridSpan w:val="3"/>
          </w:tcPr>
          <w:p>
            <w:pPr>
              <w:jc w:val="center"/>
              <w:ind w:right="240"/>
              <w:spacing w:after="0"/>
              <w:rPr>
                <w:sz w:val="20"/>
                <w:szCs w:val="20"/>
                <w:color w:val="auto"/>
              </w:rPr>
            </w:pPr>
            <w:r>
              <w:rPr>
                <w:rFonts w:ascii="Arial" w:cs="Arial" w:eastAsia="Arial" w:hAnsi="Arial"/>
                <w:sz w:val="16"/>
                <w:szCs w:val="16"/>
                <w:color w:val="auto"/>
                <w:w w:val="94"/>
              </w:rPr>
              <w:t>Trading Symbol</w:t>
            </w:r>
          </w:p>
        </w:tc>
        <w:tc>
          <w:tcPr>
            <w:tcW w:w="3700" w:type="dxa"/>
            <w:vAlign w:val="bottom"/>
            <w:gridSpan w:val="2"/>
          </w:tcPr>
          <w:p>
            <w:pPr>
              <w:jc w:val="center"/>
              <w:ind w:left="599"/>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0"/>
        </w:trPr>
        <w:tc>
          <w:tcPr>
            <w:tcW w:w="37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Cannae Common Stock, $0.0001 par value</w:t>
            </w:r>
          </w:p>
        </w:tc>
        <w:tc>
          <w:tcPr>
            <w:tcW w:w="460" w:type="dxa"/>
            <w:vAlign w:val="bottom"/>
          </w:tcPr>
          <w:p>
            <w:pPr>
              <w:spacing w:after="0"/>
              <w:rPr>
                <w:sz w:val="21"/>
                <w:szCs w:val="21"/>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7"/>
              </w:rPr>
              <w:t>CNNE</w:t>
            </w:r>
          </w:p>
        </w:tc>
        <w:tc>
          <w:tcPr>
            <w:tcW w:w="680" w:type="dxa"/>
            <w:vAlign w:val="bottom"/>
          </w:tcPr>
          <w:p>
            <w:pPr>
              <w:spacing w:after="0"/>
              <w:rPr>
                <w:sz w:val="21"/>
                <w:szCs w:val="21"/>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00" w:lineRule="exact"/>
        <w:rPr>
          <w:sz w:val="24"/>
          <w:szCs w:val="24"/>
          <w:color w:val="auto"/>
        </w:rPr>
      </w:pPr>
    </w:p>
    <w:p>
      <w:pPr>
        <w:spacing w:after="0" w:line="245"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8"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570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Non-accelerated filer </w:t>
            </w:r>
            <w:r>
              <w:rPr>
                <w:rFonts w:ascii="MS PGothic" w:cs="MS PGothic" w:eastAsia="MS PGothic" w:hAnsi="MS PGothic"/>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294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5700" w:type="dxa"/>
            <w:vAlign w:val="bottom"/>
            <w:vMerge w:val="continue"/>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340" w:right="16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31, 2022 there were 78,020,290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SEPTEMBER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0040" w:type="dxa"/>
            <w:vAlign w:val="bottom"/>
            <w:gridSpan w:val="18"/>
            <w:vMerge w:val="restart"/>
          </w:tcPr>
          <w:p>
            <w:pPr>
              <w:spacing w:after="0"/>
              <w:rPr>
                <w:sz w:val="20"/>
                <w:szCs w:val="20"/>
                <w:color w:val="auto"/>
              </w:rPr>
            </w:pPr>
            <w:r>
              <w:rPr>
                <w:rFonts w:ascii="Arial" w:cs="Arial" w:eastAsia="Arial" w:hAnsi="Arial"/>
                <w:sz w:val="18"/>
                <w:szCs w:val="18"/>
                <w:color w:val="0000FF"/>
              </w:rPr>
              <w:t>Part I: FINANCIAL INFORMATION</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40" w:type="dxa"/>
            <w:vAlign w:val="bottom"/>
            <w:gridSpan w:val="18"/>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1.</w:t>
            </w:r>
          </w:p>
        </w:tc>
        <w:tc>
          <w:tcPr>
            <w:tcW w:w="9300" w:type="dxa"/>
            <w:vAlign w:val="bottom"/>
            <w:gridSpan w:val="15"/>
          </w:tcPr>
          <w:p>
            <w:pPr>
              <w:ind w:left="20"/>
              <w:spacing w:after="0"/>
              <w:rPr>
                <w:sz w:val="20"/>
                <w:szCs w:val="20"/>
                <w:color w:val="auto"/>
              </w:rPr>
            </w:pPr>
            <w:r>
              <w:rPr>
                <w:rFonts w:ascii="Arial" w:cs="Arial" w:eastAsia="Arial" w:hAnsi="Arial"/>
                <w:sz w:val="18"/>
                <w:szCs w:val="18"/>
                <w:color w:val="0000FF"/>
              </w:rPr>
              <w:t>Unaudited Condensed Consolidated Financial Statements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gridSpan w:val="16"/>
          </w:tcPr>
          <w:p>
            <w:pPr>
              <w:spacing w:after="0"/>
              <w:rPr>
                <w:sz w:val="20"/>
                <w:szCs w:val="20"/>
                <w:color w:val="auto"/>
              </w:rPr>
            </w:pPr>
            <w:r>
              <w:rPr>
                <w:rFonts w:ascii="Arial" w:cs="Arial" w:eastAsia="Arial" w:hAnsi="Arial"/>
                <w:sz w:val="18"/>
                <w:szCs w:val="18"/>
                <w:color w:val="0000FF"/>
              </w:rPr>
              <w:t>A. Condensed Consolidated Balance Sheets as of September 30, 2022 and December 31, 2021</w:t>
            </w: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20" w:type="dxa"/>
            <w:vAlign w:val="bottom"/>
            <w:gridSpan w:val="14"/>
          </w:tcPr>
          <w:p>
            <w:pPr>
              <w:spacing w:after="0"/>
              <w:rPr>
                <w:sz w:val="20"/>
                <w:szCs w:val="20"/>
                <w:color w:val="auto"/>
              </w:rPr>
            </w:pPr>
            <w:r>
              <w:rPr>
                <w:rFonts w:ascii="Arial" w:cs="Arial" w:eastAsia="Arial" w:hAnsi="Arial"/>
                <w:sz w:val="18"/>
                <w:szCs w:val="18"/>
                <w:color w:val="0000FF"/>
                <w:w w:val="89"/>
              </w:rPr>
              <w:t>B. Condensed Consolidated Statements of Operations for the three and nine-month periods ended September 30, 2022 and 2021</w:t>
            </w:r>
          </w:p>
        </w:tc>
        <w:tc>
          <w:tcPr>
            <w:tcW w:w="320" w:type="dxa"/>
            <w:vAlign w:val="bottom"/>
            <w:gridSpan w:val="2"/>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40" w:type="dxa"/>
            <w:vAlign w:val="bottom"/>
            <w:gridSpan w:val="16"/>
          </w:tcPr>
          <w:p>
            <w:pPr>
              <w:spacing w:after="0"/>
              <w:rPr>
                <w:sz w:val="20"/>
                <w:szCs w:val="20"/>
                <w:color w:val="auto"/>
              </w:rPr>
            </w:pPr>
            <w:r>
              <w:rPr>
                <w:rFonts w:ascii="Arial" w:cs="Arial" w:eastAsia="Arial" w:hAnsi="Arial"/>
                <w:sz w:val="18"/>
                <w:szCs w:val="18"/>
                <w:color w:val="0000FF"/>
                <w:w w:val="90"/>
              </w:rPr>
              <w:t>C. Condensed Consolidated Statements of Comprehensive (Loss) Earnings for the three and nine-month periods ended September</w:t>
            </w:r>
          </w:p>
        </w:tc>
        <w:tc>
          <w:tcPr>
            <w:tcW w:w="11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30, 2022 and 2021</w:t>
            </w:r>
          </w:p>
        </w:tc>
        <w:tc>
          <w:tcPr>
            <w:tcW w:w="7760" w:type="dxa"/>
            <w:vAlign w:val="bottom"/>
            <w:tcBorders>
              <w:top w:val="single" w:sz="8" w:color="0000FF"/>
            </w:tcBorders>
            <w:gridSpan w:val="11"/>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740" w:type="dxa"/>
            <w:vAlign w:val="bottom"/>
            <w:gridSpan w:val="2"/>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2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20" w:type="dxa"/>
            <w:vAlign w:val="bottom"/>
            <w:gridSpan w:val="13"/>
          </w:tcPr>
          <w:p>
            <w:pPr>
              <w:spacing w:after="0"/>
              <w:rPr>
                <w:sz w:val="20"/>
                <w:szCs w:val="20"/>
                <w:color w:val="auto"/>
              </w:rPr>
            </w:pPr>
            <w:r>
              <w:rPr>
                <w:rFonts w:ascii="Arial" w:cs="Arial" w:eastAsia="Arial" w:hAnsi="Arial"/>
                <w:sz w:val="18"/>
                <w:szCs w:val="18"/>
                <w:color w:val="0000FF"/>
                <w:w w:val="89"/>
              </w:rPr>
              <w:t>D. Condensed Consolidated Statements of Equity for the three and nine-month periods ended September 30, 2022 and 2021</w:t>
            </w:r>
          </w:p>
        </w:tc>
        <w:tc>
          <w:tcPr>
            <w:tcW w:w="620" w:type="dxa"/>
            <w:vAlign w:val="bottom"/>
            <w:gridSpan w:val="3"/>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920" w:type="dxa"/>
            <w:vAlign w:val="bottom"/>
            <w:gridSpan w:val="13"/>
          </w:tcPr>
          <w:p>
            <w:pPr>
              <w:spacing w:after="0"/>
              <w:rPr>
                <w:sz w:val="20"/>
                <w:szCs w:val="20"/>
                <w:color w:val="auto"/>
              </w:rPr>
            </w:pPr>
            <w:r>
              <w:rPr>
                <w:rFonts w:ascii="Arial" w:cs="Arial" w:eastAsia="Arial" w:hAnsi="Arial"/>
                <w:sz w:val="18"/>
                <w:szCs w:val="18"/>
                <w:color w:val="0000FF"/>
                <w:w w:val="92"/>
              </w:rPr>
              <w:t>E. Condensed Consolidated Statements of Cash Flows for the nine-month periods ended September 30, 2022 and 2021</w:t>
            </w:r>
          </w:p>
        </w:tc>
        <w:tc>
          <w:tcPr>
            <w:tcW w:w="620" w:type="dxa"/>
            <w:vAlign w:val="bottom"/>
            <w:gridSpan w:val="3"/>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540" w:type="dxa"/>
            <w:vAlign w:val="bottom"/>
            <w:gridSpan w:val="12"/>
          </w:tcPr>
          <w:p>
            <w:pPr>
              <w:spacing w:after="0"/>
              <w:rPr>
                <w:sz w:val="20"/>
                <w:szCs w:val="20"/>
                <w:color w:val="auto"/>
              </w:rPr>
            </w:pPr>
            <w:r>
              <w:rPr>
                <w:rFonts w:ascii="Arial" w:cs="Arial" w:eastAsia="Arial" w:hAnsi="Arial"/>
                <w:sz w:val="18"/>
                <w:szCs w:val="18"/>
                <w:color w:val="0000FF"/>
              </w:rPr>
              <w:t>F. Notes to Condensed Consolidated Financial Statements</w:t>
            </w:r>
          </w:p>
        </w:tc>
        <w:tc>
          <w:tcPr>
            <w:tcW w:w="1000" w:type="dxa"/>
            <w:vAlign w:val="bottom"/>
            <w:gridSpan w:val="4"/>
          </w:tcPr>
          <w:p>
            <w:pPr>
              <w:spacing w:after="0"/>
              <w:rPr>
                <w:sz w:val="18"/>
                <w:szCs w:val="18"/>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020" w:type="dxa"/>
            <w:vAlign w:val="bottom"/>
            <w:gridSpan w:val="12"/>
          </w:tcPr>
          <w:p>
            <w:pPr>
              <w:spacing w:after="0"/>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2820" w:type="dxa"/>
            <w:vAlign w:val="bottom"/>
            <w:gridSpan w:val="5"/>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60" w:type="dxa"/>
            <w:vAlign w:val="bottom"/>
            <w:gridSpan w:val="11"/>
          </w:tcPr>
          <w:p>
            <w:pPr>
              <w:spacing w:after="0"/>
              <w:rPr>
                <w:sz w:val="20"/>
                <w:szCs w:val="20"/>
                <w:color w:val="auto"/>
              </w:rPr>
            </w:pPr>
            <w:r>
              <w:rPr>
                <w:rFonts w:ascii="Arial" w:cs="Arial" w:eastAsia="Arial" w:hAnsi="Arial"/>
                <w:sz w:val="18"/>
                <w:szCs w:val="18"/>
                <w:color w:val="0000FF"/>
                <w:w w:val="92"/>
              </w:rPr>
              <w:t>Item 3. Quantitative and Qualitative Disclosure About Market Risk</w:t>
            </w:r>
          </w:p>
        </w:tc>
        <w:tc>
          <w:tcPr>
            <w:tcW w:w="2160" w:type="dxa"/>
            <w:vAlign w:val="bottom"/>
          </w:tcPr>
          <w:p>
            <w:pPr>
              <w:spacing w:after="0"/>
              <w:rPr>
                <w:sz w:val="18"/>
                <w:szCs w:val="18"/>
                <w:color w:val="auto"/>
              </w:rPr>
            </w:pPr>
          </w:p>
        </w:tc>
        <w:tc>
          <w:tcPr>
            <w:tcW w:w="2820" w:type="dxa"/>
            <w:vAlign w:val="bottom"/>
            <w:gridSpan w:val="5"/>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2340" w:type="dxa"/>
            <w:vAlign w:val="bottom"/>
            <w:gridSpan w:val="7"/>
          </w:tcPr>
          <w:p>
            <w:pPr>
              <w:spacing w:after="0"/>
              <w:rPr>
                <w:sz w:val="20"/>
                <w:szCs w:val="20"/>
                <w:color w:val="auto"/>
              </w:rPr>
            </w:pPr>
            <w:r>
              <w:rPr>
                <w:rFonts w:ascii="Arial" w:cs="Arial" w:eastAsia="Arial" w:hAnsi="Arial"/>
                <w:sz w:val="18"/>
                <w:szCs w:val="18"/>
                <w:color w:val="0000FF"/>
                <w:w w:val="89"/>
              </w:rPr>
              <w:t>Item 4. Controls and Procedures</w:t>
            </w:r>
          </w:p>
        </w:tc>
        <w:tc>
          <w:tcPr>
            <w:tcW w:w="2520" w:type="dxa"/>
            <w:vAlign w:val="bottom"/>
            <w:gridSpan w:val="4"/>
          </w:tcPr>
          <w:p>
            <w:pPr>
              <w:spacing w:after="0"/>
              <w:rPr>
                <w:sz w:val="18"/>
                <w:szCs w:val="18"/>
                <w:color w:val="auto"/>
              </w:rPr>
            </w:pPr>
          </w:p>
        </w:tc>
        <w:tc>
          <w:tcPr>
            <w:tcW w:w="498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Part II: OTHER INFORMATION</w:t>
            </w:r>
          </w:p>
        </w:tc>
        <w:tc>
          <w:tcPr>
            <w:tcW w:w="7600" w:type="dxa"/>
            <w:vAlign w:val="bottom"/>
            <w:gridSpan w:val="11"/>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1.</w:t>
            </w:r>
          </w:p>
        </w:tc>
        <w:tc>
          <w:tcPr>
            <w:tcW w:w="1360" w:type="dxa"/>
            <w:vAlign w:val="bottom"/>
            <w:gridSpan w:val="3"/>
          </w:tcPr>
          <w:p>
            <w:pPr>
              <w:ind w:left="20"/>
              <w:spacing w:after="0"/>
              <w:rPr>
                <w:sz w:val="20"/>
                <w:szCs w:val="20"/>
                <w:color w:val="auto"/>
              </w:rPr>
            </w:pPr>
            <w:r>
              <w:rPr>
                <w:rFonts w:ascii="Arial" w:cs="Arial" w:eastAsia="Arial" w:hAnsi="Arial"/>
                <w:sz w:val="18"/>
                <w:szCs w:val="18"/>
                <w:color w:val="0000FF"/>
                <w:w w:val="88"/>
              </w:rPr>
              <w:t>Legal Proceedings</w:t>
            </w:r>
          </w:p>
        </w:tc>
        <w:tc>
          <w:tcPr>
            <w:tcW w:w="7940" w:type="dxa"/>
            <w:vAlign w:val="bottom"/>
            <w:gridSpan w:val="12"/>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2.</w:t>
            </w:r>
          </w:p>
        </w:tc>
        <w:tc>
          <w:tcPr>
            <w:tcW w:w="4320" w:type="dxa"/>
            <w:vAlign w:val="bottom"/>
            <w:gridSpan w:val="9"/>
          </w:tcPr>
          <w:p>
            <w:pPr>
              <w:ind w:left="20"/>
              <w:spacing w:after="0"/>
              <w:rPr>
                <w:sz w:val="20"/>
                <w:szCs w:val="20"/>
                <w:color w:val="auto"/>
              </w:rPr>
            </w:pPr>
            <w:r>
              <w:rPr>
                <w:rFonts w:ascii="Arial" w:cs="Arial" w:eastAsia="Arial" w:hAnsi="Arial"/>
                <w:sz w:val="18"/>
                <w:szCs w:val="18"/>
                <w:color w:val="0000FF"/>
                <w:w w:val="87"/>
              </w:rPr>
              <w:t>Unregistered Sales of Equity Securities and Use of Proceeds</w:t>
            </w:r>
          </w:p>
        </w:tc>
        <w:tc>
          <w:tcPr>
            <w:tcW w:w="498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6.</w:t>
            </w:r>
          </w:p>
        </w:tc>
        <w:tc>
          <w:tcPr>
            <w:tcW w:w="4320" w:type="dxa"/>
            <w:vAlign w:val="bottom"/>
            <w:gridSpan w:val="9"/>
          </w:tcPr>
          <w:p>
            <w:pPr>
              <w:ind w:left="20"/>
              <w:spacing w:after="0"/>
              <w:rPr>
                <w:sz w:val="20"/>
                <w:szCs w:val="20"/>
                <w:color w:val="auto"/>
              </w:rPr>
            </w:pPr>
            <w:r>
              <w:rPr>
                <w:rFonts w:ascii="Arial" w:cs="Arial" w:eastAsia="Arial" w:hAnsi="Arial"/>
                <w:sz w:val="18"/>
                <w:szCs w:val="18"/>
                <w:color w:val="0000FF"/>
              </w:rPr>
              <w:t>Exhibits</w:t>
            </w:r>
          </w:p>
        </w:tc>
        <w:tc>
          <w:tcPr>
            <w:tcW w:w="4980" w:type="dxa"/>
            <w:vAlign w:val="bottom"/>
            <w:gridSpan w:val="6"/>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8"/>
        </w:trPr>
        <w:tc>
          <w:tcPr>
            <w:tcW w:w="8820" w:type="dxa"/>
            <w:vAlign w:val="bottom"/>
            <w:shd w:val="clear" w:color="auto" w:fill="CCEEFF"/>
          </w:tcPr>
          <w:p>
            <w:pPr>
              <w:jc w:val="center"/>
              <w:ind w:left="2359"/>
              <w:spacing w:after="0"/>
              <w:rPr>
                <w:sz w:val="20"/>
                <w:szCs w:val="20"/>
                <w:color w:val="auto"/>
              </w:rPr>
            </w:pPr>
            <w:r>
              <w:rPr>
                <w:rFonts w:ascii="Arial" w:cs="Arial" w:eastAsia="Arial" w:hAnsi="Arial"/>
                <w:sz w:val="14"/>
                <w:szCs w:val="14"/>
                <w:b w:val="1"/>
                <w:bCs w:val="1"/>
                <w:color w:val="auto"/>
                <w:w w:val="96"/>
              </w:rPr>
              <w:t>ASSETS</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2,261.3</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 at fair value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1,045.1</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Lease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Deferred tax asset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 term investments and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13"/>
        </w:trPr>
        <w:tc>
          <w:tcPr>
            <w:tcW w:w="8820" w:type="dxa"/>
            <w:vAlign w:val="bottom"/>
          </w:tcPr>
          <w:p>
            <w:pPr>
              <w:ind w:left="56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3,889.6</w:t>
            </w:r>
          </w:p>
        </w:tc>
        <w:tc>
          <w:tcPr>
            <w:tcW w:w="0" w:type="dxa"/>
            <w:vAlign w:val="bottom"/>
          </w:tcPr>
          <w:p>
            <w:pPr>
              <w:spacing w:after="0"/>
              <w:rPr>
                <w:sz w:val="1"/>
                <w:szCs w:val="1"/>
                <w:color w:val="auto"/>
              </w:rPr>
            </w:pP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20" w:type="dxa"/>
            <w:vAlign w:val="bottom"/>
            <w:shd w:val="clear" w:color="auto" w:fill="CCEEFF"/>
          </w:tcPr>
          <w:p>
            <w:pPr>
              <w:jc w:val="center"/>
              <w:ind w:left="2339"/>
              <w:spacing w:after="0"/>
              <w:rPr>
                <w:sz w:val="20"/>
                <w:szCs w:val="20"/>
                <w:color w:val="auto"/>
              </w:rPr>
            </w:pPr>
            <w:r>
              <w:rPr>
                <w:rFonts w:ascii="Arial" w:cs="Arial" w:eastAsia="Arial" w:hAnsi="Arial"/>
                <w:sz w:val="14"/>
                <w:szCs w:val="14"/>
                <w:b w:val="1"/>
                <w:bCs w:val="1"/>
                <w:color w:val="auto"/>
              </w:rPr>
              <w:t>LIABILITIES AND EQUITY</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and other accrued liabilities,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liabilities, current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current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7"/>
        </w:trPr>
        <w:tc>
          <w:tcPr>
            <w:tcW w:w="882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179.5</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long term</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Notes payable, long term</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Accounts payable and other accrued liabilities, long term</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548.5</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Commitments and contingencies - see Note F</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820" w:type="dxa"/>
            <w:vAlign w:val="bottom"/>
          </w:tcPr>
          <w:p>
            <w:pPr>
              <w:ind w:left="140"/>
              <w:spacing w:after="0" w:line="166" w:lineRule="exact"/>
              <w:rPr>
                <w:sz w:val="20"/>
                <w:szCs w:val="20"/>
                <w:color w:val="auto"/>
              </w:rPr>
            </w:pPr>
            <w:r>
              <w:rPr>
                <w:rFonts w:ascii="Arial" w:cs="Arial" w:eastAsia="Arial" w:hAnsi="Arial"/>
                <w:sz w:val="16"/>
                <w:szCs w:val="16"/>
                <w:color w:val="auto"/>
                <w:w w:val="97"/>
              </w:rPr>
              <w:t>Cannae common stock, 0.0001 par value; authorized 115,000,000 shares as of September 30, 2022 and December 31, 2021;</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140"/>
              <w:spacing w:after="0" w:line="162" w:lineRule="exact"/>
              <w:rPr>
                <w:sz w:val="20"/>
                <w:szCs w:val="20"/>
                <w:color w:val="auto"/>
              </w:rPr>
            </w:pPr>
            <w:r>
              <w:rPr>
                <w:rFonts w:ascii="Arial" w:cs="Arial" w:eastAsia="Arial" w:hAnsi="Arial"/>
                <w:sz w:val="16"/>
                <w:szCs w:val="16"/>
                <w:color w:val="auto"/>
                <w:w w:val="94"/>
              </w:rPr>
              <w:t>outstanding of 78,519,591 and 86,886,034 shares as of September 30, 2022 and December 31, 2021, respectively, and issued of</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92,519,669 and 92,460,514 shares as of September 30, 2022 and December 31, 2021, respectively</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6"/>
              </w:rPr>
              <w:t>Preferred stock, 0.0001 par value; authorized 10,000,000 shares; issued and outstanding, none as of September 30, 2022 and</w:t>
            </w: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2021</w:t>
            </w: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1,642.8</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1,888.3</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w w:val="95"/>
              </w:rPr>
              <w:t>Less: Treasury stock, 14,000,078 and 5,574,480 shares as of September 30, 2022 and December 31, 2021, respectively, at cost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6"/>
        </w:trPr>
        <w:tc>
          <w:tcPr>
            <w:tcW w:w="8820" w:type="dxa"/>
            <w:vAlign w:val="bottom"/>
          </w:tcPr>
          <w:p>
            <w:pPr>
              <w:ind w:left="360"/>
              <w:spacing w:after="0"/>
              <w:rPr>
                <w:sz w:val="20"/>
                <w:szCs w:val="20"/>
                <w:color w:val="auto"/>
              </w:rPr>
            </w:pPr>
            <w:r>
              <w:rPr>
                <w:rFonts w:ascii="Arial" w:cs="Arial" w:eastAsia="Arial" w:hAnsi="Arial"/>
                <w:sz w:val="16"/>
                <w:szCs w:val="16"/>
                <w:color w:val="auto"/>
              </w:rPr>
              <w:t>Total Cannae shareholders' equity</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3,335.3</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2,725.5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3,341.1</w:t>
            </w:r>
          </w:p>
        </w:tc>
        <w:tc>
          <w:tcPr>
            <w:tcW w:w="0" w:type="dxa"/>
            <w:vAlign w:val="bottom"/>
          </w:tcPr>
          <w:p>
            <w:pPr>
              <w:spacing w:after="0"/>
              <w:rPr>
                <w:sz w:val="1"/>
                <w:szCs w:val="1"/>
                <w:color w:val="auto"/>
              </w:rPr>
            </w:pPr>
          </w:p>
        </w:tc>
      </w:tr>
      <w:tr>
        <w:trPr>
          <w:trHeight w:val="238"/>
        </w:trPr>
        <w:tc>
          <w:tcPr>
            <w:tcW w:w="8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3,889.6</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bottom w:val="single" w:sz="8" w:color="CCEEFF"/>
            </w:tcBorders>
            <w:vMerge w:val="restart"/>
          </w:tcPr>
          <w:p>
            <w:pPr>
              <w:jc w:val="center"/>
              <w:ind w:left="2339"/>
              <w:spacing w:after="0"/>
              <w:rPr>
                <w:sz w:val="20"/>
                <w:szCs w:val="20"/>
                <w:color w:val="auto"/>
              </w:rPr>
            </w:pPr>
            <w:r>
              <w:rPr>
                <w:rFonts w:ascii="Arial" w:cs="Arial" w:eastAsia="Arial" w:hAnsi="Arial"/>
                <w:sz w:val="16"/>
                <w:szCs w:val="16"/>
                <w:color w:val="auto"/>
                <w:w w:val="90"/>
              </w:rPr>
              <w:t>See Notes to Condensed Consolidated Financial Statements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8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1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120" w:type="dxa"/>
            <w:vAlign w:val="bottom"/>
            <w:gridSpan w:val="6"/>
          </w:tcPr>
          <w:p>
            <w:pPr>
              <w:ind w:left="40"/>
              <w:spacing w:after="0"/>
              <w:rPr>
                <w:sz w:val="20"/>
                <w:szCs w:val="20"/>
                <w:color w:val="auto"/>
              </w:rPr>
            </w:pPr>
            <w:r>
              <w:rPr>
                <w:rFonts w:ascii="Arial" w:cs="Arial" w:eastAsia="Arial" w:hAnsi="Arial"/>
                <w:sz w:val="14"/>
                <w:szCs w:val="14"/>
                <w:b w:val="1"/>
                <w:bCs w:val="1"/>
                <w:color w:val="auto"/>
                <w:w w:val="96"/>
              </w:rPr>
              <w:t>Three months ended September</w:t>
            </w:r>
          </w:p>
        </w:tc>
        <w:tc>
          <w:tcPr>
            <w:tcW w:w="204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81"/>
        </w:trPr>
        <w:tc>
          <w:tcPr>
            <w:tcW w:w="6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40"/>
              <w:spacing w:after="0"/>
              <w:rPr>
                <w:sz w:val="20"/>
                <w:szCs w:val="20"/>
                <w:color w:val="auto"/>
              </w:rPr>
            </w:pPr>
            <w:r>
              <w:rPr>
                <w:rFonts w:ascii="Arial" w:cs="Arial" w:eastAsia="Arial" w:hAnsi="Arial"/>
                <w:sz w:val="16"/>
                <w:szCs w:val="16"/>
                <w:color w:val="auto"/>
              </w:rPr>
              <w:t>Restaurant revenue</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154.6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483.4</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532.3</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revenue</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6"/>
        </w:trPr>
        <w:tc>
          <w:tcPr>
            <w:tcW w:w="6760" w:type="dxa"/>
            <w:vAlign w:val="bottom"/>
          </w:tcPr>
          <w:p>
            <w:pPr>
              <w:ind w:left="480"/>
              <w:spacing w:after="0"/>
              <w:rPr>
                <w:sz w:val="20"/>
                <w:szCs w:val="20"/>
                <w:color w:val="auto"/>
              </w:rPr>
            </w:pPr>
            <w:r>
              <w:rPr>
                <w:rFonts w:ascii="Arial" w:cs="Arial" w:eastAsia="Arial" w:hAnsi="Arial"/>
                <w:sz w:val="16"/>
                <w:szCs w:val="16"/>
                <w:color w:val="auto"/>
              </w:rPr>
              <w:t>Total operating revenues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506.4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560.3</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40"/>
              <w:spacing w:after="0"/>
              <w:rPr>
                <w:sz w:val="20"/>
                <w:szCs w:val="20"/>
                <w:color w:val="auto"/>
              </w:rPr>
            </w:pPr>
            <w:r>
              <w:rPr>
                <w:rFonts w:ascii="Arial" w:cs="Arial" w:eastAsia="Arial" w:hAnsi="Arial"/>
                <w:sz w:val="16"/>
                <w:szCs w:val="16"/>
                <w:color w:val="auto"/>
              </w:rPr>
              <w:t>Cost of restaurant revenue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Personnel costs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3"/>
        </w:trPr>
        <w:tc>
          <w:tcPr>
            <w:tcW w:w="676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06"/>
        </w:trPr>
        <w:tc>
          <w:tcPr>
            <w:tcW w:w="67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657.3</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loss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193"/>
        </w:trPr>
        <w:tc>
          <w:tcPr>
            <w:tcW w:w="67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investment and other income</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3"/>
        </w:trPr>
        <w:tc>
          <w:tcPr>
            <w:tcW w:w="676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Recognized gains (losses), net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207"/>
        </w:trPr>
        <w:tc>
          <w:tcPr>
            <w:tcW w:w="67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 and equity in (losses) earnings of unconsolidated affiliates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equity in (losses) earnings of unconsolidated affiliates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(losses) earnings of unconsolidated affiliates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(loss) earnings attributable to noncontrolling interests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attributable to Cannae Holdings, Inc. common shareholders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6"/>
                <w:szCs w:val="16"/>
                <w:color w:val="auto"/>
              </w:rPr>
              <w:t>Net earnings (loss) per share</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6"/>
                <w:szCs w:val="16"/>
                <w:color w:val="auto"/>
              </w:rPr>
              <w:t>Net earnings (loss) per share</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Weighted Average Shares Outstanding</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40"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2380" w:type="dxa"/>
            <w:vAlign w:val="bottom"/>
            <w:gridSpan w:val="6"/>
          </w:tcPr>
          <w:p>
            <w:pPr>
              <w:ind w:left="60"/>
              <w:spacing w:after="0"/>
              <w:rPr>
                <w:sz w:val="20"/>
                <w:szCs w:val="20"/>
                <w:color w:val="auto"/>
              </w:rPr>
            </w:pPr>
            <w:r>
              <w:rPr>
                <w:rFonts w:ascii="Arial" w:cs="Arial" w:eastAsia="Arial" w:hAnsi="Arial"/>
                <w:sz w:val="14"/>
                <w:szCs w:val="14"/>
                <w:b w:val="1"/>
                <w:bCs w:val="1"/>
                <w:color w:val="auto"/>
                <w:w w:val="96"/>
              </w:rPr>
              <w:t>Three months ended September 30,</w:t>
            </w:r>
          </w:p>
        </w:tc>
        <w:tc>
          <w:tcPr>
            <w:tcW w:w="22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
        </w:trPr>
        <w:tc>
          <w:tcPr>
            <w:tcW w:w="6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4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72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Unrealized gain on investments and other financial instruments, net (excluding investments in</w:t>
            </w:r>
          </w:p>
        </w:tc>
        <w:tc>
          <w:tcPr>
            <w:tcW w:w="7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color w:val="auto"/>
              </w:rPr>
              <w:t xml:space="preserve">unconsolidated affiliates) </w:t>
            </w:r>
            <w:r>
              <w:rPr>
                <w:rFonts w:ascii="Arial" w:cs="Arial" w:eastAsia="Arial" w:hAnsi="Arial"/>
                <w:sz w:val="21"/>
                <w:szCs w:val="21"/>
                <w:color w:val="auto"/>
                <w:vertAlign w:val="superscript"/>
              </w:rPr>
              <w:t>(1)</w:t>
            </w:r>
          </w:p>
        </w:tc>
        <w:tc>
          <w:tcPr>
            <w:tcW w:w="7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Unrealized losses of investments in unconsolidated affiliates </w:t>
            </w:r>
            <w:r>
              <w:rPr>
                <w:rFonts w:ascii="Arial" w:cs="Arial" w:eastAsia="Arial" w:hAnsi="Arial"/>
                <w:sz w:val="21"/>
                <w:szCs w:val="21"/>
                <w:color w:val="auto"/>
                <w:vertAlign w:val="superscript"/>
              </w:rPr>
              <w:t>(2)</w:t>
            </w: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66"/>
        </w:trPr>
        <w:tc>
          <w:tcPr>
            <w:tcW w:w="6440" w:type="dxa"/>
            <w:vAlign w:val="bottom"/>
            <w:shd w:val="clear" w:color="auto" w:fill="CCEEFF"/>
          </w:tcPr>
          <w:p>
            <w:pPr>
              <w:ind w:left="220"/>
              <w:spacing w:after="0" w:line="166" w:lineRule="exact"/>
              <w:rPr>
                <w:sz w:val="20"/>
                <w:szCs w:val="20"/>
                <w:color w:val="auto"/>
              </w:rPr>
            </w:pPr>
            <w:r>
              <w:rPr>
                <w:rFonts w:ascii="Arial" w:cs="Arial" w:eastAsia="Arial" w:hAnsi="Arial"/>
                <w:sz w:val="16"/>
                <w:szCs w:val="16"/>
                <w:color w:val="auto"/>
                <w:w w:val="91"/>
              </w:rPr>
              <w:t>Reclassification adjustments for unrealized gains and losses on investments and other financial</w:t>
            </w: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4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w w:val="97"/>
              </w:rPr>
              <w:t>instruments, net of tax, (excluding investments in unconsolidated affiliates) included in net</w:t>
            </w:r>
          </w:p>
        </w:tc>
        <w:tc>
          <w:tcPr>
            <w:tcW w:w="7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color w:val="auto"/>
              </w:rPr>
              <w:t xml:space="preserve">earnings </w:t>
            </w:r>
            <w:r>
              <w:rPr>
                <w:rFonts w:ascii="Arial" w:cs="Arial" w:eastAsia="Arial" w:hAnsi="Arial"/>
                <w:sz w:val="21"/>
                <w:szCs w:val="21"/>
                <w:color w:val="auto"/>
                <w:vertAlign w:val="superscript"/>
              </w:rPr>
              <w:t>(3)</w:t>
            </w:r>
          </w:p>
        </w:tc>
        <w:tc>
          <w:tcPr>
            <w:tcW w:w="7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440" w:type="dxa"/>
            <w:vAlign w:val="bottom"/>
          </w:tcPr>
          <w:p>
            <w:pPr>
              <w:ind w:left="220"/>
              <w:spacing w:after="0" w:line="166" w:lineRule="exact"/>
              <w:rPr>
                <w:sz w:val="20"/>
                <w:szCs w:val="20"/>
                <w:color w:val="auto"/>
              </w:rPr>
            </w:pPr>
            <w:r>
              <w:rPr>
                <w:rFonts w:ascii="Arial" w:cs="Arial" w:eastAsia="Arial" w:hAnsi="Arial"/>
                <w:sz w:val="16"/>
                <w:szCs w:val="16"/>
                <w:color w:val="auto"/>
                <w:w w:val="92"/>
              </w:rPr>
              <w:t>Reclassification adjustments for unrealized gains and losses of unconsolidated affiliates, net of</w:t>
            </w:r>
          </w:p>
        </w:tc>
        <w:tc>
          <w:tcPr>
            <w:tcW w:w="7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2"/>
        </w:trPr>
        <w:tc>
          <w:tcPr>
            <w:tcW w:w="6440" w:type="dxa"/>
            <w:vAlign w:val="bottom"/>
          </w:tcPr>
          <w:p>
            <w:pPr>
              <w:ind w:left="220"/>
              <w:spacing w:after="0" w:line="213" w:lineRule="exact"/>
              <w:rPr>
                <w:sz w:val="20"/>
                <w:szCs w:val="20"/>
                <w:color w:val="auto"/>
              </w:rPr>
            </w:pPr>
            <w:r>
              <w:rPr>
                <w:rFonts w:ascii="Arial" w:cs="Arial" w:eastAsia="Arial" w:hAnsi="Arial"/>
                <w:sz w:val="16"/>
                <w:szCs w:val="16"/>
                <w:color w:val="auto"/>
              </w:rPr>
              <w:t xml:space="preserve">tax, included in net earnings </w:t>
            </w:r>
            <w:r>
              <w:rPr>
                <w:rFonts w:ascii="Arial" w:cs="Arial" w:eastAsia="Arial" w:hAnsi="Arial"/>
                <w:sz w:val="21"/>
                <w:szCs w:val="21"/>
                <w:color w:val="auto"/>
                <w:vertAlign w:val="superscript"/>
              </w:rPr>
              <w:t>(4)</w:t>
            </w:r>
          </w:p>
        </w:tc>
        <w:tc>
          <w:tcPr>
            <w:tcW w:w="72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auto"/>
              </w:rPr>
              <w:t>Comprehensive earnings (loss)</w:t>
            </w: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89"/>
              </w:rPr>
              <w:t>49.2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(loss) earnings attributable to noncontrolling interests</w:t>
            </w:r>
          </w:p>
        </w:tc>
        <w:tc>
          <w:tcPr>
            <w:tcW w:w="7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w w:val="98"/>
              </w:rPr>
              <w:t>Comprehensive earnings (loss) attributable to Cannae Holdings, Inc. common shareholders</w:t>
            </w:r>
          </w:p>
        </w:tc>
        <w:tc>
          <w:tcPr>
            <w:tcW w:w="720" w:type="dxa"/>
            <w:vAlign w:val="bottom"/>
            <w:tcBorders>
              <w:bottom w:val="single" w:sz="8" w:color="auto"/>
            </w:tcBorders>
          </w:tcPr>
          <w:p>
            <w:pPr>
              <w:jc w:val="right"/>
              <w:ind w:right="544"/>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49.3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68"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expense of $0.1 million for the nine months ended September 30, 2021.</w:t>
      </w:r>
    </w:p>
    <w:p>
      <w:pPr>
        <w:spacing w:after="0" w:line="180" w:lineRule="exact"/>
        <w:rPr>
          <w:rFonts w:ascii="Arial" w:cs="Arial" w:eastAsia="Arial" w:hAnsi="Arial"/>
          <w:sz w:val="16"/>
          <w:szCs w:val="16"/>
          <w:color w:val="auto"/>
        </w:rPr>
      </w:pPr>
    </w:p>
    <w:p>
      <w:pPr>
        <w:ind w:left="500" w:right="20" w:hanging="492"/>
        <w:spacing w:after="0" w:line="27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benefit of $(2.3) million and $(0.8) million for the three months ended September 30, 2022 and 2021, respectively, and $(4.3) million and $(1.5) million for the nine months ended September 30, 2022 and 2021, respectively.</w:t>
      </w:r>
    </w:p>
    <w:p>
      <w:pPr>
        <w:spacing w:after="0" w:line="131" w:lineRule="exact"/>
        <w:rPr>
          <w:rFonts w:ascii="Arial" w:cs="Arial" w:eastAsia="Arial" w:hAnsi="Arial"/>
          <w:sz w:val="16"/>
          <w:szCs w:val="16"/>
          <w:color w:val="auto"/>
        </w:rPr>
      </w:pPr>
    </w:p>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benefit of $(2.9) million for the nine months ended September 30, 2021.</w:t>
      </w:r>
    </w:p>
    <w:p>
      <w:pPr>
        <w:spacing w:after="0" w:line="167"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expense of $0.7 million for the three months ended September 30, 2022 and $0.7 million and $0.6 million for the nine months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1520" w:type="dxa"/>
            <w:vAlign w:val="bottom"/>
            <w:gridSpan w:val="5"/>
          </w:tcPr>
          <w:p>
            <w:pPr>
              <w:ind w:left="3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Additional</w:t>
            </w: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Other Comp</w:t>
            </w: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Non-</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3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(Loss)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11"/>
                <w:szCs w:val="11"/>
                <w:color w:val="auto"/>
              </w:rPr>
            </w:pPr>
          </w:p>
        </w:tc>
        <w:tc>
          <w:tcPr>
            <w:tcW w:w="660" w:type="dxa"/>
            <w:vAlign w:val="bottom"/>
          </w:tcPr>
          <w:p>
            <w:pPr>
              <w:jc w:val="right"/>
              <w:ind w:right="20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Earnings</w:t>
            </w: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June 30, 2021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3,633.5</w:t>
            </w:r>
          </w:p>
        </w:tc>
        <w:tc>
          <w:tcPr>
            <w:tcW w:w="0" w:type="dxa"/>
            <w:vAlign w:val="bottom"/>
          </w:tcPr>
          <w:p>
            <w:pPr>
              <w:spacing w:after="0"/>
              <w:rPr>
                <w:sz w:val="1"/>
                <w:szCs w:val="1"/>
                <w:color w:val="auto"/>
              </w:rPr>
            </w:pPr>
          </w:p>
        </w:tc>
      </w:tr>
      <w:tr>
        <w:trPr>
          <w:trHeight w:val="121"/>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3"/>
        </w:trPr>
        <w:tc>
          <w:tcPr>
            <w:tcW w:w="4020" w:type="dxa"/>
            <w:vAlign w:val="bottom"/>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Arial" w:cs="Arial" w:eastAsia="Arial" w:hAnsi="Arial"/>
                <w:sz w:val="13"/>
                <w:szCs w:val="13"/>
                <w:color w:val="auto"/>
              </w:rPr>
              <w:t>Subsidiary dividends paid to noncontrolling interests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 earnings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Arial" w:cs="Arial" w:eastAsia="Arial" w:hAnsi="Arial"/>
                <w:sz w:val="13"/>
                <w:szCs w:val="13"/>
                <w:color w:val="auto"/>
              </w:rPr>
              <w:t>Balance, September 30, 2021</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1,883.7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1,752.1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3,507.8</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20" w:type="dxa"/>
            <w:vAlign w:val="bottom"/>
          </w:tcPr>
          <w:p>
            <w:pPr>
              <w:ind w:left="20"/>
              <w:spacing w:after="0"/>
              <w:rPr>
                <w:sz w:val="20"/>
                <w:szCs w:val="20"/>
                <w:color w:val="auto"/>
              </w:rPr>
            </w:pPr>
            <w:r>
              <w:rPr>
                <w:rFonts w:ascii="Arial" w:cs="Arial" w:eastAsia="Arial" w:hAnsi="Arial"/>
                <w:sz w:val="13"/>
                <w:szCs w:val="13"/>
                <w:color w:val="auto"/>
              </w:rPr>
              <w:t>Balance, June 30, 2022</w:t>
            </w:r>
          </w:p>
        </w:tc>
        <w:tc>
          <w:tcPr>
            <w:tcW w:w="52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1,913.5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1,131.9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(327.2)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2,706.1</w:t>
            </w:r>
          </w:p>
        </w:tc>
        <w:tc>
          <w:tcPr>
            <w:tcW w:w="0" w:type="dxa"/>
            <w:vAlign w:val="bottom"/>
          </w:tcPr>
          <w:p>
            <w:pPr>
              <w:spacing w:after="0"/>
              <w:rPr>
                <w:sz w:val="1"/>
                <w:szCs w:val="1"/>
                <w:color w:val="auto"/>
              </w:rPr>
            </w:pPr>
          </w:p>
        </w:tc>
      </w:tr>
      <w:tr>
        <w:trPr>
          <w:trHeight w:val="130"/>
        </w:trPr>
        <w:tc>
          <w:tcPr>
            <w:tcW w:w="40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rPr>
              <w:t>Reclassification adjustments for unrealized gains and losses 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3"/>
        </w:trPr>
        <w:tc>
          <w:tcPr>
            <w:tcW w:w="4020" w:type="dxa"/>
            <w:vAlign w:val="bottom"/>
          </w:tcPr>
          <w:p>
            <w:pPr>
              <w:ind w:left="140"/>
              <w:spacing w:after="0"/>
              <w:rPr>
                <w:sz w:val="20"/>
                <w:szCs w:val="20"/>
                <w:color w:val="auto"/>
              </w:rPr>
            </w:pPr>
            <w:r>
              <w:rPr>
                <w:rFonts w:ascii="Arial" w:cs="Arial" w:eastAsia="Arial" w:hAnsi="Arial"/>
                <w:sz w:val="13"/>
                <w:szCs w:val="13"/>
                <w:color w:val="auto"/>
              </w:rPr>
              <w:t>unconsolidated affiliates, net of tax, included in net earnings (loss)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Arial" w:cs="Arial" w:eastAsia="Arial" w:hAnsi="Arial"/>
                <w:sz w:val="13"/>
                <w:szCs w:val="13"/>
                <w:color w:val="auto"/>
              </w:rPr>
              <w:t>Subsidiary dividends paid to noncontrolling interests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earnings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Arial" w:cs="Arial" w:eastAsia="Arial" w:hAnsi="Arial"/>
                <w:sz w:val="13"/>
                <w:szCs w:val="13"/>
                <w:color w:val="auto"/>
              </w:rPr>
              <w:t>Balance, September 30, 2022</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1,924.4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1,187.2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2,725.5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1520" w:type="dxa"/>
            <w:vAlign w:val="bottom"/>
            <w:gridSpan w:val="5"/>
          </w:tcPr>
          <w:p>
            <w:pPr>
              <w:ind w:left="3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Additional</w:t>
            </w: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Other Comp</w:t>
            </w: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Non-</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3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(Loss)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11"/>
                <w:szCs w:val="11"/>
                <w:color w:val="auto"/>
              </w:rPr>
            </w:pPr>
          </w:p>
        </w:tc>
        <w:tc>
          <w:tcPr>
            <w:tcW w:w="660" w:type="dxa"/>
            <w:vAlign w:val="bottom"/>
          </w:tcPr>
          <w:p>
            <w:pPr>
              <w:jc w:val="right"/>
              <w:ind w:right="20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Earnings</w:t>
            </w: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3,785.2</w:t>
            </w:r>
          </w:p>
        </w:tc>
        <w:tc>
          <w:tcPr>
            <w:tcW w:w="0" w:type="dxa"/>
            <w:vAlign w:val="bottom"/>
          </w:tcPr>
          <w:p>
            <w:pPr>
              <w:spacing w:after="0"/>
              <w:rPr>
                <w:sz w:val="1"/>
                <w:szCs w:val="1"/>
                <w:color w:val="auto"/>
              </w:rPr>
            </w:pPr>
          </w:p>
        </w:tc>
      </w:tr>
      <w:tr>
        <w:trPr>
          <w:trHeight w:val="121"/>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88"/>
              </w:rPr>
              <w:t>Other comprehensive earnings — unrealized gain on investments and other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3"/>
        </w:trPr>
        <w:tc>
          <w:tcPr>
            <w:tcW w:w="4020" w:type="dxa"/>
            <w:vAlign w:val="bottom"/>
          </w:tcPr>
          <w:p>
            <w:pPr>
              <w:ind w:left="140"/>
              <w:spacing w:after="0"/>
              <w:rPr>
                <w:sz w:val="20"/>
                <w:szCs w:val="20"/>
                <w:color w:val="auto"/>
              </w:rPr>
            </w:pPr>
            <w:r>
              <w:rPr>
                <w:rFonts w:ascii="Arial" w:cs="Arial" w:eastAsia="Arial" w:hAnsi="Arial"/>
                <w:sz w:val="13"/>
                <w:szCs w:val="13"/>
                <w:color w:val="auto"/>
              </w:rPr>
              <w:t>financial instruments,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02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88"/>
              </w:rPr>
              <w:t>Reclassification adjustments for unrealized gains and losses on investments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020" w:type="dxa"/>
            <w:vAlign w:val="bottom"/>
          </w:tcPr>
          <w:p>
            <w:pPr>
              <w:ind w:left="140"/>
              <w:spacing w:after="0" w:line="134" w:lineRule="exact"/>
              <w:rPr>
                <w:sz w:val="20"/>
                <w:szCs w:val="20"/>
                <w:color w:val="auto"/>
              </w:rPr>
            </w:pPr>
            <w:r>
              <w:rPr>
                <w:rFonts w:ascii="Arial" w:cs="Arial" w:eastAsia="Arial" w:hAnsi="Arial"/>
                <w:sz w:val="13"/>
                <w:szCs w:val="13"/>
                <w:color w:val="auto"/>
                <w:w w:val="98"/>
              </w:rPr>
              <w:t>and other financial instruments, net of tax, (excluding investments in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68"/>
        </w:trPr>
        <w:tc>
          <w:tcPr>
            <w:tcW w:w="4020" w:type="dxa"/>
            <w:vAlign w:val="bottom"/>
          </w:tcPr>
          <w:p>
            <w:pPr>
              <w:ind w:left="140"/>
              <w:spacing w:after="0"/>
              <w:rPr>
                <w:sz w:val="20"/>
                <w:szCs w:val="20"/>
                <w:color w:val="auto"/>
              </w:rPr>
            </w:pPr>
            <w:r>
              <w:rPr>
                <w:rFonts w:ascii="Arial" w:cs="Arial" w:eastAsia="Arial" w:hAnsi="Arial"/>
                <w:sz w:val="13"/>
                <w:szCs w:val="13"/>
                <w:color w:val="auto"/>
              </w:rPr>
              <w:t>unconsolidated affiliates) included in net earnings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0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Reclassification adjustments for unrealized gains and losses 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 included in net earnings</w:t>
            </w: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20" w:type="dxa"/>
            <w:vAlign w:val="bottom"/>
          </w:tcPr>
          <w:p>
            <w:pPr>
              <w:ind w:left="14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211"/>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4"/>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11"/>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Subsidiary dividends paid to noncontrolling interests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6"/>
        </w:trPr>
        <w:tc>
          <w:tcPr>
            <w:tcW w:w="4020" w:type="dxa"/>
            <w:vAlign w:val="bottom"/>
          </w:tcPr>
          <w:p>
            <w:pPr>
              <w:ind w:left="140"/>
              <w:spacing w:after="0"/>
              <w:rPr>
                <w:sz w:val="20"/>
                <w:szCs w:val="20"/>
                <w:color w:val="auto"/>
              </w:rPr>
            </w:pPr>
            <w:r>
              <w:rPr>
                <w:rFonts w:ascii="Arial" w:cs="Arial" w:eastAsia="Arial" w:hAnsi="Arial"/>
                <w:sz w:val="13"/>
                <w:szCs w:val="13"/>
                <w:color w:val="auto"/>
              </w:rPr>
              <w:t>Net (loss) earnings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September 30,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3,507.8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3,341.1</w:t>
            </w: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Arial" w:cs="Arial" w:eastAsia="Arial" w:hAnsi="Arial"/>
                <w:sz w:val="13"/>
                <w:szCs w:val="13"/>
                <w:color w:val="auto"/>
                <w:w w:val="96"/>
              </w:rPr>
              <w:t>Other comprehensive earnings — unrealized losses of investments in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63"/>
        </w:trPr>
        <w:tc>
          <w:tcPr>
            <w:tcW w:w="4020" w:type="dxa"/>
            <w:vAlign w:val="bottom"/>
          </w:tcPr>
          <w:p>
            <w:pPr>
              <w:ind w:left="14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02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rPr>
              <w:t>Reclassification adjustments for unrealized gains and losses 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unconsolidated affiliates, net of tax, included in net loss</w:t>
            </w: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(174.7)</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restricted stock</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Arial" w:cs="Arial" w:eastAsia="Arial" w:hAnsi="Arial"/>
                <w:sz w:val="13"/>
                <w:szCs w:val="13"/>
                <w:color w:val="auto"/>
              </w:rPr>
              <w:t>Subsidiary dividends paid to noncontrolling interests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(458.8)</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Arial" w:cs="Arial" w:eastAsia="Arial" w:hAnsi="Arial"/>
                <w:sz w:val="13"/>
                <w:szCs w:val="13"/>
                <w:color w:val="auto"/>
              </w:rPr>
              <w:t>Balance, September 30, 2022</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1,924.4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1,187.2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2,725.5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760" w:type="dxa"/>
            <w:vAlign w:val="bottom"/>
            <w:gridSpan w:val="5"/>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8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26"/>
        </w:trPr>
        <w:tc>
          <w:tcPr>
            <w:tcW w:w="84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8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3"/>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4"/>
              </w:rPr>
              <w:t>(458.8)</w:t>
            </w:r>
          </w:p>
        </w:tc>
        <w:tc>
          <w:tcPr>
            <w:tcW w:w="14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(174.6)</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2"/>
        </w:trPr>
        <w:tc>
          <w:tcPr>
            <w:tcW w:w="848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Equity in losses (earnings) of unconsolidated affiliates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w:t>
            </w:r>
          </w:p>
        </w:tc>
      </w:tr>
      <w:tr>
        <w:trPr>
          <w:trHeight w:val="182"/>
        </w:trPr>
        <w:tc>
          <w:tcPr>
            <w:tcW w:w="8480" w:type="dxa"/>
            <w:vAlign w:val="bottom"/>
          </w:tcPr>
          <w:p>
            <w:pPr>
              <w:ind w:left="46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Recognized losses and asset impairments, net</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286.0</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r>
      <w:tr>
        <w:trPr>
          <w:trHeight w:val="182"/>
        </w:trPr>
        <w:tc>
          <w:tcPr>
            <w:tcW w:w="8480" w:type="dxa"/>
            <w:vAlign w:val="bottom"/>
          </w:tcPr>
          <w:p>
            <w:pPr>
              <w:ind w:left="460"/>
              <w:spacing w:after="0"/>
              <w:rPr>
                <w:sz w:val="20"/>
                <w:szCs w:val="20"/>
                <w:color w:val="auto"/>
              </w:rPr>
            </w:pPr>
            <w:r>
              <w:rPr>
                <w:rFonts w:ascii="Arial" w:cs="Arial" w:eastAsia="Arial" w:hAnsi="Arial"/>
                <w:sz w:val="14"/>
                <w:szCs w:val="14"/>
                <w:color w:val="auto"/>
              </w:rPr>
              <w:t>Lease asset amortization</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2"/>
        </w:trPr>
        <w:tc>
          <w:tcPr>
            <w:tcW w:w="8480" w:type="dxa"/>
            <w:vAlign w:val="bottom"/>
          </w:tcPr>
          <w:p>
            <w:pPr>
              <w:ind w:left="460"/>
              <w:spacing w:after="0"/>
              <w:rPr>
                <w:sz w:val="20"/>
                <w:szCs w:val="20"/>
                <w:color w:val="auto"/>
              </w:rPr>
            </w:pPr>
            <w:r>
              <w:rPr>
                <w:rFonts w:ascii="Arial" w:cs="Arial" w:eastAsia="Arial" w:hAnsi="Arial"/>
                <w:sz w:val="14"/>
                <w:szCs w:val="14"/>
                <w:color w:val="auto"/>
              </w:rPr>
              <w:t>Non-cash carried interest expense</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82"/>
        </w:trPr>
        <w:tc>
          <w:tcPr>
            <w:tcW w:w="8480" w:type="dxa"/>
            <w:vAlign w:val="bottom"/>
          </w:tcPr>
          <w:p>
            <w:pPr>
              <w:ind w:left="520"/>
              <w:spacing w:after="0"/>
              <w:rPr>
                <w:sz w:val="20"/>
                <w:szCs w:val="20"/>
                <w:color w:val="auto"/>
              </w:rPr>
            </w:pPr>
            <w:r>
              <w:rPr>
                <w:rFonts w:ascii="Arial" w:cs="Arial" w:eastAsia="Arial" w:hAnsi="Arial"/>
                <w:sz w:val="14"/>
                <w:szCs w:val="14"/>
                <w:color w:val="auto"/>
              </w:rPr>
              <w:t>Net decrease in trade receivables</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(increase) decrease in other assets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182"/>
        </w:trPr>
        <w:tc>
          <w:tcPr>
            <w:tcW w:w="8480" w:type="dxa"/>
            <w:vAlign w:val="bottom"/>
          </w:tcPr>
          <w:p>
            <w:pPr>
              <w:ind w:left="520"/>
              <w:spacing w:after="0"/>
              <w:rPr>
                <w:sz w:val="20"/>
                <w:szCs w:val="20"/>
                <w:color w:val="auto"/>
              </w:rPr>
            </w:pPr>
            <w:r>
              <w:rPr>
                <w:rFonts w:ascii="Arial" w:cs="Arial" w:eastAsia="Arial" w:hAnsi="Arial"/>
                <w:sz w:val="14"/>
                <w:szCs w:val="14"/>
                <w:color w:val="auto"/>
              </w:rPr>
              <w:t>Net decrease in lease liabilities</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decrease in accounts payable, accrued liabilities, deferred revenue and other liabilities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82"/>
        </w:trPr>
        <w:tc>
          <w:tcPr>
            <w:tcW w:w="8480" w:type="dxa"/>
            <w:vAlign w:val="bottom"/>
          </w:tcPr>
          <w:p>
            <w:pPr>
              <w:ind w:left="520"/>
              <w:spacing w:after="0"/>
              <w:rPr>
                <w:sz w:val="20"/>
                <w:szCs w:val="20"/>
                <w:color w:val="auto"/>
              </w:rPr>
            </w:pPr>
            <w:r>
              <w:rPr>
                <w:rFonts w:ascii="Arial" w:cs="Arial" w:eastAsia="Arial" w:hAnsi="Arial"/>
                <w:sz w:val="14"/>
                <w:szCs w:val="14"/>
                <w:color w:val="auto"/>
              </w:rPr>
              <w:t>Net change in income taxes</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(201.6)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8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(186.8)</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(141.6)</w:t>
            </w:r>
          </w:p>
        </w:tc>
      </w:tr>
      <w:tr>
        <w:trPr>
          <w:trHeight w:val="170"/>
        </w:trPr>
        <w:tc>
          <w:tcPr>
            <w:tcW w:w="84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8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6"/>
        </w:trPr>
        <w:tc>
          <w:tcPr>
            <w:tcW w:w="8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partial sale of Ceridian shares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285.7</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275.0</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partial sale of AmeriLife</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152.5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partial sale of D&amp;B shares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186.0</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sale of CorroHealth</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78.7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Additions to property and equipment and other intangible assets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Collections of notes receivable</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Additions to notes receivable</w:t>
            </w:r>
          </w:p>
        </w:tc>
        <w:tc>
          <w:tcPr>
            <w:tcW w:w="8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sale of investments in unconsolidated affiliates and other long term investments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Investment in System1</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(246.5)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Investment in Paysafe, net of subscription fees earned</w:t>
            </w:r>
          </w:p>
        </w:tc>
        <w:tc>
          <w:tcPr>
            <w:tcW w:w="8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(494.4)</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Investments in Alight, net of subscription fees earned</w:t>
            </w:r>
          </w:p>
        </w:tc>
        <w:tc>
          <w:tcPr>
            <w:tcW w:w="8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(446.3)</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Investments in Sightline</w:t>
            </w:r>
          </w:p>
        </w:tc>
        <w:tc>
          <w:tcPr>
            <w:tcW w:w="8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(272.0)</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Purchase of AAII Warrants</w:t>
            </w:r>
          </w:p>
        </w:tc>
        <w:tc>
          <w:tcPr>
            <w:tcW w:w="8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8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Cash proceeds from settlement of fixed maturity securities and equity in Colt</w:t>
            </w:r>
          </w:p>
        </w:tc>
        <w:tc>
          <w:tcPr>
            <w:tcW w:w="8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38.7</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Cash proceeds from sales of VIBSQ, Legendary Baking, and RCI</w:t>
            </w:r>
          </w:p>
        </w:tc>
        <w:tc>
          <w:tcPr>
            <w:tcW w:w="8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Purchases of other long term investments</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Distributions from investments in unconsolidated affiliates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281.3</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Net other investing activities</w:t>
            </w:r>
          </w:p>
        </w:tc>
        <w:tc>
          <w:tcPr>
            <w:tcW w:w="8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562.3</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(437.7)</w:t>
            </w:r>
          </w:p>
        </w:tc>
      </w:tr>
      <w:tr>
        <w:trPr>
          <w:trHeight w:val="170"/>
        </w:trPr>
        <w:tc>
          <w:tcPr>
            <w:tcW w:w="84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5"/>
        </w:trPr>
        <w:tc>
          <w:tcPr>
            <w:tcW w:w="8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Borrowings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308.4</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206.5</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Debt service payments</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(214.3)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3"/>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Subsidiary distributions paid to noncontrolling interest shareholders</w:t>
            </w:r>
          </w:p>
        </w:tc>
        <w:tc>
          <w:tcPr>
            <w:tcW w:w="8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480" w:type="dxa"/>
            <w:vAlign w:val="bottom"/>
          </w:tcPr>
          <w:p>
            <w:pPr>
              <w:ind w:left="220"/>
              <w:spacing w:after="0"/>
              <w:rPr>
                <w:sz w:val="20"/>
                <w:szCs w:val="20"/>
                <w:color w:val="auto"/>
              </w:rPr>
            </w:pPr>
            <w:r>
              <w:rPr>
                <w:rFonts w:ascii="Arial" w:cs="Arial" w:eastAsia="Arial" w:hAnsi="Arial"/>
                <w:sz w:val="14"/>
                <w:szCs w:val="14"/>
                <w:color w:val="auto"/>
              </w:rPr>
              <w:t>Treasury stock repurchases</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(179.7)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(96.5)</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8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88.8</w:t>
            </w:r>
          </w:p>
        </w:tc>
      </w:tr>
      <w:tr>
        <w:trPr>
          <w:trHeight w:val="176"/>
        </w:trPr>
        <w:tc>
          <w:tcPr>
            <w:tcW w:w="848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8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285.3</w:t>
            </w: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(490.5)</w:t>
            </w:r>
          </w:p>
        </w:tc>
      </w:tr>
      <w:tr>
        <w:trPr>
          <w:trHeight w:val="20"/>
        </w:trPr>
        <w:tc>
          <w:tcPr>
            <w:tcW w:w="8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8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724.7</w:t>
            </w:r>
          </w:p>
        </w:tc>
      </w:tr>
      <w:tr>
        <w:trPr>
          <w:trHeight w:val="196"/>
        </w:trPr>
        <w:tc>
          <w:tcPr>
            <w:tcW w:w="84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371.1</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234.2</w:t>
            </w:r>
          </w:p>
        </w:tc>
      </w:tr>
      <w:tr>
        <w:trPr>
          <w:trHeight w:val="21"/>
        </w:trPr>
        <w:tc>
          <w:tcPr>
            <w:tcW w:w="8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ee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primarily acquire interests in operating companies and are engaged in actively managing and operating a core group of those companies, which we are committed to supporting for the long-term.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September 30, 2022 include our ownership interests in Dun &amp; Bradstreet Holdings, Inc. ("Dun &amp; Bradstreet" or "D&amp;B"), Ceridian HCM Holding, Inc. ("Ceridian"), Alight, Inc. ("Alight"), Paysafe Limited ("Paysafe"), Sightline Payments Holdings, LLC ("Sightline" or "Sightline Payments"), System1, Inc. ("System1") and AmeriLife Group, LLC ("AmeriLife"); majority equity ownership stakes in O'Charley's Holdings, LLC ("O'Charley's") and 99 Restaurants Holdings, LLC ("99 Restaurants"); various other controlled portfolio companies and certain minority equity ownership interests.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G for further discussion of the businesses comprising our reportable segments.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2021.</w:t>
      </w:r>
    </w:p>
    <w:p>
      <w:pPr>
        <w:spacing w:after="0" w:line="80"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(Note C). Actual results may differ from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Ceridian</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January 2022, we completed the sale of 2.0 million shares of common stock of Ceridian pursuant to Rule 144 promulgated under the Securities Act of 1933, as amended ("Rule 144"). In connection with the sale, we received proceeds of $173.3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May 2022 and June 2022, we completed the sale of an additional 2.0 million shares of common stock of Ceridian on the open market. In connection with such sales, we received proceeds of $112.4 million.</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owned 6.0 million shares of Ceridian common stock as of September 30, 2022, which represented approximately 3.9% of its outstanding stock as of September 30, 2022.</w:t>
      </w:r>
    </w:p>
    <w:p>
      <w:pPr>
        <w:spacing w:after="0" w:line="62" w:lineRule="exact"/>
        <w:rPr>
          <w:sz w:val="20"/>
          <w:szCs w:val="20"/>
          <w:color w:val="auto"/>
        </w:rPr>
      </w:pPr>
    </w:p>
    <w:p>
      <w:pPr>
        <w:ind w:left="340" w:right="1580"/>
        <w:spacing w:after="0" w:line="375" w:lineRule="auto"/>
        <w:rPr>
          <w:sz w:val="20"/>
          <w:szCs w:val="20"/>
          <w:color w:val="auto"/>
        </w:rPr>
      </w:pPr>
      <w:r>
        <w:rPr>
          <w:rFonts w:ascii="Arial" w:cs="Arial" w:eastAsia="Arial" w:hAnsi="Arial"/>
          <w:sz w:val="18"/>
          <w:szCs w:val="18"/>
          <w:color w:val="auto"/>
        </w:rPr>
        <w:t xml:space="preserve">Refer to Notes C and D for further discussion of our accounting for our ownership interest in Ceridian and other equity securities. </w:t>
      </w:r>
      <w:r>
        <w:rPr>
          <w:rFonts w:ascii="Arial" w:cs="Arial" w:eastAsia="Arial" w:hAnsi="Arial"/>
          <w:sz w:val="18"/>
          <w:szCs w:val="18"/>
          <w:i w:val="1"/>
          <w:iCs w:val="1"/>
          <w:color w:val="auto"/>
        </w:rPr>
        <w:t>System1</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January 10, 2022, we entered into an amendment to the backstop facility agreement (the "S1 Backstop Agreement") pursuant to which our commitment to fund redemptions of shareholders of Trebia Acquisition Corp. ("Trebia") in conjunction with its merger with System1 (the "Trebia System1 Business Combination") increased from $200.0 million to $250.0 million. Also on January 10, 2022, we entered into an amended and restated sponsor agreement with the sponsors of Trebia pursuant to which the sponsors will forfeit up to an additional Trebia 1,352,941 Class B ordinary shares to Trebia, and Trebia will issue to Cannae an equal number of shares of Trebia Class A common stock in connection with, and based upon the extent of, Cannae’s obligation with respect to the increase in our backstop commitment. Trebia was co-sponsored by entities affiliated with the chairman and a member of our board of directors ("Board"), William P. Foley II and Frank R. Martire, respectively.</w:t>
      </w:r>
    </w:p>
    <w:p>
      <w:pPr>
        <w:spacing w:after="0" w:line="6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January 27, 2022, the Trebia System1 Business Combination was completed and System1 merged with and into Trebia, with System1 as the surviving corporation. Beginning on January 28, 2022, System1’s common stock began trading on the NYSE under the ticker symbol "SST." Upon the completion of the Trebia System1 Business Combination, Cannae has invested a total of $248.3 million in System1, directly and indirectly owned 28.2 million of System1 common shares and indirectly owned 1.2 million warrants to purchase SST common shares (the "System1 Warrants").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17, 2022, the trading price of System1 Class A common stock exceeded certain thresholds resulting in the conversion of System1's outstanding Class D common stock to Class A common stock. As a result, the 833,750 shares of System1 Class D common stock held by the sponsor of Trebia, Trasimene Trebia LP ("Trebia Sponsor"), in which the Company owned a 26.1% limited partnership interest converted to shares of System1 Class A common stock. Cannae's ratable portion of such shares is 217,500 shares.</w:t>
      </w:r>
    </w:p>
    <w:p>
      <w:pPr>
        <w:spacing w:after="0" w:line="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April 18, 2022, Trebia Sponsor exercised its System1 warrants on a cashless basis in exchange for System 1 Class A common stock. As a result, Cannae no longer has an indirect interest in any System1 warrants and has an indirect interest in an additional 0.5 million shares of System1 common stock held by Trebia Sponsor and we now have an indirect interest in a total of 1.7 million shares of System 1 common stock held by Trebia Sponsor.</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April 2022 and May 2022, we sold an aggregate of 1.7 million shares of System1 common stock for aggregate proceeds of $22.7 million.</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account for our direct ownership of the common equity of System1 under the equity method of accounting. See Note D for further discussion of our accounting for our ownership of the common equity of System1.</w:t>
      </w:r>
    </w:p>
    <w:p>
      <w:pPr>
        <w:spacing w:after="0" w:line="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September 30, 2022, we directly and indirectly owned 27.1 million shares of System1 common stock representing an approximate 24.1% ownership interest.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Optimal Blue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15, 2022, we completed the disposition (the "Optimal Blue Disposition") of our ownership interests in Optimal Blue Holdco, LLC ("Optimal Blue") to Black Knight, Inc. ("Black Knight") pursuant to a purchase agreement dated as of February 15, 2022, by and among Black Knight, Cannae, and Optimal Blue, among others. In conjunction with the Optimal Blue Disposition, Cannae received aggregate consideration of (y) $144.5 million in cash and (z) 21.8 million shares of common stock, par value $0.0001 per share, of Dun &amp; Bradstreet. Following the consummation of the Optimal Blue Disposition, Cannae no longer has any ownership interest in Optimal Blue. We recorded a gain of $313.0 million on the sale which is included in Recognized gains (losses), net on the Condensed Consolidated Statement of Operations for the nine months ended September 30, 2022.</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15, 2022, we received 21.8 million shares of D&amp;B as partial consideration for the Optimal Blue Disposition. Subsequently, we transferred to our Manager 1.6 million of the D&amp;B shares we received as part of our carried interest paid related to the Optimal Blue Disposition. See Note D for further discussion of our accounting for our increased ownership interest in D&amp;B.</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July 2022, we completed the sale of 9.2 million shares of common stock of D&amp;B to a broker pursuant to Rule 144. In connection with the sale, we received proceeds of $127.2 million and recorded a gain of $23.2 million.</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July 28, 2022, the board of directors of D&amp;B declared a quarterly cash dividend of $0.05 per share of DNB common stock. In September 2022, we received $4.0 million of cash dividends from D&amp;B which are recorded as a reduction to the basis of our recorded asset for D&amp;B.</w:t>
      </w:r>
    </w:p>
    <w:p>
      <w:pPr>
        <w:spacing w:after="0" w:line="38" w:lineRule="exact"/>
        <w:rPr>
          <w:sz w:val="20"/>
          <w:szCs w:val="20"/>
          <w:color w:val="auto"/>
        </w:rPr>
      </w:pPr>
    </w:p>
    <w:p>
      <w:pPr>
        <w:ind w:left="340" w:right="720"/>
        <w:spacing w:after="0" w:line="375" w:lineRule="auto"/>
        <w:rPr>
          <w:sz w:val="20"/>
          <w:szCs w:val="20"/>
          <w:color w:val="auto"/>
        </w:rPr>
      </w:pPr>
      <w:r>
        <w:rPr>
          <w:rFonts w:ascii="Arial" w:cs="Arial" w:eastAsia="Arial" w:hAnsi="Arial"/>
          <w:sz w:val="18"/>
          <w:szCs w:val="18"/>
          <w:color w:val="auto"/>
        </w:rPr>
        <w:t xml:space="preserve">As of September 30, 2022, we owned 79.0 million shares of D&amp;B, which represented approximately 18.1% of its outstanding common stock. </w:t>
      </w:r>
      <w:r>
        <w:rPr>
          <w:rFonts w:ascii="Arial" w:cs="Arial" w:eastAsia="Arial" w:hAnsi="Arial"/>
          <w:sz w:val="18"/>
          <w:szCs w:val="18"/>
          <w:i w:val="1"/>
          <w:iCs w:val="1"/>
          <w:color w:val="auto"/>
        </w:rPr>
        <w:t>Alight</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2022, the sponsor of Foley Trasimene Acquisition Corp. ("FTAC") distributed all of its interest in Alight to its limited partners, including Cannae. As a result, Cannae now directly holds all of its interest in common equity of Alight. As of September 30, 2022, Cannae directly holds approximately 9.7% of the outstanding common equity of Alight.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0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In June 2022, AmeriLife announced an investment from a leading private equity firm. In conjunction with the new investment, we entered into a redemption agreement pursuant to which we divested of 46.0% of our ownership interest in AmeriLife (the "June AmeriLife Sale"). On August 31, 2022, we closed the June AmeriLife Sale and received gross cash proceeds of $152.5 million ($4.6 million of which was subsequently distributed to noncontrolling interest holders). As a result of the June AmeriLife Sale, we recorded a gain of $102.5 million.</w:t>
      </w:r>
    </w:p>
    <w:p>
      <w:pPr>
        <w:spacing w:after="0" w:line="86"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On September 14, 2022, we entered into a contribution, redemption and equity purchase agreement pursuant to which we agreed to sell a portion of the ownership interest in AmeriLife that we retained subsequent to the June AmeriLife Sale (the "September AmeriLife Sale"). We expect to receive gross cash proceeds of approximately $97.5 million (of which we expect to distribute $2.9 million to noncontrolling interest holders) from the September AmeriLife Sale and to retain an equity interest in AmeriLife valued at approximately $86.5 million. The September AmeriLife Sale is expected to close in the fourth quarter of 2022.</w:t>
      </w:r>
    </w:p>
    <w:p>
      <w:pPr>
        <w:spacing w:after="0" w:line="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2022, we held a 9.9% equity ownership interest in AmeriLife. Upon closing of the September AmeriLife Sale, we expect that we will own a residual 4.6% ownership interest in AmeriLife.</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CorroHealth</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September 30, 2022, we sold all of our equity interest in Coding Solutions Topco, Inc. ("CorroHealth") for cash proceeds of $78.7 million (the "CorroHealth Sale"). As a result of the CorroHealth Sale, we recorded a gain of $5.9 million.</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to the transaction, we have no further equity interest or involvement in CorroHealth.</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Developments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Effective February 26, 2021, our Board authorized a three-year stock repurchase program (the "2021 Repurchase Program")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 During the nine months ended September 30, 2022, we repurchased 8,425,598 shares of CNNE common stock for approximately $174.7 million in the aggregate, or an average of $20.74 per share, pursuant to the 2021 Repurchase Program, of which 5,775,598 shares were repurchased from Fidelity National Financial, ("FNF") for an aggregate amount of $108.7 million. Subsequent to September 30, 2022, we repurchased an additional 499,301 shares of CNNE common stock for approximately $10.6 million in the aggregate, or an average of $21.14 per share, pursuant to the 2021 Repurchase Program.</w:t>
      </w:r>
    </w:p>
    <w:p>
      <w:pPr>
        <w:spacing w:after="0" w:line="67"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8"/>
          <w:szCs w:val="18"/>
          <w:color w:val="auto"/>
        </w:rPr>
        <w:t>On August 3, 2022, our Board authorized a new three-year stock repurchase program,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spacing w:after="0" w:line="73"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As previously disclosed, on June 20, 2022, we signed a non-binding letter of intent to invest in Eagle Football Holdings LLC ("Eagle"). Cannae and other third-party investors intended to each make an investment in Eagle in a form that was to be negotiated by all parties. In connection with the contemplated investment in Eagle, Cannae provided a debt commitment letter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to John Textor, an individual, pursuant to which Cannae committed to provide a credit facility of up to a maximum principal amount of €523.0 million (the "Eagle Commitment") in connection with Eagle’s contemplated acquisition of equity interests in Olympique Lyonnais Groupe SA. On October 11, 2022, we provided written confirmation to Mr. Textor terminating the Eagle Commitment.</w:t>
      </w:r>
    </w:p>
    <w:p>
      <w:pPr>
        <w:spacing w:after="0" w:line="87"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color w:val="auto"/>
        </w:rPr>
        <w:t>On August 19, 2022, we entered into a subscription agreement with BGPT Catalyst, L.P. (the "CSI LP") pursuant to which we committed to acquire a 32% limited partnership ownership interest in CSI LP for cash consideration of approximately $84.0 million (the "CSI Subscription"). CSI LP is managed by entities affiliated with Frank Martire, a member of our Board, and is part of a consortium of investors who have committed to acquire Computer Services, Inc. ("CSI"). We expect to have an approximate 9% indirect, economic interest in CSI as a result of the transaction which is expected to close in the fourth quarter of 2022. On November 8, 2022, we funded the CSI Subscription.</w:t>
      </w:r>
    </w:p>
    <w:p>
      <w:pPr>
        <w:spacing w:after="0" w:line="7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On October 8, 2022, we entered into a limited partnership agreement with Black Knight Football and Entertainment, LP ("BKFE") and committed to purchase a 50.1% limited partnership ownership interest in BKFE for $125.8 million (the "BKFE Commitment"). Also on October 8, 2022, BKFE entered into a stock purchase agreement to acquire 100% of the equity interests of Athletic Football Club Bournemouth ("AFCB"), a football club which competes in the English Premier League. The chairman of our Board, William P. Foley II, is the general partner of BKFE and is expected to own a 25% economic interest in BKFE upon closing. We expect to fund the BKFE Commitment in three installment payments expected to be made between the fourth quarter of 2022 and the third quarter of 2023.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the three and nine months ended September 30, 2022, we incurred $9.7 million and $30.9 million, respectively, of management fee expenses payable to our Manager, and during the three and nine months ended September 30, 2021, we incurred $8.9 million and $24.7 million, respectively, of management fee expenses payable to our Manager. During the three and nine months ended September 30, 2022, we incurred $1.9 million and $49.3 million, respectively, of carried interest expense related to disposition of certain of the Company's assets and ownership interests. During the three and nine months ended September 30, 2021, we incurred zero and $37.4 million, respectively, of carried interest expense related to the disposition of certain of the Company's assets and ownership interests. These expenses are recorded in Other operating expenses on our Condensed Consolidated Statement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that have been treated as common share equivalents for purposes of calculating diluted earnings per share for periods in which positive earnings have been reported.</w:t>
      </w:r>
    </w:p>
    <w:p>
      <w:pPr>
        <w:spacing w:after="0" w:line="6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Instruments that provide the ability to purchase shares of our common stock that are antidilutive are excluded from the computation of diluted earnings per share. For the three and nine months ended September 30, 2022, there were zero and 0.1 million antidilutive shares of restricted stock outstanding, respectively, that were excluded from the calculation of diluted earnings per share. For the three and nine months ended September 30, 2021, there were no antidilutive shares of restricted stock outstanding that were excluded from the calculation of diluted earnings per share.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effective tax rate was 11.3% and 17.8% in the three months ended September 30, 2022 and 2021, respectively, and 26.8% and 15.4% in the nine months ended September 30, 2022 and 2021, respectively. The change in the effective tax rate in the three and nine-month period ended September 30, 2022 compared to the corresponding prior year period was primarily attributable to the varying impact of equity in (losses) earnings of unconsolidated affiliates on income tax (benefit) expense.</w:t>
      </w:r>
    </w:p>
    <w:p>
      <w:pPr>
        <w:spacing w:after="0" w:line="65"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We have a Deferred tax asset of $76.0 million as of September 30, 2022 and liability of $143.8 million as of December 31, 2021. The $219.8 million change in deferred taxes in the nine months ended September 30, 2022 is primarily attributable to sales of Ceridian shares, mark to market losses recorded on Ceridian and other securities, impairment recorded to the value of our ownership in Paysafe and the increase in equity in losses of Paysafe.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completed our evaluation of the recently issued accounting pronouncements and we did not identify any that are expected to, if currently adopted, have a material impact on our Condensed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historically accounted for our ownership interest and proportionate share of losses in Alight utilizing a three-month reporting lag due to timeliness considerations. In the second quarter of 2022, the Company was able to obtain financial information for Alight on a more timely basis and began recording our ownership interest in Alight on a current basis as opposed to the previous three-month lag. The elimination of the three-month reporting lag for our equity ownership in Alight did not result in any material adjustments to the current or prior periods.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consists of:</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5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r>
      <w:tr>
        <w:trPr>
          <w:trHeight w:val="196"/>
        </w:trPr>
        <w:tc>
          <w:tcPr>
            <w:tcW w:w="34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Revenue Stream</w:t>
            </w:r>
          </w:p>
        </w:tc>
        <w:tc>
          <w:tcPr>
            <w:tcW w:w="10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13"/>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Restaurant revenue: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35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Restaurant sales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w:t>
            </w:r>
          </w:p>
        </w:tc>
      </w:tr>
      <w:tr>
        <w:trPr>
          <w:trHeight w:val="213"/>
        </w:trPr>
        <w:tc>
          <w:tcPr>
            <w:tcW w:w="3580" w:type="dxa"/>
            <w:vAlign w:val="bottom"/>
            <w:gridSpan w:val="2"/>
          </w:tcPr>
          <w:p>
            <w:pPr>
              <w:ind w:left="140"/>
              <w:spacing w:after="0"/>
              <w:rPr>
                <w:sz w:val="20"/>
                <w:szCs w:val="20"/>
                <w:color w:val="auto"/>
              </w:rPr>
            </w:pPr>
            <w:r>
              <w:rPr>
                <w:rFonts w:ascii="Arial" w:cs="Arial" w:eastAsia="Arial" w:hAnsi="Arial"/>
                <w:sz w:val="16"/>
                <w:szCs w:val="16"/>
                <w:color w:val="auto"/>
              </w:rPr>
              <w:t>Bakery sales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8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9"/>
        </w:trPr>
        <w:tc>
          <w:tcPr>
            <w:tcW w:w="35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and other</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Restaurant Group</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3580" w:type="dxa"/>
            <w:vAlign w:val="bottom"/>
            <w:gridSpan w:val="2"/>
          </w:tcPr>
          <w:p>
            <w:pPr>
              <w:ind w:left="220"/>
              <w:spacing w:after="0"/>
              <w:rPr>
                <w:sz w:val="20"/>
                <w:szCs w:val="20"/>
                <w:color w:val="auto"/>
              </w:rPr>
            </w:pPr>
            <w:r>
              <w:rPr>
                <w:rFonts w:ascii="Arial" w:cs="Arial" w:eastAsia="Arial" w:hAnsi="Arial"/>
                <w:sz w:val="16"/>
                <w:szCs w:val="16"/>
                <w:color w:val="auto"/>
              </w:rPr>
              <w:t>Total restaurant revenue</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154.6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483.4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532.3</w:t>
            </w:r>
          </w:p>
        </w:tc>
      </w:tr>
      <w:tr>
        <w:trPr>
          <w:trHeight w:val="21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revenue: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3580" w:type="dxa"/>
            <w:vAlign w:val="bottom"/>
            <w:gridSpan w:val="2"/>
          </w:tcPr>
          <w:p>
            <w:pPr>
              <w:ind w:left="140"/>
              <w:spacing w:after="0"/>
              <w:rPr>
                <w:sz w:val="20"/>
                <w:szCs w:val="20"/>
                <w:color w:val="auto"/>
              </w:rPr>
            </w:pPr>
            <w:r>
              <w:rPr>
                <w:rFonts w:ascii="Arial" w:cs="Arial" w:eastAsia="Arial" w:hAnsi="Arial"/>
                <w:sz w:val="16"/>
                <w:szCs w:val="16"/>
                <w:color w:val="auto"/>
              </w:rPr>
              <w:t>Real estate and resort</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w:t>
            </w:r>
          </w:p>
        </w:tc>
      </w:tr>
      <w:tr>
        <w:trPr>
          <w:trHeight w:val="219"/>
        </w:trPr>
        <w:tc>
          <w:tcPr>
            <w:tcW w:w="35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Corporate and other</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3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other operating revenue</w:t>
            </w:r>
          </w:p>
        </w:tc>
        <w:tc>
          <w:tcPr>
            <w:tcW w:w="1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r>
      <w:tr>
        <w:trPr>
          <w:trHeight w:val="238"/>
        </w:trPr>
        <w:tc>
          <w:tcPr>
            <w:tcW w:w="3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operating revenues</w:t>
            </w: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164.5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560.3</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Restaurant revenue consists of restaurant sales, bakery operations, and, to a lesser extent, franchise revenue and other revenue. Restaurant sales include food and beverage sales and gift card breakage, are net of applicable state and local sales taxes and discounts, and are recognized at a point in time as services are performed and goods are provided.</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bakery operations is recognized at a point in time in the period during which the products are shipped and control transfers to the customer.</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Franchise and other revenue consist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 Revenue resulting from the sale of gift cards is recognized in the period in which the gift card is redeemed and is recorded as deferred revenue until recognized.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revenue consists of income generated by our resort operations, which includes sales of real estate, lodging rentals, food and beverage sales, and other income from various resort services offered. Revenue is recognized upon closing of the sale of real estate or once goods and services have been provided and billed to the customer.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3"/>
              </w:rPr>
              <w:t>September 30, 2022</w:t>
            </w:r>
          </w:p>
        </w:tc>
        <w:tc>
          <w:tcPr>
            <w:tcW w:w="240" w:type="dxa"/>
            <w:vAlign w:val="bottom"/>
          </w:tcPr>
          <w:p>
            <w:pPr>
              <w:spacing w:after="0"/>
              <w:rPr>
                <w:sz w:val="16"/>
                <w:szCs w:val="16"/>
                <w:color w:val="auto"/>
              </w:rPr>
            </w:pPr>
          </w:p>
        </w:tc>
        <w:tc>
          <w:tcPr>
            <w:tcW w:w="146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 2021</w:t>
            </w:r>
          </w:p>
        </w:tc>
      </w:tr>
      <w:tr>
        <w:trPr>
          <w:trHeight w:val="25"/>
        </w:trPr>
        <w:tc>
          <w:tcPr>
            <w:tcW w:w="7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r>
      <w:tr>
        <w:trPr>
          <w:trHeight w:val="188"/>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3"/>
          </w:tcPr>
          <w:p>
            <w:pPr>
              <w:jc w:val="right"/>
              <w:ind w:right="1216"/>
              <w:spacing w:after="0"/>
              <w:rPr>
                <w:sz w:val="20"/>
                <w:szCs w:val="20"/>
                <w:color w:val="auto"/>
              </w:rPr>
            </w:pPr>
            <w:r>
              <w:rPr>
                <w:rFonts w:ascii="Arial" w:cs="Arial" w:eastAsia="Arial" w:hAnsi="Arial"/>
                <w:sz w:val="14"/>
                <w:szCs w:val="14"/>
                <w:b w:val="1"/>
                <w:bCs w:val="1"/>
                <w:color w:val="auto"/>
              </w:rPr>
              <w:t>(In millions)</w:t>
            </w:r>
          </w:p>
        </w:tc>
      </w:tr>
      <w:tr>
        <w:trPr>
          <w:trHeight w:val="23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Deferred revenue (contract liabilities)</w:t>
            </w: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Deferred revenue is recorded primarily for restaurant gift card sales. The unrecognized portion of such revenue is recorded as Deferred revenue in the Condensed Consolidated Balance Sheets. Revenue of $3.3 million and $10.9 million, respectively, was recognized in the three and nine months ended September 30, 2022 that was included in Deferred revenue at the beginning of the period. Revenue of $3.8 million and $13.3 million, respectively, was recognized in the three and nine months ended September 30, 2021 that was included in Deferred revenue at the beginning of the period.</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impairment related to contract balances.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w:t>
      </w:r>
    </w:p>
    <w:p>
      <w:pPr>
        <w:spacing w:after="0" w:line="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fair value hierarchy for those assets and liabilities measured at fair value on a recurring basis as of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 and December 31, 2021,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 2022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9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20"/>
              <w:spacing w:after="0"/>
              <w:rPr>
                <w:sz w:val="20"/>
                <w:szCs w:val="20"/>
                <w:color w:val="auto"/>
              </w:rPr>
            </w:pPr>
            <w:r>
              <w:rPr>
                <w:rFonts w:ascii="Arial" w:cs="Arial" w:eastAsia="Arial" w:hAnsi="Arial"/>
                <w:sz w:val="18"/>
                <w:szCs w:val="18"/>
                <w:color w:val="auto"/>
              </w:rPr>
              <w:t>Ceridian</w:t>
            </w:r>
          </w:p>
        </w:tc>
        <w:tc>
          <w:tcPr>
            <w:tcW w:w="3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equity securities</w:t>
            </w:r>
          </w:p>
        </w:tc>
        <w:tc>
          <w:tcPr>
            <w:tcW w:w="28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Paysafe Warrants</w:t>
            </w:r>
          </w:p>
        </w:tc>
        <w:tc>
          <w:tcPr>
            <w:tcW w:w="2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noncurrent assets</w:t>
            </w:r>
          </w:p>
        </w:tc>
        <w:tc>
          <w:tcPr>
            <w:tcW w:w="28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91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39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4"/>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6720" w:type="dxa"/>
            <w:vAlign w:val="bottom"/>
          </w:tcPr>
          <w:p>
            <w:pPr>
              <w:ind w:left="120"/>
              <w:spacing w:after="0"/>
              <w:rPr>
                <w:sz w:val="20"/>
                <w:szCs w:val="20"/>
                <w:color w:val="auto"/>
              </w:rPr>
            </w:pPr>
            <w:r>
              <w:rPr>
                <w:rFonts w:ascii="Arial" w:cs="Arial" w:eastAsia="Arial" w:hAnsi="Arial"/>
                <w:sz w:val="18"/>
                <w:szCs w:val="18"/>
                <w:color w:val="auto"/>
              </w:rPr>
              <w:t>Ceridian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1,044.6</w:t>
            </w:r>
          </w:p>
        </w:tc>
      </w:tr>
      <w:tr>
        <w:trPr>
          <w:trHeight w:val="23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6720" w:type="dxa"/>
            <w:vAlign w:val="bottom"/>
          </w:tcPr>
          <w:p>
            <w:pPr>
              <w:ind w:left="24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0.5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1,045.1</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720" w:type="dxa"/>
            <w:vAlign w:val="bottom"/>
          </w:tcPr>
          <w:p>
            <w:pPr>
              <w:ind w:left="120"/>
              <w:spacing w:after="0"/>
              <w:rPr>
                <w:sz w:val="20"/>
                <w:szCs w:val="20"/>
                <w:color w:val="auto"/>
              </w:rPr>
            </w:pPr>
            <w:r>
              <w:rPr>
                <w:rFonts w:ascii="Arial" w:cs="Arial" w:eastAsia="Arial" w:hAnsi="Arial"/>
                <w:sz w:val="18"/>
                <w:szCs w:val="18"/>
                <w:color w:val="auto"/>
              </w:rPr>
              <w:t>S1 Backstop Agreement</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Paysafe Warrants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720" w:type="dxa"/>
            <w:vAlign w:val="bottom"/>
          </w:tcPr>
          <w:p>
            <w:pPr>
              <w:ind w:left="120"/>
              <w:spacing w:after="0"/>
              <w:rPr>
                <w:sz w:val="20"/>
                <w:szCs w:val="20"/>
                <w:color w:val="auto"/>
              </w:rPr>
            </w:pPr>
            <w:r>
              <w:rPr>
                <w:rFonts w:ascii="Arial" w:cs="Arial" w:eastAsia="Arial" w:hAnsi="Arial"/>
                <w:sz w:val="18"/>
                <w:szCs w:val="18"/>
                <w:color w:val="auto"/>
              </w:rPr>
              <w:t>AAII Warrants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672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noncurrent assets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3"/>
        </w:trPr>
        <w:tc>
          <w:tcPr>
            <w:tcW w:w="67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w:t>
            </w:r>
          </w:p>
        </w:tc>
      </w:tr>
      <w:tr>
        <w:trPr>
          <w:trHeight w:val="21"/>
        </w:trPr>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20" w:type="dxa"/>
            <w:vAlign w:val="bottom"/>
            <w:gridSpan w:val="13"/>
          </w:tcPr>
          <w:p>
            <w:pPr>
              <w:ind w:left="40"/>
              <w:spacing w:after="0"/>
              <w:rPr>
                <w:sz w:val="20"/>
                <w:szCs w:val="20"/>
                <w:color w:val="auto"/>
              </w:rPr>
            </w:pPr>
            <w:r>
              <w:rPr>
                <w:rFonts w:ascii="Arial" w:cs="Arial" w:eastAsia="Arial" w:hAnsi="Arial"/>
                <w:sz w:val="14"/>
                <w:szCs w:val="14"/>
                <w:b w:val="1"/>
                <w:bCs w:val="1"/>
                <w:color w:val="auto"/>
              </w:rPr>
              <w:t>Three Months Ended September 30, 2021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Forward Purchase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w w:val="93"/>
              </w:rPr>
              <w:t>Subscription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AAII</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w w:val="98"/>
              </w:rPr>
              <w:t>Agreements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w w:val="96"/>
              </w:rPr>
              <w:t>Agreements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Warrants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valuation gain (loss) included in earnings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78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w w:val="98"/>
              </w:rPr>
              <w:t>Reclassification to investments in unconsolidated affiliates and warrants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Transfers to Level 2</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end of period</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10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14"/>
          </w:tcPr>
          <w:p>
            <w:pPr>
              <w:ind w:left="640"/>
              <w:spacing w:after="0"/>
              <w:rPr>
                <w:sz w:val="20"/>
                <w:szCs w:val="20"/>
                <w:color w:val="auto"/>
              </w:rPr>
            </w:pPr>
            <w:r>
              <w:rPr>
                <w:rFonts w:ascii="Arial" w:cs="Arial" w:eastAsia="Arial" w:hAnsi="Arial"/>
                <w:sz w:val="14"/>
                <w:szCs w:val="14"/>
                <w:b w:val="1"/>
                <w:bCs w:val="1"/>
                <w:color w:val="auto"/>
              </w:rPr>
              <w:t>Nine Months Ended September 30, 2021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Corporate debt</w:t>
            </w:r>
          </w:p>
        </w:tc>
        <w:tc>
          <w:tcPr>
            <w:tcW w:w="140" w:type="dxa"/>
            <w:vAlign w:val="bottom"/>
          </w:tcPr>
          <w:p>
            <w:pPr>
              <w:spacing w:after="0"/>
              <w:rPr>
                <w:sz w:val="15"/>
                <w:szCs w:val="15"/>
                <w:color w:val="auto"/>
              </w:rPr>
            </w:pPr>
          </w:p>
        </w:tc>
        <w:tc>
          <w:tcPr>
            <w:tcW w:w="13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94"/>
              </w:rPr>
              <w:t>Forward Purchase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Subscription</w:t>
            </w:r>
          </w:p>
        </w:tc>
        <w:tc>
          <w:tcPr>
            <w:tcW w:w="140" w:type="dxa"/>
            <w:vAlign w:val="bottom"/>
          </w:tcPr>
          <w:p>
            <w:pPr>
              <w:spacing w:after="0"/>
              <w:rPr>
                <w:sz w:val="15"/>
                <w:szCs w:val="15"/>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AAII</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Agreements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Agreements</w:t>
            </w:r>
          </w:p>
        </w:tc>
        <w:tc>
          <w:tcPr>
            <w:tcW w:w="140" w:type="dxa"/>
            <w:vAlign w:val="bottom"/>
          </w:tcPr>
          <w:p>
            <w:pPr>
              <w:spacing w:after="0"/>
              <w:rPr>
                <w:sz w:val="16"/>
                <w:szCs w:val="16"/>
                <w:color w:val="auto"/>
              </w:rPr>
            </w:pP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Recognized gain on settlement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 of corporate debt securities</w:t>
            </w: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120"/>
              <w:spacing w:after="0" w:line="230" w:lineRule="exact"/>
              <w:rPr>
                <w:sz w:val="20"/>
                <w:szCs w:val="20"/>
                <w:color w:val="auto"/>
              </w:rPr>
            </w:pPr>
            <w:r>
              <w:rPr>
                <w:rFonts w:ascii="Arial" w:cs="Arial" w:eastAsia="Arial" w:hAnsi="Arial"/>
                <w:sz w:val="18"/>
                <w:szCs w:val="18"/>
                <w:color w:val="auto"/>
              </w:rPr>
              <w:t xml:space="preserve">Net valuation (loss) gain included in earnings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43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1"/>
              </w:rPr>
              <w:t>Reclassification to investments in unconsolidated affiliates</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warrants</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2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Purchase of AAII Warrants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43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Net valuation gain included in other comprehensive</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380" w:type="dxa"/>
            <w:vAlign w:val="bottom"/>
            <w:shd w:val="clear" w:color="auto" w:fill="CCEEFF"/>
          </w:tcPr>
          <w:p>
            <w:pPr>
              <w:ind w:left="120"/>
              <w:spacing w:after="0" w:line="243"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Transfers to Level 2</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gridSpan w:val="4"/>
          </w:tcPr>
          <w:p>
            <w:pPr>
              <w:jc w:val="right"/>
              <w:ind w:right="1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21"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Recognized gains and (losses), net on the Condensed Consolidated Statements of Operations</w:t>
      </w:r>
    </w:p>
    <w:p>
      <w:pPr>
        <w:spacing w:after="0" w:line="14" w:lineRule="exact"/>
        <w:rPr>
          <w:rFonts w:ascii="Arial" w:cs="Arial" w:eastAsia="Arial" w:hAnsi="Arial"/>
          <w:sz w:val="14"/>
          <w:szCs w:val="14"/>
          <w:color w:val="auto"/>
        </w:rPr>
      </w:pPr>
    </w:p>
    <w:p>
      <w:pPr>
        <w:ind w:right="20" w:firstLine="8"/>
        <w:spacing w:after="0" w:line="283" w:lineRule="auto"/>
        <w:tabs>
          <w:tab w:leader="none" w:pos="23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Unrealized gain on investments and other financial instruments, net (excluding investments in unconsolidated affiliates) on the Condensed Consolidated Statements of Comprehensive Earnings (Loss)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had no material assets or liabilities valued on a recurring basis using Level 3 inputs as of or for the nine months ended September 30, 2022.</w:t>
      </w:r>
    </w:p>
    <w:p>
      <w:pPr>
        <w:spacing w:after="0" w:line="1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of the unrealized gain on investments and other financial instruments, net (excluding investments in unconsolidated affiliates) on our Condensed Consolidated Statements of Comprehensive Earnings (Loss) for the nine months ended September 30, 2021 relate to fixed maturity securities that are considered Level 3 fair value measures.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amounts of trade receivables and notes receivable approximate fair value due to their short-term nature. The fair value of our notes payable is included in Note 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Gains (losses) on equity securities included in Recognized losses, net on the Condensed Consolidated Statements of Operations consisted of the following for the three and nine months ended September 30, 2022 and 2021:</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30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58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Net gains (losses) recognized during the period on equity securities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85"/>
              </w:rPr>
              <w:t>14.4</w:t>
            </w: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Less: net gains (losses) recognized during the period on equity</w:t>
            </w: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securities sold or transferred during the period</w:t>
            </w:r>
          </w:p>
        </w:tc>
        <w:tc>
          <w:tcPr>
            <w:tcW w:w="92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center"/>
              <w:ind w:left="535"/>
              <w:spacing w:after="0"/>
              <w:rPr>
                <w:sz w:val="20"/>
                <w:szCs w:val="20"/>
                <w:color w:val="auto"/>
              </w:rPr>
            </w:pPr>
            <w:r>
              <w:rPr>
                <w:rFonts w:ascii="Arial" w:cs="Arial" w:eastAsia="Arial" w:hAnsi="Arial"/>
                <w:sz w:val="18"/>
                <w:szCs w:val="18"/>
                <w:color w:val="auto"/>
                <w:w w:val="93"/>
              </w:rPr>
              <w:t>(52.1)</w:t>
            </w:r>
          </w:p>
        </w:tc>
        <w:tc>
          <w:tcPr>
            <w:tcW w:w="0" w:type="dxa"/>
            <w:vAlign w:val="bottom"/>
          </w:tcPr>
          <w:p>
            <w:pPr>
              <w:spacing w:after="0"/>
              <w:rPr>
                <w:sz w:val="1"/>
                <w:szCs w:val="1"/>
                <w:color w:val="auto"/>
              </w:rPr>
            </w:pPr>
          </w:p>
        </w:tc>
      </w:tr>
      <w:tr>
        <w:trPr>
          <w:trHeight w:val="156"/>
        </w:trPr>
        <w:tc>
          <w:tcPr>
            <w:tcW w:w="52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Unrealized gains (losses) recognized during the reporting period on</w:t>
            </w:r>
          </w:p>
        </w:tc>
        <w:tc>
          <w:tcPr>
            <w:tcW w:w="920" w:type="dxa"/>
            <w:vAlign w:val="bottom"/>
            <w:tcBorders>
              <w:top w:val="single" w:sz="8" w:color="auto"/>
            </w:tcBorders>
            <w:vMerge w:val="restart"/>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shd w:val="clear" w:color="auto" w:fill="CCEEFF"/>
          </w:tcPr>
          <w:p>
            <w:pPr>
              <w:jc w:val="center"/>
              <w:ind w:left="555"/>
              <w:spacing w:after="0"/>
              <w:rPr>
                <w:sz w:val="20"/>
                <w:szCs w:val="20"/>
                <w:color w:val="auto"/>
              </w:rPr>
            </w:pPr>
            <w:r>
              <w:rPr>
                <w:rFonts w:ascii="Arial" w:cs="Arial" w:eastAsia="Arial" w:hAnsi="Arial"/>
                <w:sz w:val="18"/>
                <w:szCs w:val="18"/>
                <w:color w:val="auto"/>
                <w:w w:val="85"/>
              </w:rPr>
              <w:t>66.5</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securities held at the reporting date</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recorded using the equity method of accounting as of September 30, 2022 and December 31, 2021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Ownership at</w:t>
            </w:r>
          </w:p>
        </w:tc>
        <w:tc>
          <w:tcPr>
            <w:tcW w:w="140" w:type="dxa"/>
            <w:vAlign w:val="bottom"/>
          </w:tcPr>
          <w:p>
            <w:pPr>
              <w:spacing w:after="0"/>
              <w:rPr>
                <w:sz w:val="14"/>
                <w:szCs w:val="1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 2022</w:t>
            </w:r>
          </w:p>
        </w:tc>
        <w:tc>
          <w:tcPr>
            <w:tcW w:w="160" w:type="dxa"/>
            <w:vAlign w:val="bottom"/>
          </w:tcPr>
          <w:p>
            <w:pPr>
              <w:spacing w:after="0"/>
              <w:rPr>
                <w:sz w:val="14"/>
                <w:szCs w:val="14"/>
                <w:color w:val="auto"/>
              </w:rPr>
            </w:pPr>
          </w:p>
        </w:tc>
        <w:tc>
          <w:tcPr>
            <w:tcW w:w="14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 2022</w:t>
            </w:r>
          </w:p>
        </w:tc>
        <w:tc>
          <w:tcPr>
            <w:tcW w:w="14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6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4"/>
          </w:tcPr>
          <w:p>
            <w:pPr>
              <w:jc w:val="right"/>
              <w:ind w:right="119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Alight/FTAC Sponsor</w:t>
            </w:r>
          </w:p>
        </w:tc>
        <w:tc>
          <w:tcPr>
            <w:tcW w:w="1760" w:type="dxa"/>
            <w:vAlign w:val="bottom"/>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System1/Trebia Sponsor</w:t>
            </w:r>
          </w:p>
        </w:tc>
        <w:tc>
          <w:tcPr>
            <w:tcW w:w="1760" w:type="dxa"/>
            <w:vAlign w:val="bottom"/>
          </w:tcPr>
          <w:p>
            <w:pPr>
              <w:jc w:val="right"/>
              <w:spacing w:after="0"/>
              <w:rPr>
                <w:sz w:val="20"/>
                <w:szCs w:val="20"/>
                <w:color w:val="auto"/>
              </w:rPr>
            </w:pPr>
            <w:r>
              <w:rPr>
                <w:rFonts w:ascii="Arial" w:cs="Arial" w:eastAsia="Arial" w:hAnsi="Arial"/>
                <w:sz w:val="18"/>
                <w:szCs w:val="18"/>
                <w:color w:val="auto"/>
              </w:rPr>
              <w:t>24.1 %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Paysafe</w:t>
            </w:r>
          </w:p>
        </w:tc>
        <w:tc>
          <w:tcPr>
            <w:tcW w:w="1760" w:type="dxa"/>
            <w:vAlign w:val="bottom"/>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80" w:type="dxa"/>
            <w:vAlign w:val="bottom"/>
            <w:tcBorders>
              <w:bottom w:val="single" w:sz="8" w:color="CCEEFF"/>
            </w:tcBorders>
            <w:gridSpan w:val="2"/>
          </w:tcPr>
          <w:p>
            <w:pPr>
              <w:ind w:left="1220"/>
              <w:spacing w:after="0"/>
              <w:rPr>
                <w:sz w:val="20"/>
                <w:szCs w:val="20"/>
                <w:color w:val="auto"/>
              </w:rPr>
            </w:pPr>
            <w:r>
              <w:rPr>
                <w:rFonts w:ascii="Arial" w:cs="Arial" w:eastAsia="Arial" w:hAnsi="Arial"/>
                <w:sz w:val="18"/>
                <w:szCs w:val="18"/>
                <w:color w:val="auto"/>
              </w:rPr>
              <w:t>various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aggregate fair value of our direct and indirect ownership in the common stock of unconsolidated affiliates that have quoted market prices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September 30, 2022</w:t>
            </w:r>
          </w:p>
        </w:tc>
      </w:tr>
      <w:tr>
        <w:trPr>
          <w:trHeight w:val="25"/>
        </w:trPr>
        <w:tc>
          <w:tcPr>
            <w:tcW w:w="9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8"/>
        </w:trPr>
        <w:tc>
          <w:tcPr>
            <w:tcW w:w="9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76"/>
              <w:spacing w:after="0"/>
              <w:rPr>
                <w:sz w:val="20"/>
                <w:szCs w:val="20"/>
                <w:color w:val="auto"/>
              </w:rPr>
            </w:pPr>
            <w:r>
              <w:rPr>
                <w:rFonts w:ascii="Arial" w:cs="Arial" w:eastAsia="Arial" w:hAnsi="Arial"/>
                <w:sz w:val="14"/>
                <w:szCs w:val="14"/>
                <w:b w:val="1"/>
                <w:bCs w:val="1"/>
                <w:color w:val="auto"/>
              </w:rPr>
              <w:t>(in millions)</w:t>
            </w:r>
          </w:p>
        </w:tc>
      </w:tr>
      <w:tr>
        <w:trPr>
          <w:trHeight w:val="238"/>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Alight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384.7</w:t>
            </w:r>
          </w:p>
        </w:tc>
      </w:tr>
      <w:tr>
        <w:trPr>
          <w:trHeight w:val="230"/>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System1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r>
      <w:tr>
        <w:trPr>
          <w:trHeight w:val="230"/>
        </w:trPr>
        <w:tc>
          <w:tcPr>
            <w:tcW w:w="9580" w:type="dxa"/>
            <w:vAlign w:val="bottom"/>
          </w:tcPr>
          <w:p>
            <w:pPr>
              <w:ind w:left="20"/>
              <w:spacing w:after="0"/>
              <w:rPr>
                <w:sz w:val="20"/>
                <w:szCs w:val="20"/>
                <w:color w:val="auto"/>
              </w:rPr>
            </w:pPr>
            <w:r>
              <w:rPr>
                <w:rFonts w:ascii="Arial" w:cs="Arial" w:eastAsia="Arial" w:hAnsi="Arial"/>
                <w:sz w:val="18"/>
                <w:szCs w:val="18"/>
                <w:color w:val="auto"/>
              </w:rPr>
              <w:t>Paysafe</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82.5</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Equity in (losses) earnings of unconsolidated affiliates for the three and nine months ended September 30, 2022 and 2021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5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54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194"/>
        </w:trPr>
        <w:tc>
          <w:tcPr>
            <w:tcW w:w="5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8"/>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Paysafe/Trasimene Capital FT, LP II ("FTAC II Sponsor")</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Alight/FTAC Sponsor</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System1/Trebia Sponsor</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AmeriLife</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5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Sightline</w:t>
            </w:r>
            <w:r>
              <w:rPr>
                <w:rFonts w:ascii="Arial" w:cs="Arial" w:eastAsia="Arial" w:hAnsi="Arial"/>
                <w:sz w:val="23"/>
                <w:szCs w:val="23"/>
                <w:color w:val="auto"/>
                <w:vertAlign w:val="superscript"/>
              </w:rPr>
              <w:t>(1)</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_____________________________________</w:t>
      </w:r>
    </w:p>
    <w:p>
      <w:pPr>
        <w:spacing w:after="0" w:line="13" w:lineRule="exact"/>
        <w:rPr>
          <w:sz w:val="20"/>
          <w:szCs w:val="20"/>
          <w:color w:val="auto"/>
        </w:rPr>
      </w:pPr>
    </w:p>
    <w:p>
      <w:pPr>
        <w:ind w:right="300" w:firstLine="8"/>
        <w:spacing w:after="0" w:line="275" w:lineRule="auto"/>
        <w:tabs>
          <w:tab w:leader="none" w:pos="204" w:val="left"/>
        </w:tabs>
        <w:numPr>
          <w:ilvl w:val="0"/>
          <w:numId w:val="5"/>
        </w:numPr>
        <w:rPr>
          <w:rFonts w:ascii="Arial" w:cs="Arial" w:eastAsia="Arial" w:hAnsi="Arial"/>
          <w:sz w:val="14"/>
          <w:szCs w:val="14"/>
          <w:color w:val="auto"/>
        </w:rPr>
      </w:pPr>
      <w:r>
        <w:rPr>
          <w:rFonts w:ascii="Arial" w:cs="Arial" w:eastAsia="Arial" w:hAnsi="Arial"/>
          <w:sz w:val="14"/>
          <w:szCs w:val="14"/>
          <w:color w:val="auto"/>
        </w:rPr>
        <w:t>Equity in losses for Sightline includes $1.9 million and $5.7 million of loss in the three and nine months ended September 30, 2022, respectively, related to amortization of Cannae's basis difference between the book value of its investment and ratable portion of the underlying equity in net assets of Sightline.</w:t>
      </w: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As of September 30, 2022, there was a $211.2 million difference between the amount of our recorded ownership interest in D&amp;B and the amount of the Company's ratable portion of the underlying equity in the net assets of D&amp;B. The basis difference is primarily a result of our increased ownership resulting from the Optimal Blue Disposition. As of September 30, 2022, $142.4 million of such basis difference is allocated to amortizing intangible assets, $59.7 million to indefinite-lived intangible assets and the remaining basis difference of $9.1 million to equity method goodwill, which represents the excess of our basis difference over our equity in D&amp;B's net assets that are not attributable to their identifiable net assets.</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Summarized financial information for D&amp;B for the relevant dates and time periods included in Investments in unconsolidated affiliates and Equity in earnings of unconsolidated affiliates in our Condensed Consolidated Balance Sheets and Statements of Operations, respectively, is presented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220" w:type="dxa"/>
            <w:vAlign w:val="bottom"/>
          </w:tcPr>
          <w:p>
            <w:pPr>
              <w:jc w:val="right"/>
              <w:ind w:right="273"/>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8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194"/>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6"/>
                <w:szCs w:val="16"/>
                <w:color w:val="auto"/>
              </w:rPr>
            </w:pPr>
          </w:p>
        </w:tc>
      </w:tr>
      <w:tr>
        <w:trPr>
          <w:trHeight w:val="238"/>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7,796.7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8,317.8</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9,429.7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9,997.2</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936.4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1,004.9</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3,716.7</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1,530.3</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6,251.9</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3,745.3</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9,997.2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8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4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600" w:type="dxa"/>
            <w:vAlign w:val="bottom"/>
          </w:tcPr>
          <w:p>
            <w:pPr>
              <w:spacing w:after="0"/>
              <w:rPr>
                <w:sz w:val="16"/>
                <w:szCs w:val="16"/>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194"/>
        </w:trPr>
        <w:tc>
          <w:tcPr>
            <w:tcW w:w="4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556.3</w:t>
            </w:r>
          </w:p>
        </w:tc>
        <w:tc>
          <w:tcPr>
            <w:tcW w:w="116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541.9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1,629.6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Earnings (loss) before income taxes</w:t>
            </w:r>
          </w:p>
        </w:tc>
        <w:tc>
          <w:tcPr>
            <w:tcW w:w="104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Net earnings attributable to noncontrolling interest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Dun &amp; Bradstreet</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System1</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acquired our ownership interest in System1 on January 27, 2022. We account for our ownership of System1 pursuant to the equity method of accounting and report our equity in earnings or loss of System1 on a three-month lag. Accordingly, our net loss for the three and nine months ended September 30, 2022 includes our equity in the losses of System1 for the three months ended June 30, 2022 and the period from January 27, 2022 through June 30, 2022.</w:t>
      </w:r>
    </w:p>
    <w:p>
      <w:pPr>
        <w:spacing w:after="0" w:line="6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As of September 30, 2022, there was a $38.9 million difference between the amount of our recorded ownership interest in System1 and Trebia Sponsor and the amount of the Company's ratable portion of the underlying equity in the net assets of System1 and Trebia Sponsor. All of the basis difference has been allocated to equity method goodwill, which represents the excess of our basis difference over our equity in System 1 and Trebia Sponsor's net assets that are not attributable to their identifiable net assets.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Paysafe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Based on quoted market prices, the aggregate value of our ownership of Paysafe common stock was $202.6 million as of March 31, 2022 and the book value of our ownership interest in Paysafe was $438.6 million prior to any impairment. Due primarily to the quantum of the decrease in the fair market value of our ownership interest, as well as negative trends in the alternative payments industry and decreasing market multiples of peer companies, management determined the decrease in value of our ownership interest in Paysafe was other-than-temporary. Accordingly, we recorded an impairment charge of $236.0 million in the nine months ended September 30, 2022 which is included in Recognized losses, net, on our Condensed Consolidated Statement of Operations. As a result of the impairment, the basis difference between the carrying value of our ownership interest in Paysafe and the Company’s ratable portion of Paysafe’s net assets which was previously attributable to equity method goodwill was eliminated.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account for our ownership of preferred equity of QOMPLX and certain other ownership interests at cost less impairment, if any, plus or minus changes resulting from observable price changes in orderly market transactions. As of September 30, 2022 and December 31, 2021, we have $26.3 million and $54.2 million, respectively, recorded for our ownership of QOMPLX and certain other ownership interests, which is included in Other long term investments and noncurrent assets on our Condensed Consolidated Balance Sheets.</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nine months ended September 30, 2022, we recorded an impairment of $32.8 million to our ownership interest in QOMPLX. The amount of the impairment charge was determined based on the valuation of QOMPLX implied by a third-party investment in the preferred equity of QOMPLX.</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Notes Payable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payable, net consists of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r>
      <w:tr>
        <w:trPr>
          <w:trHeight w:val="194"/>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(In millions)</w:t>
            </w:r>
          </w:p>
        </w:tc>
      </w:tr>
      <w:tr>
        <w:trPr>
          <w:trHeight w:val="238"/>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Margin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tcPr>
          <w:p>
            <w:pPr>
              <w:ind w:left="20"/>
              <w:spacing w:after="0"/>
              <w:rPr>
                <w:sz w:val="20"/>
                <w:szCs w:val="20"/>
                <w:color w:val="auto"/>
              </w:rPr>
            </w:pPr>
            <w:r>
              <w:rPr>
                <w:rFonts w:ascii="Arial" w:cs="Arial" w:eastAsia="Arial" w:hAnsi="Arial"/>
                <w:sz w:val="18"/>
                <w:szCs w:val="18"/>
                <w:color w:val="auto"/>
              </w:rPr>
              <w:t>2022 Restaurants Credit Facility</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Brasada Interstate Loans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FNF Revolver</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Notes payable, 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Notes payable, current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580" w:type="dxa"/>
            <w:vAlign w:val="bottom"/>
          </w:tcPr>
          <w:p>
            <w:pPr>
              <w:ind w:left="20"/>
              <w:spacing w:after="0"/>
              <w:rPr>
                <w:sz w:val="20"/>
                <w:szCs w:val="20"/>
                <w:color w:val="auto"/>
              </w:rPr>
            </w:pPr>
            <w:r>
              <w:rPr>
                <w:rFonts w:ascii="Arial" w:cs="Arial" w:eastAsia="Arial" w:hAnsi="Arial"/>
                <w:sz w:val="18"/>
                <w:szCs w:val="18"/>
                <w:color w:val="auto"/>
              </w:rPr>
              <w:t>Notes payable, long term</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1"/>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September 30, 2022, the carrying value of our outstanding notes payable approximates fair value and are considered Level 2 financial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Margin Facility</w:t>
      </w:r>
    </w:p>
    <w:p>
      <w:pPr>
        <w:spacing w:after="0" w:line="11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November 30, 2020, Cannae Funding C, LLC (“Borrower 1”), an indirect wholly-owned special purpose subsidiary of the Company, and Cannae Funding D, LLC (“Borrower 2” and, together with Borrower 1, the “Borrowers”), an indirect wholly-owned special purpose subsidiary of the Company, entered into a Margin Loan Agreement (the “2020 Margin Facility”) with the lenders from time to time party thereto and Royal Bank of Canada. The Company concurrently entered into a guaranty (the “Guaranty Agreement”) for the benefit of each of the lenders to the 2020 Margin Facility pro rata to their loan commitments, pursuant to which the Company absolutely, unconditionally and irrevocably guaranteed all of the Borrowers’ obligations under the 2020 Margin Facility for a period of up to one year after the later of (i) the conditions precedent to the obligations of the lenders under the Loan Agreement being met (the date when such conditions have been met, the “Closing Date”) or (ii) as relevant, additional collateral or additional loan commitments being provided. Under the 2020 Margin Facility, the Borrowers may initially borrow up to $100.0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the 36-month anniversary of the Closing Date. All outstanding amounts under the 2020 Margin Facility bear interest quarterly at a rate per annum equal to a three-month LIBOR rate plus an applicable margin. Interest will be payable in kind unless the Borrowers elect to pay interest in cash or a cumulative cap is exceeded. The Borrowers’ obligations under the 2020 Margin Facility will be secured by a first priority lien on (i) 6 million shares of Ceridian, which the Company contributed to Borrower 1, and (ii) 19 million shares of D&amp;B, which the Company contributed to Borrower 2. The Borrowers may also, at their discretion, post up to an additional 4 million shares of Ceridian and/or 11 million shares of D&amp;B as collateral for the revolving loans from time to time after the Closing Date, subject to certain notice, guaranty, average daily trading volume and other requirements. The 2020 Margin Facility requires the Borrowers to maintain a certain loan-to-value ratio (based on the value of Ceridian and D&amp;B shares). In the event the Borrowers fail to maintain such loan-to-value ratio, the Borrowers must post additional cash collateral under the Loan Agreement and/or elect to repay a portion of the revolving loans thereunder, or sell the Ceridian and/or D&amp;B shares and use the proceeds from such sale to prepay a portion of the revolving loans thereunder.</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16, 2021, the Borrowers entered into an amendment agreement to the 2020 Margin Facility, which increased the borrowing capacity of the 2020 Margin Facility by an additional $100.0 million and resulted in the transfer of 16 million additional shares of D&amp;B to Borrower 2 as collateral. On December 10, 2021, the Borrowers entered into a second amendment agreement to the 2020 Margin Facility, which increased the borrowing capacity by an additional $100.0 million and released 1 million shares of Ceridian as collateral. As of December 31, 2021, the 2020 Margin Facility was secured by a first priority lien on 5 million shares of Ceridian and 35 million shares of D&amp;B.</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20, 2022, the Borrowers entered into a third amendment agreement to the 2020 Margin Facility, which added 1 million shares of Ceridian as collateral, limited the collateral value of D&amp;B shares to 1.5 times that of the Ceridian shares for purposes of calculating loan-to-value ratios, and decreased the threshold price of Ceridian shares and D&amp;B shares.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12, 2022, the Borrowers entered into a fourth amendment agreement to the 2020 Margin Facility, which reduced the borrowing capacity from $300.0 million to $250.0 million and changed the interest rate to three-month adjusted SOFR plus an applicable margin.</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2022, there was no outstanding balance under the 2020 Margin Facility, $250.0 million of unused capacity under the 2020 Margin Facility with an option to increase the capacity to $500.0 million upon amendment, and the 2020 Margin Facility was secured by 6 million shares of Ceridian and 35 million shares of D&amp;B.</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Restaurants Credit Facility</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December 31, 2021, 99 Restaurants, LLC and 99 West, LLC, both wholly-owned subsidiaries of 99 Restaurants, O'Charley's LLC, a wholly-owned subsidiary of O'Charley's and Restaurant Growth Services, LLC, a 65.4%-owned subsidiary of the Company (collectively, the "Restaurant Borrowers") entered into an amendment to the credit agreement by and among 99 Restaurants LLC, a direct, wholly-owned subsidiary of 99 Restaurants and Fifth Third Bank and which was subsequently amended on September 19, 2022 (the "2022 Restaurants Credit Facility"). The 2022 Restaurants Credit Facility principally provides for: (i) a revolving credit commitment of $17.5 million in the aggregate (the "Restaurant Revolver") and (ii) a sub-facility for an aggregate of $11.0 million of letters of credit. The 2022 Restaurants Credit Facility matures on December 31, 2026. The 2022 Restaurants Credit Facility is secured by certain assets of the Restaurant Borrowers and their subsidiaries and contains customary covenants and events of default.</w:t>
      </w:r>
    </w:p>
    <w:p>
      <w:pPr>
        <w:spacing w:after="0" w:line="5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September 30, 2022, there was a $10.0 million outstanding principal amount under the 2022 Restaurants Credit Facility, which incurred interest at 6.98%. Subsequent to September 30, 2022, the Restaurant Borrowers paid $2.9 million of the principal outstanding and as a result has $7.1 million outstanding under the 2022 Restaurants Credit Facility as of the date of this Quarterly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Brasada Interstate Loans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29, 2016, FNF NV Brasada, LLC, an Oregon limited liability company and majority-owned subsidiary of Cannae ("NV Brasada"), entered into a credit agreement (the “Interstate Credit Agreement”) originally with Bank of the Cascades, and later assigned to First Interstate Bank, as lender. Subsequent to various amendments from 2016 through 2022, the Interstate Credit Agreement currently provides for (i) a $12.5 million acquisition loan (the "Acquisition Loan"), (ii) a $2.1 million construction loan ("C Note") and (iii) a $0.7 million line of credit loan (the "Interstate LOC" and collectively with the Acquisition Loan and C Note, the "Brasada Interstate Loans").</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Brasada Interstate Loans are secured by certain single-family residential lots that can be sold for construction, owned by NV Brasada, and certain other operating assets owned by NV Brasada. The Company does not provide any guaranty or stock pledge under the Interstate Credit Agreement.</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2022, the Acquisition Loan had $9.7 million outstanding and incurred interest at rates ranging from 4.51% to 4.70%; the C Note had $2.0 million outstanding and incurred interest at 4.88%; and the Interstate LOC had no outstanding balance.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Revolver</w:t>
      </w:r>
    </w:p>
    <w:p>
      <w:pPr>
        <w:spacing w:after="0" w:line="10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On November 17, 2017,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Pursuant to the FNF Revolver, FNF may make one or more loans to us with up to $100.0 million outstanding at any time.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 On June 28, 2022, we completed the repurchase of all of our common stock previously held by FNF.</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September 30, 2022, there was a $84.7 million outstanding principal amount under the FNF Revolver which incurred interest at 7.05%.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ind w:left="4500"/>
              <w:spacing w:after="0"/>
              <w:rPr>
                <w:sz w:val="20"/>
                <w:szCs w:val="20"/>
                <w:color w:val="auto"/>
              </w:rPr>
            </w:pPr>
            <w:r>
              <w:rPr>
                <w:rFonts w:ascii="Arial" w:cs="Arial" w:eastAsia="Arial" w:hAnsi="Arial"/>
                <w:sz w:val="18"/>
                <w:szCs w:val="18"/>
                <w:b w:val="1"/>
                <w:bCs w:val="1"/>
                <w:color w:val="auto"/>
              </w:rPr>
              <w:t>CANNAE HOLDINGS, INC.</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9980" w:type="dxa"/>
            <w:vAlign w:val="bottom"/>
          </w:tcPr>
          <w:p>
            <w:pPr>
              <w:ind w:left="1560"/>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810"/>
        </w:trPr>
        <w:tc>
          <w:tcPr>
            <w:tcW w:w="9980" w:type="dxa"/>
            <w:vAlign w:val="bottom"/>
          </w:tcPr>
          <w:p>
            <w:pPr>
              <w:ind w:left="340"/>
              <w:spacing w:after="0"/>
              <w:rPr>
                <w:sz w:val="20"/>
                <w:szCs w:val="20"/>
                <w:color w:val="auto"/>
              </w:rPr>
            </w:pPr>
            <w:r>
              <w:rPr>
                <w:rFonts w:ascii="Arial" w:cs="Arial" w:eastAsia="Arial" w:hAnsi="Arial"/>
                <w:sz w:val="18"/>
                <w:szCs w:val="18"/>
                <w:color w:val="auto"/>
              </w:rPr>
              <w:t>Gross principal maturities of notes payable at September 30, 2022 are as follows (in millions):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35"/>
        </w:trPr>
        <w:tc>
          <w:tcPr>
            <w:tcW w:w="9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September 30, 2022 and December 31, 2021,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1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7"/>
          <w:szCs w:val="17"/>
          <w:color w:val="auto"/>
        </w:rPr>
        <w:t>On September 23, 2020, a stockholder derivative lawsuit styled Oklahoma Firefighters Pension &amp; Retirement System, derivatively on behalf of Cannae Holdings, Inc. v. William P. Foley, II, et al., was filed in the Court of Chancery of the State of 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On January 27, 2021, the Company entered into an amendment to the Management Services Agreement and plaintiff withdrew its motion for partial summary judgment as moot. On February 1, 2021, the court ordered the plaintiff's summary judgment motion withdrawn and dismissed the related count of the plaintiff's complaint. On February 18, 2021, our Board formed a Special Litigation Committee (the "SLC") consisting of two of the Board’s Directors, and has authorized the SLC, among other things, to investigate and evaluate the claims and allegations asserted in the lawsuit. The Board has also given the SLC the sole authority and power to consider and determine whether or not prosecution of the claims asserted in the lawsuit is in the best interest of the Company and its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shareholders, and what action the Company should take with respect to the lawsuit. On March 9, 2021, the Court entered a stipulated Order staying the action for six months to allow the SLC to investigate, review, and evaluate the facts, circumstances, and claims asserted in or relating to the action and to determine the Company’s response thereto. The stay expired on September 30, 2022. The defendants will contest the remaining claims in the action vigorously. On or about October 25, 2022, the parties, including the SLC acting on behalf of the Company, reached an agreement-in-principle to settle the action, subject to documentation in a formal stipulation of settlement, as well as approval by the Court. The agreement in principle includes, among other things, a payment of $6 million in cash to the Company, amendments to the Management Services Agreement between the Company and the Manager, and corporate governance changes.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certain unconditional purchase obligations, primarily in our Restaurant Group segment. These purchase obligations are with various vendors and are primarily related to food and beverage obligations with fixed commitments in regards to the time period of the contract and the quantities purchased with annual price adjustments that can fluctuate. We used both historical and projected volume and pricing as of September 30, 2022 to determine the amount of the obligations. Purchase obligations as of September 30, 2022 are as follows (in millions):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10000" w:type="dxa"/>
            <w:vAlign w:val="bottom"/>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0"/>
        </w:trPr>
        <w:tc>
          <w:tcPr>
            <w:tcW w:w="10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AAII FPA</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February 25, 2021, we entered into a forward purchase agreement (the "AAII FPA") with Austerlitz Acquisition Corp. II ("AAII"), a special purpose acquisition company whose business purpose is to effect a merger, capital stock exchange, asset acquisition, stock purchase, reorganization or similar business combination with one or more businesses or entities (the "AAII Initial Business Combination"). AAII is co-sponsored by entities affiliated with William P. Foley II. Under the AAII FPA, we agreed to purchase an aggregate of 12,500,000 shares of AAII’s Class A common stock, plus an aggregate of 3,125,000 redeemable warrants to purchase one share of AAII's Class A common stock at $11.50 per share for an aggregate purchase price of $125.0 million in a private placement to occur concurrently with the closing of the AAII Initial Business Combination. The AAII FPA is contingent upon the closing of the AAII Initial Business Combination. On October 3, 2022, AAII announced that it is seeking to redeem, prior to December 31, 2022, its outstanding class A ordinary shares for the cash held in its trust account prior to December 31, 2022. Accordingly, we do not expect to fund the AAII FPA.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Optimal Blue Disposition, Optimal Blue is no longer a reportable segment. As a result, the segment tables for the three and nine months ended September 30, 2021 have been retrospectively revised to remove Optimal Blue as a reportable segment.</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a result of the June AmeriLife Sale and our subsequent September 2022 agreement to sell an additional portion of our remaining ownership interest in AmeriLife, AmeriLife no longer meets the significance test and is no longer a reportable segment. As a result, the segment tables for the three and nine months ended September 30, 2021 have been retrospectively revised to remove AmeriLife as a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2022:</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color w:val="auto"/>
                <w:w w:val="84"/>
              </w:rPr>
              <w:t>Restaurant</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Dun &amp;</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color w:val="auto"/>
                <w:w w:val="86"/>
              </w:rPr>
              <w:t>Corporate and</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98"/>
              </w:rPr>
              <w:t>Affiliate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8"/>
              </w:rPr>
              <w:t>Group</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Bradstreet</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Paysafe</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98"/>
              </w:rPr>
              <w:t>Alight</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color w:val="auto"/>
                <w:w w:val="85"/>
              </w:rPr>
              <w:t>Other</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1"/>
              </w:rPr>
              <w:t>Elimination</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82"/>
        </w:trPr>
        <w:tc>
          <w:tcPr>
            <w:tcW w:w="442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556.3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(1,685.2)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556.3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(1,685.2)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143"/>
        </w:trPr>
        <w:tc>
          <w:tcPr>
            <w:tcW w:w="4420" w:type="dxa"/>
            <w:vAlign w:val="bottom"/>
          </w:tcPr>
          <w:p>
            <w:pPr>
              <w:ind w:left="20"/>
              <w:spacing w:after="0" w:line="143" w:lineRule="exact"/>
              <w:rPr>
                <w:sz w:val="20"/>
                <w:szCs w:val="20"/>
                <w:color w:val="auto"/>
              </w:rPr>
            </w:pPr>
            <w:r>
              <w:rPr>
                <w:rFonts w:ascii="Arial" w:cs="Arial" w:eastAsia="Arial" w:hAnsi="Arial"/>
                <w:sz w:val="14"/>
                <w:szCs w:val="14"/>
                <w:color w:val="auto"/>
                <w:w w:val="94"/>
              </w:rPr>
              <w:t>Interest, investment and other income, including recognized gains (losses),</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other income and realized gains (losses), net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565.6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766.0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(1,766.7)</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339.5</w:t>
            </w: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(313.7)</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3"/>
        </w:trPr>
        <w:tc>
          <w:tcPr>
            <w:tcW w:w="4420" w:type="dxa"/>
            <w:vAlign w:val="bottom"/>
          </w:tcPr>
          <w:p>
            <w:pPr>
              <w:ind w:left="20"/>
              <w:spacing w:after="0" w:line="143" w:lineRule="exact"/>
              <w:rPr>
                <w:sz w:val="20"/>
                <w:szCs w:val="20"/>
                <w:color w:val="auto"/>
              </w:rPr>
            </w:pPr>
            <w:r>
              <w:rPr>
                <w:rFonts w:ascii="Arial" w:cs="Arial" w:eastAsia="Arial" w:hAnsi="Arial"/>
                <w:sz w:val="14"/>
                <w:szCs w:val="14"/>
                <w:color w:val="auto"/>
              </w:rPr>
              <w:t>(Loss) earnings before income taxes and equity in earnings (losses) of</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(675.3)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734.6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188"/>
        </w:trPr>
        <w:tc>
          <w:tcPr>
            <w:tcW w:w="442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23"/>
        </w:trPr>
        <w:tc>
          <w:tcPr>
            <w:tcW w:w="4420" w:type="dxa"/>
            <w:vAlign w:val="bottom"/>
          </w:tcPr>
          <w:p>
            <w:pPr>
              <w:ind w:left="20"/>
              <w:spacing w:after="0" w:line="123" w:lineRule="exact"/>
              <w:rPr>
                <w:sz w:val="20"/>
                <w:szCs w:val="20"/>
                <w:color w:val="auto"/>
              </w:rPr>
            </w:pPr>
            <w:r>
              <w:rPr>
                <w:rFonts w:ascii="Arial" w:cs="Arial" w:eastAsia="Arial" w:hAnsi="Arial"/>
                <w:sz w:val="14"/>
                <w:szCs w:val="14"/>
                <w:color w:val="auto"/>
              </w:rPr>
              <w:t>(Loss) earnings, before equity in (losses) earnings of unconsolidated</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(658.7)</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693.8</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88"/>
        </w:trPr>
        <w:tc>
          <w:tcPr>
            <w:tcW w:w="442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196"/>
        </w:trPr>
        <w:tc>
          <w:tcPr>
            <w:tcW w:w="442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633.9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9,429.7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6,479.4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10,903.0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2,833.6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(26,812.1)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3,181.1</w:t>
            </w:r>
          </w:p>
        </w:tc>
        <w:tc>
          <w:tcPr>
            <w:tcW w:w="0" w:type="dxa"/>
            <w:vAlign w:val="bottom"/>
          </w:tcPr>
          <w:p>
            <w:pPr>
              <w:spacing w:after="0"/>
              <w:rPr>
                <w:sz w:val="1"/>
                <w:szCs w:val="1"/>
                <w:color w:val="auto"/>
              </w:rPr>
            </w:pPr>
          </w:p>
        </w:tc>
      </w:tr>
      <w:tr>
        <w:trPr>
          <w:trHeight w:val="182"/>
        </w:trPr>
        <w:tc>
          <w:tcPr>
            <w:tcW w:w="442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3,400.8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1,993.5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3,624.0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(9,018.3)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w w:val="84"/>
              </w:rPr>
              <w:t>Restaurant</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color w:val="auto"/>
                <w:w w:val="93"/>
              </w:rPr>
              <w:t>Dun &amp;</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Affiliate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8"/>
              </w:rPr>
              <w:t>Group</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Bradstreet</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Paysafe</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color w:val="auto"/>
                <w:w w:val="98"/>
              </w:rPr>
              <w:t>Alight</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4"/>
              </w:rPr>
              <w:t>Elimination</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82"/>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182"/>
        </w:trPr>
        <w:tc>
          <w:tcPr>
            <w:tcW w:w="448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384.3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384.3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(1,616.2)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43"/>
        </w:trPr>
        <w:tc>
          <w:tcPr>
            <w:tcW w:w="4480" w:type="dxa"/>
            <w:vAlign w:val="bottom"/>
          </w:tcPr>
          <w:p>
            <w:pPr>
              <w:ind w:left="20"/>
              <w:spacing w:after="0" w:line="143" w:lineRule="exact"/>
              <w:rPr>
                <w:sz w:val="20"/>
                <w:szCs w:val="20"/>
                <w:color w:val="auto"/>
              </w:rPr>
            </w:pPr>
            <w:r>
              <w:rPr>
                <w:rFonts w:ascii="Arial" w:cs="Arial" w:eastAsia="Arial" w:hAnsi="Arial"/>
                <w:sz w:val="14"/>
                <w:szCs w:val="14"/>
                <w:color w:val="auto"/>
                <w:w w:val="94"/>
              </w:rPr>
              <w:t>Interest investment and other income (expense), including recognized gains</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(117.0)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188"/>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(losses), net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other income and recognized gains (losses), net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555.4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430.9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(1,559.3)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6"/>
        </w:trPr>
        <w:tc>
          <w:tcPr>
            <w:tcW w:w="44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3"/>
        </w:trPr>
        <w:tc>
          <w:tcPr>
            <w:tcW w:w="4480" w:type="dxa"/>
            <w:vAlign w:val="bottom"/>
          </w:tcPr>
          <w:p>
            <w:pPr>
              <w:ind w:left="20"/>
              <w:spacing w:after="0" w:line="143" w:lineRule="exact"/>
              <w:rPr>
                <w:sz w:val="20"/>
                <w:szCs w:val="20"/>
                <w:color w:val="auto"/>
              </w:rPr>
            </w:pPr>
            <w:r>
              <w:rPr>
                <w:rFonts w:ascii="Arial" w:cs="Arial" w:eastAsia="Arial" w:hAnsi="Arial"/>
                <w:sz w:val="14"/>
                <w:szCs w:val="14"/>
                <w:color w:val="auto"/>
              </w:rPr>
              <w:t>(Loss) earnings before income taxes and equity in earnings (losses) of</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(190.4)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(194.6)</w:t>
            </w: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76"/>
        </w:trPr>
        <w:tc>
          <w:tcPr>
            <w:tcW w:w="4480" w:type="dxa"/>
            <w:vAlign w:val="bottom"/>
          </w:tcPr>
          <w:p>
            <w:pPr>
              <w:ind w:left="20"/>
              <w:spacing w:after="0"/>
              <w:rPr>
                <w:sz w:val="20"/>
                <w:szCs w:val="20"/>
                <w:color w:val="auto"/>
              </w:rPr>
            </w:pPr>
            <w:r>
              <w:rPr>
                <w:rFonts w:ascii="Arial" w:cs="Arial" w:eastAsia="Arial" w:hAnsi="Arial"/>
                <w:sz w:val="14"/>
                <w:szCs w:val="14"/>
                <w:color w:val="auto"/>
              </w:rPr>
              <w:t>(Loss) earnings before equity in earnings of unconsolidated affiliates</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(155.7)</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96"/>
        </w:trPr>
        <w:tc>
          <w:tcPr>
            <w:tcW w:w="448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9,747.3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6,894.3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10,957.0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3,885.8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(27,598.6)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4,313.5</w:t>
            </w:r>
          </w:p>
        </w:tc>
        <w:tc>
          <w:tcPr>
            <w:tcW w:w="0" w:type="dxa"/>
            <w:vAlign w:val="bottom"/>
          </w:tcPr>
          <w:p>
            <w:pPr>
              <w:spacing w:after="0"/>
              <w:rPr>
                <w:sz w:val="1"/>
                <w:szCs w:val="1"/>
                <w:color w:val="auto"/>
              </w:rPr>
            </w:pPr>
          </w:p>
        </w:tc>
      </w:tr>
      <w:tr>
        <w:trPr>
          <w:trHeight w:val="182"/>
        </w:trPr>
        <w:tc>
          <w:tcPr>
            <w:tcW w:w="44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3,318.7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3,483.5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3,356.0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(10,158.2)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2022:</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Dun &amp;</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3"/>
                <w:szCs w:val="13"/>
                <w:color w:val="auto"/>
                <w:w w:val="84"/>
              </w:rPr>
              <w:t>Corporate and</w:t>
            </w:r>
          </w:p>
        </w:tc>
        <w:tc>
          <w:tcPr>
            <w:tcW w:w="1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Affiliate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6"/>
              </w:rPr>
              <w:t>Bradstreet</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Paysafe</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color w:val="auto"/>
                <w:w w:val="98"/>
              </w:rPr>
              <w:t>Alight</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color w:val="auto"/>
                <w:w w:val="92"/>
              </w:rPr>
              <w:t>Other</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4"/>
              </w:rPr>
              <w:t>Elimination</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Restaurant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483.4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483.4</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20"/>
                <w:szCs w:val="20"/>
                <w:color w:val="auto"/>
              </w:rPr>
            </w:pPr>
            <w:r>
              <w:rPr>
                <w:rFonts w:ascii="Arial" w:cs="Arial" w:eastAsia="Arial" w:hAnsi="Arial"/>
                <w:sz w:val="14"/>
                <w:szCs w:val="14"/>
                <w:color w:val="auto"/>
              </w:rPr>
              <w:t>Other operating revenues</w:t>
            </w:r>
          </w:p>
        </w:tc>
        <w:tc>
          <w:tcPr>
            <w:tcW w:w="1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1,629.6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1,118.2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2,190.0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(4,937.8)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483.4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1,629.6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1,118.2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506.4</w:t>
            </w:r>
          </w:p>
        </w:tc>
        <w:tc>
          <w:tcPr>
            <w:tcW w:w="0" w:type="dxa"/>
            <w:vAlign w:val="bottom"/>
          </w:tcPr>
          <w:p>
            <w:pPr>
              <w:spacing w:after="0"/>
              <w:rPr>
                <w:sz w:val="1"/>
                <w:szCs w:val="1"/>
                <w:color w:val="auto"/>
              </w:rPr>
            </w:pPr>
          </w:p>
        </w:tc>
      </w:tr>
      <w:tr>
        <w:trPr>
          <w:trHeight w:val="143"/>
        </w:trPr>
        <w:tc>
          <w:tcPr>
            <w:tcW w:w="4440" w:type="dxa"/>
            <w:vAlign w:val="bottom"/>
          </w:tcPr>
          <w:p>
            <w:pPr>
              <w:spacing w:after="0" w:line="143" w:lineRule="exact"/>
              <w:rPr>
                <w:sz w:val="20"/>
                <w:szCs w:val="20"/>
                <w:color w:val="auto"/>
              </w:rPr>
            </w:pPr>
            <w:r>
              <w:rPr>
                <w:rFonts w:ascii="Arial" w:cs="Arial" w:eastAsia="Arial" w:hAnsi="Arial"/>
                <w:sz w:val="14"/>
                <w:szCs w:val="14"/>
                <w:color w:val="auto"/>
                <w:w w:val="95"/>
              </w:rPr>
              <w:t>Interest, investment and other income, including recognized gains (losses),</w:t>
            </w: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123.8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(284.9)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(265.6)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(283.7)</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revenues and other income</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484.6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1,641.4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1,242.0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(5,203.4)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441.5</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197.0</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293.0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(931.5)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3"/>
        </w:trPr>
        <w:tc>
          <w:tcPr>
            <w:tcW w:w="4440" w:type="dxa"/>
            <w:vAlign w:val="bottom"/>
          </w:tcPr>
          <w:p>
            <w:pPr>
              <w:spacing w:after="0" w:line="143" w:lineRule="exact"/>
              <w:rPr>
                <w:sz w:val="20"/>
                <w:szCs w:val="20"/>
                <w:color w:val="auto"/>
              </w:rPr>
            </w:pPr>
            <w:r>
              <w:rPr>
                <w:rFonts w:ascii="Arial" w:cs="Arial" w:eastAsia="Arial" w:hAnsi="Arial"/>
                <w:sz w:val="14"/>
                <w:szCs w:val="14"/>
                <w:color w:val="auto"/>
                <w:w w:val="94"/>
              </w:rPr>
              <w:t>Loss before income taxes and equity in earnings (losses) of unconsolidated</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(1,818.0)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1,886.8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(416.2)</w:t>
            </w:r>
          </w:p>
        </w:tc>
        <w:tc>
          <w:tcPr>
            <w:tcW w:w="0" w:type="dxa"/>
            <w:vAlign w:val="bottom"/>
          </w:tcPr>
          <w:p>
            <w:pPr>
              <w:spacing w:after="0"/>
              <w:rPr>
                <w:sz w:val="1"/>
                <w:szCs w:val="1"/>
                <w:color w:val="auto"/>
              </w:rPr>
            </w:pPr>
          </w:p>
        </w:tc>
      </w:tr>
      <w:tr>
        <w:trPr>
          <w:trHeight w:val="188"/>
        </w:trPr>
        <w:tc>
          <w:tcPr>
            <w:tcW w:w="4440" w:type="dxa"/>
            <w:vAlign w:val="bottom"/>
          </w:tcPr>
          <w:p>
            <w:pPr>
              <w:spacing w:after="0"/>
              <w:rPr>
                <w:sz w:val="20"/>
                <w:szCs w:val="20"/>
                <w:color w:val="auto"/>
              </w:rPr>
            </w:pPr>
            <w:r>
              <w:rPr>
                <w:rFonts w:ascii="Arial" w:cs="Arial" w:eastAsia="Arial" w:hAnsi="Arial"/>
                <w:sz w:val="14"/>
                <w:szCs w:val="14"/>
                <w:color w:val="auto"/>
              </w:rPr>
              <w:t>affiliates</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tax benefit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20"/>
                <w:szCs w:val="20"/>
                <w:color w:val="auto"/>
              </w:rPr>
            </w:pPr>
            <w:r>
              <w:rPr>
                <w:rFonts w:ascii="Arial" w:cs="Arial" w:eastAsia="Arial" w:hAnsi="Arial"/>
                <w:sz w:val="14"/>
                <w:szCs w:val="14"/>
                <w:color w:val="auto"/>
              </w:rPr>
              <w:t>Loss before equity in (losses) earnings of unconsolidated affiliates</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(1,739.0)</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1,766.2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in earnings (losses) of unconsolidated affiliates</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20"/>
                <w:szCs w:val="20"/>
                <w:color w:val="auto"/>
              </w:rPr>
            </w:pPr>
            <w:r>
              <w:rPr>
                <w:rFonts w:ascii="Arial" w:cs="Arial" w:eastAsia="Arial" w:hAnsi="Arial"/>
                <w:sz w:val="14"/>
                <w:szCs w:val="14"/>
                <w:color w:val="auto"/>
              </w:rPr>
              <w:t>Net loss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(1,739.0)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1,614.2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(458.8)</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347.5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9,429.7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6,479.4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10,903.0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2,833.6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(26,812.1)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3,181.1</w:t>
            </w:r>
          </w:p>
        </w:tc>
        <w:tc>
          <w:tcPr>
            <w:tcW w:w="0" w:type="dxa"/>
            <w:vAlign w:val="bottom"/>
          </w:tcPr>
          <w:p>
            <w:pPr>
              <w:spacing w:after="0"/>
              <w:rPr>
                <w:sz w:val="1"/>
                <w:szCs w:val="1"/>
                <w:color w:val="auto"/>
              </w:rPr>
            </w:pPr>
          </w:p>
        </w:tc>
      </w:tr>
      <w:tr>
        <w:trPr>
          <w:trHeight w:val="182"/>
        </w:trPr>
        <w:tc>
          <w:tcPr>
            <w:tcW w:w="4440" w:type="dxa"/>
            <w:vAlign w:val="bottom"/>
          </w:tcPr>
          <w:p>
            <w:pPr>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3,400.8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1,993.5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3,624.0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(9,018.3)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2021:</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w w:val="84"/>
              </w:rPr>
              <w:t>Restaurant</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color w:val="auto"/>
                <w:w w:val="93"/>
              </w:rPr>
              <w:t>Dun &amp;</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Affiliate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8"/>
              </w:rPr>
              <w:t>Group</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Bradstreet</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Paysafe</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color w:val="auto"/>
                <w:w w:val="98"/>
              </w:rPr>
              <w:t>Alight</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4"/>
              </w:rPr>
              <w:t>Elimination</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Restaurant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532.3</w:t>
            </w:r>
          </w:p>
        </w:tc>
        <w:tc>
          <w:tcPr>
            <w:tcW w:w="0" w:type="dxa"/>
            <w:vAlign w:val="bottom"/>
          </w:tcPr>
          <w:p>
            <w:pPr>
              <w:spacing w:after="0"/>
              <w:rPr>
                <w:sz w:val="1"/>
                <w:szCs w:val="1"/>
                <w:color w:val="auto"/>
              </w:rPr>
            </w:pPr>
          </w:p>
        </w:tc>
      </w:tr>
      <w:tr>
        <w:trPr>
          <w:trHeight w:val="182"/>
        </w:trPr>
        <w:tc>
          <w:tcPr>
            <w:tcW w:w="4420" w:type="dxa"/>
            <w:vAlign w:val="bottom"/>
          </w:tcPr>
          <w:p>
            <w:pPr>
              <w:spacing w:after="0"/>
              <w:rPr>
                <w:sz w:val="20"/>
                <w:szCs w:val="20"/>
                <w:color w:val="auto"/>
              </w:rPr>
            </w:pPr>
            <w:r>
              <w:rPr>
                <w:rFonts w:ascii="Arial" w:cs="Arial" w:eastAsia="Arial" w:hAnsi="Arial"/>
                <w:sz w:val="14"/>
                <w:szCs w:val="14"/>
                <w:color w:val="auto"/>
              </w:rPr>
              <w:t>Other operating revenues</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1,567.3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384.3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(2,641.6)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Revenues from external customers</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1,567.3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384.3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(2,641.6)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560.3</w:t>
            </w:r>
          </w:p>
        </w:tc>
        <w:tc>
          <w:tcPr>
            <w:tcW w:w="0" w:type="dxa"/>
            <w:vAlign w:val="bottom"/>
          </w:tcPr>
          <w:p>
            <w:pPr>
              <w:spacing w:after="0"/>
              <w:rPr>
                <w:sz w:val="1"/>
                <w:szCs w:val="1"/>
                <w:color w:val="auto"/>
              </w:rPr>
            </w:pPr>
          </w:p>
        </w:tc>
      </w:tr>
      <w:tr>
        <w:trPr>
          <w:trHeight w:val="143"/>
        </w:trPr>
        <w:tc>
          <w:tcPr>
            <w:tcW w:w="4420" w:type="dxa"/>
            <w:vAlign w:val="bottom"/>
          </w:tcPr>
          <w:p>
            <w:pPr>
              <w:spacing w:after="0" w:line="143" w:lineRule="exact"/>
              <w:rPr>
                <w:sz w:val="20"/>
                <w:szCs w:val="20"/>
                <w:color w:val="auto"/>
              </w:rPr>
            </w:pPr>
            <w:r>
              <w:rPr>
                <w:rFonts w:ascii="Arial" w:cs="Arial" w:eastAsia="Arial" w:hAnsi="Arial"/>
                <w:sz w:val="14"/>
                <w:szCs w:val="14"/>
                <w:color w:val="auto"/>
                <w:w w:val="95"/>
              </w:rPr>
              <w:t>Interest investment and other income, including recognized gains (losses),</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(117.0)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(207.0)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(204.6)</w:t>
            </w:r>
          </w:p>
        </w:tc>
        <w:tc>
          <w:tcPr>
            <w:tcW w:w="0" w:type="dxa"/>
            <w:vAlign w:val="bottom"/>
          </w:tcPr>
          <w:p>
            <w:pPr>
              <w:spacing w:after="0"/>
              <w:rPr>
                <w:sz w:val="1"/>
                <w:szCs w:val="1"/>
                <w:color w:val="auto"/>
              </w:rPr>
            </w:pPr>
          </w:p>
        </w:tc>
      </w:tr>
      <w:tr>
        <w:trPr>
          <w:trHeight w:val="188"/>
        </w:trPr>
        <w:tc>
          <w:tcPr>
            <w:tcW w:w="44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revenues and other income</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1,600.3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430.9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(2,604.2)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355.7</w:t>
            </w:r>
          </w:p>
        </w:tc>
        <w:tc>
          <w:tcPr>
            <w:tcW w:w="0" w:type="dxa"/>
            <w:vAlign w:val="bottom"/>
          </w:tcPr>
          <w:p>
            <w:pPr>
              <w:spacing w:after="0"/>
              <w:rPr>
                <w:sz w:val="1"/>
                <w:szCs w:val="1"/>
                <w:color w:val="auto"/>
              </w:rPr>
            </w:pPr>
          </w:p>
        </w:tc>
      </w:tr>
      <w:tr>
        <w:trPr>
          <w:trHeight w:val="176"/>
        </w:trPr>
        <w:tc>
          <w:tcPr>
            <w:tcW w:w="44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458.7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3"/>
        </w:trPr>
        <w:tc>
          <w:tcPr>
            <w:tcW w:w="4420" w:type="dxa"/>
            <w:vAlign w:val="bottom"/>
          </w:tcPr>
          <w:p>
            <w:pPr>
              <w:spacing w:after="0" w:line="143" w:lineRule="exact"/>
              <w:rPr>
                <w:sz w:val="20"/>
                <w:szCs w:val="20"/>
                <w:color w:val="auto"/>
              </w:rPr>
            </w:pPr>
            <w:r>
              <w:rPr>
                <w:rFonts w:ascii="Arial" w:cs="Arial" w:eastAsia="Arial" w:hAnsi="Arial"/>
                <w:sz w:val="14"/>
                <w:szCs w:val="14"/>
                <w:color w:val="auto"/>
              </w:rPr>
              <w:t>(Loss) earnings before income taxes and equity in earnings (losses) of</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(300.6)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(308.5)</w:t>
            </w:r>
          </w:p>
        </w:tc>
        <w:tc>
          <w:tcPr>
            <w:tcW w:w="0" w:type="dxa"/>
            <w:vAlign w:val="bottom"/>
          </w:tcPr>
          <w:p>
            <w:pPr>
              <w:spacing w:after="0"/>
              <w:rPr>
                <w:sz w:val="1"/>
                <w:szCs w:val="1"/>
                <w:color w:val="auto"/>
              </w:rPr>
            </w:pPr>
          </w:p>
        </w:tc>
      </w:tr>
      <w:tr>
        <w:trPr>
          <w:trHeight w:val="188"/>
        </w:trPr>
        <w:tc>
          <w:tcPr>
            <w:tcW w:w="4420" w:type="dxa"/>
            <w:vAlign w:val="bottom"/>
          </w:tcPr>
          <w:p>
            <w:pPr>
              <w:spacing w:after="0"/>
              <w:rPr>
                <w:sz w:val="20"/>
                <w:szCs w:val="20"/>
                <w:color w:val="auto"/>
              </w:rPr>
            </w:pPr>
            <w:r>
              <w:rPr>
                <w:rFonts w:ascii="Arial" w:cs="Arial" w:eastAsia="Arial" w:hAnsi="Arial"/>
                <w:sz w:val="14"/>
                <w:szCs w:val="14"/>
                <w:color w:val="auto"/>
              </w:rPr>
              <w:t>unconsolidated affiliates</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30.4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23"/>
        </w:trPr>
        <w:tc>
          <w:tcPr>
            <w:tcW w:w="4420" w:type="dxa"/>
            <w:vAlign w:val="bottom"/>
          </w:tcPr>
          <w:p>
            <w:pPr>
              <w:spacing w:after="0" w:line="123" w:lineRule="exact"/>
              <w:rPr>
                <w:sz w:val="20"/>
                <w:szCs w:val="20"/>
                <w:color w:val="auto"/>
              </w:rPr>
            </w:pPr>
            <w:r>
              <w:rPr>
                <w:rFonts w:ascii="Arial" w:cs="Arial" w:eastAsia="Arial" w:hAnsi="Arial"/>
                <w:sz w:val="14"/>
                <w:szCs w:val="14"/>
                <w:color w:val="auto"/>
              </w:rPr>
              <w:t>(Loss) earnings before equity in earnings (losses) of unconsolidated</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(253.2)</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188"/>
        </w:trPr>
        <w:tc>
          <w:tcPr>
            <w:tcW w:w="4420" w:type="dxa"/>
            <w:vAlign w:val="bottom"/>
          </w:tcPr>
          <w:p>
            <w:pPr>
              <w:spacing w:after="0"/>
              <w:rPr>
                <w:sz w:val="20"/>
                <w:szCs w:val="20"/>
                <w:color w:val="auto"/>
              </w:rPr>
            </w:pPr>
            <w:r>
              <w:rPr>
                <w:rFonts w:ascii="Arial" w:cs="Arial" w:eastAsia="Arial" w:hAnsi="Arial"/>
                <w:sz w:val="14"/>
                <w:szCs w:val="14"/>
                <w:color w:val="auto"/>
              </w:rPr>
              <w:t>affiliates</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Equity in earnings (losses) of unconsolidated affiliates</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96"/>
        </w:trPr>
        <w:tc>
          <w:tcPr>
            <w:tcW w:w="4420" w:type="dxa"/>
            <w:vAlign w:val="bottom"/>
          </w:tcPr>
          <w:p>
            <w:pPr>
              <w:spacing w:after="0"/>
              <w:rPr>
                <w:sz w:val="20"/>
                <w:szCs w:val="20"/>
                <w:color w:val="auto"/>
              </w:rPr>
            </w:pPr>
            <w:r>
              <w:rPr>
                <w:rFonts w:ascii="Arial" w:cs="Arial" w:eastAsia="Arial" w:hAnsi="Arial"/>
                <w:sz w:val="14"/>
                <w:szCs w:val="14"/>
                <w:color w:val="auto"/>
              </w:rPr>
              <w:t>Net (loss) earnings from continuing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9,747.3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6,894.3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10,957.0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3,885.8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(27,598.6)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4,313.5</w:t>
            </w:r>
          </w:p>
        </w:tc>
        <w:tc>
          <w:tcPr>
            <w:tcW w:w="0" w:type="dxa"/>
            <w:vAlign w:val="bottom"/>
          </w:tcPr>
          <w:p>
            <w:pPr>
              <w:spacing w:after="0"/>
              <w:rPr>
                <w:sz w:val="1"/>
                <w:szCs w:val="1"/>
                <w:color w:val="auto"/>
              </w:rPr>
            </w:pPr>
          </w:p>
        </w:tc>
      </w:tr>
      <w:tr>
        <w:trPr>
          <w:trHeight w:val="182"/>
        </w:trPr>
        <w:tc>
          <w:tcPr>
            <w:tcW w:w="4420" w:type="dxa"/>
            <w:vAlign w:val="bottom"/>
          </w:tcPr>
          <w:p>
            <w:pPr>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3,318.7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3,483.5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3,356.0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(10,158.2)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ectPr>
          <w:pgSz w:w="11900" w:h="16838" w:orient="portrait"/>
          <w:cols w:equalWidth="0" w:num="1">
            <w:col w:w="11240"/>
          </w:cols>
          <w:pgMar w:left="320" w:top="121" w:right="339" w:bottom="1440" w:gutter="0" w:footer="0" w:header="0"/>
        </w:sectPr>
      </w:pP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hanging="4"/>
        <w:spacing w:after="0" w:line="274" w:lineRule="auto"/>
        <w:rPr>
          <w:sz w:val="20"/>
          <w:szCs w:val="20"/>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This segment consists primarily of the operations of O'Charley's and 99 Restaurants in which we have 65.4%</w:t>
      </w:r>
      <w:r>
        <w:rPr>
          <w:rFonts w:ascii="Arial" w:cs="Arial" w:eastAsia="Arial" w:hAnsi="Arial"/>
          <w:sz w:val="17"/>
          <w:szCs w:val="17"/>
          <w:i w:val="1"/>
          <w:iCs w:val="1"/>
          <w:color w:val="auto"/>
        </w:rPr>
        <w:t xml:space="preserve"> </w:t>
      </w:r>
      <w:r>
        <w:rPr>
          <w:rFonts w:ascii="Arial" w:cs="Arial" w:eastAsia="Arial" w:hAnsi="Arial"/>
          <w:sz w:val="17"/>
          <w:szCs w:val="17"/>
          <w:color w:val="auto"/>
        </w:rPr>
        <w:t>and 88.5% ownership interests, respectively. O'Charley's and 99 Restaurants and their affiliates are the owners and operators of the O'Charley's</w:t>
      </w:r>
    </w:p>
    <w:p>
      <w:pPr>
        <w:spacing w:after="0" w:line="1" w:lineRule="exact"/>
        <w:rPr>
          <w:sz w:val="20"/>
          <w:szCs w:val="20"/>
          <w:color w:val="auto"/>
        </w:rPr>
      </w:pPr>
    </w:p>
    <w:p>
      <w:pPr>
        <w:sectPr>
          <w:pgSz w:w="11900" w:h="16838" w:orient="portrait"/>
          <w:cols w:equalWidth="0" w:num="2">
            <w:col w:w="320" w:space="340"/>
            <w:col w:w="10580"/>
          </w:cols>
          <w:pgMar w:left="320" w:top="121" w:right="339" w:bottom="1440" w:gutter="0" w:footer="0" w:header="0"/>
          <w:type w:val="continuous"/>
        </w:sectPr>
      </w:pPr>
    </w:p>
    <w:p>
      <w:pPr>
        <w:jc w:val="both"/>
        <w:ind w:left="660"/>
        <w:spacing w:after="0" w:line="253" w:lineRule="auto"/>
        <w:rPr>
          <w:sz w:val="20"/>
          <w:szCs w:val="20"/>
          <w:color w:val="auto"/>
        </w:rPr>
      </w:pPr>
      <w:r>
        <w:rPr>
          <w:rFonts w:ascii="Arial" w:cs="Arial" w:eastAsia="Arial" w:hAnsi="Arial"/>
          <w:sz w:val="18"/>
          <w:szCs w:val="18"/>
          <w:color w:val="auto"/>
        </w:rPr>
        <w:t>and Ninety Nine Restaurants restaurant concepts, respectively. This segment also includes the operations of Legendary Baking and VIBSQ Holdco, LLC ("VIBSQ") prior to their respective sales in 2021. During the three and nine months ended September 30, 2022, other than the winding down of certain immaterial retained assets and liabilities of Legendary Baking and VIBSQ, we have no further material interest in Legendary Baking and VIBSQ.</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left="660" w:hanging="409"/>
        <w:spacing w:after="0" w:line="288" w:lineRule="auto"/>
        <w:tabs>
          <w:tab w:leader="none" w:pos="65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Dun &amp; Bradstreet. </w:t>
      </w:r>
      <w:r>
        <w:rPr>
          <w:rFonts w:ascii="Arial" w:cs="Arial" w:eastAsia="Arial" w:hAnsi="Arial"/>
          <w:sz w:val="16"/>
          <w:szCs w:val="16"/>
          <w:color w:val="auto"/>
        </w:rPr>
        <w:t>This segment consists of our ownership interest in Dun &amp; Bradstreet. Dun &amp; Bradstreet is a leading global provider of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decisioning data and analytics.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2021 contained hundreds of millions of business records. Our chief operating decision maker reviews the full financial results of Dun &amp; Bradstreet for purposes of assessing performance and allocating resources. Thus, we consider Dun &amp; Bradstreet a reportable segment and have included the full results of Dun &amp; Bradstreet in the tables above. We account for Dun &amp; Bradstreet using the equity method of accounting, and therefore, its results do not consolidate into ours. Accordingly, we have presented the elimination of Dun &amp; Bradstreet's results in the </w:t>
      </w:r>
      <w:r>
        <w:rPr>
          <w:rFonts w:ascii="Arial" w:cs="Arial" w:eastAsia="Arial" w:hAnsi="Arial"/>
          <w:sz w:val="16"/>
          <w:szCs w:val="16"/>
          <w:i w:val="1"/>
          <w:iCs w:val="1"/>
          <w:color w:val="auto"/>
        </w:rPr>
        <w:t>Affiliate Elimination</w:t>
      </w:r>
      <w:r>
        <w:rPr>
          <w:rFonts w:ascii="Arial" w:cs="Arial" w:eastAsia="Arial" w:hAnsi="Arial"/>
          <w:sz w:val="16"/>
          <w:szCs w:val="16"/>
          <w:color w:val="auto"/>
        </w:rPr>
        <w:t xml:space="preserve"> section of the segment presentation above. See Note D for further discussion of our ownership interest in Dun &amp; Bradstreet and related accounting.</w:t>
      </w:r>
    </w:p>
    <w:p>
      <w:pPr>
        <w:spacing w:after="0" w:line="60" w:lineRule="exact"/>
        <w:rPr>
          <w:rFonts w:ascii="Arial" w:cs="Arial" w:eastAsia="Arial" w:hAnsi="Arial"/>
          <w:sz w:val="16"/>
          <w:szCs w:val="16"/>
          <w:i w:val="1"/>
          <w:iCs w:val="1"/>
          <w:color w:val="auto"/>
        </w:rPr>
      </w:pPr>
    </w:p>
    <w:p>
      <w:pPr>
        <w:jc w:val="both"/>
        <w:ind w:left="660" w:hanging="409"/>
        <w:spacing w:after="0" w:line="286" w:lineRule="auto"/>
        <w:tabs>
          <w:tab w:leader="none" w:pos="655"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Alight</w:t>
      </w:r>
      <w:r>
        <w:rPr>
          <w:rFonts w:ascii="Arial" w:cs="Arial" w:eastAsia="Arial" w:hAnsi="Arial"/>
          <w:sz w:val="16"/>
          <w:szCs w:val="16"/>
          <w:color w:val="auto"/>
        </w:rPr>
        <w:t>. This segment consists of our 9.7% ownership interest in Alight. Alight is a leading cloud-based human capital technology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provider that powers confident health, wealth and wellbeing decisions for millions of people and their dependents. Its Alight Worklife® platform combines data and analytics with a simple, seamless user experience. Supported by its global delivery capabilities, Alight Worklife is transforming the employee experience for people around the world through personalized, data-driven health, wealth, pay and wellbeing insights. Our chief operating decision maker reviews the full financial results of Alight for purposes of assessing performance and allocating resources. Thus, we consider Alight a reportable segment and have included the full results of Alight subsequent to our initial acquisition of an ownership interest in the tables above. We account for Alight using the equity method of accounting, and therefore, its results do not consolidate into ours. Accordingly, we have presented the elimination of Alight's results in the </w:t>
      </w:r>
      <w:r>
        <w:rPr>
          <w:rFonts w:ascii="Arial" w:cs="Arial" w:eastAsia="Arial" w:hAnsi="Arial"/>
          <w:sz w:val="16"/>
          <w:szCs w:val="16"/>
          <w:i w:val="1"/>
          <w:iCs w:val="1"/>
          <w:color w:val="auto"/>
        </w:rPr>
        <w:t>Affiliate Elimination</w:t>
      </w:r>
      <w:r>
        <w:rPr>
          <w:rFonts w:ascii="Arial" w:cs="Arial" w:eastAsia="Arial" w:hAnsi="Arial"/>
          <w:sz w:val="16"/>
          <w:szCs w:val="16"/>
          <w:color w:val="auto"/>
        </w:rPr>
        <w:t xml:space="preserve"> section of the segment presentation above. We historically accounted for our equity ownership and proportionate share of earnings or losses in Alight utilizing a three-month reporting lag due to timeliness considerations. In the second quarter of 2022, the Company was able to obtain financial information for Alight on a more timely basis and began recording our ownership interest in Alight on a current basis as opposed to the previous three-month lag. The elimination of the three-month reporting lag for our equity ownership in Alight did not result in any material adjustments to any current or prior period financial information. We acquired our ownership interest on July 2, 2021. Accordingly, the segment tables above for the three and nine months ended September 30, 2021, include the results of Alight for the period from July 2, 2021 through September 30, 2021.</w:t>
      </w:r>
    </w:p>
    <w:p>
      <w:pPr>
        <w:spacing w:after="0" w:line="62" w:lineRule="exact"/>
        <w:rPr>
          <w:rFonts w:ascii="Arial" w:cs="Arial" w:eastAsia="Arial" w:hAnsi="Arial"/>
          <w:sz w:val="16"/>
          <w:szCs w:val="16"/>
          <w:i w:val="1"/>
          <w:iCs w:val="1"/>
          <w:color w:val="auto"/>
        </w:rPr>
      </w:pPr>
    </w:p>
    <w:p>
      <w:pPr>
        <w:jc w:val="both"/>
        <w:ind w:left="660" w:hanging="409"/>
        <w:spacing w:after="0" w:line="269" w:lineRule="auto"/>
        <w:tabs>
          <w:tab w:leader="none" w:pos="65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Paysafe</w:t>
      </w:r>
      <w:r>
        <w:rPr>
          <w:rFonts w:ascii="Arial" w:cs="Arial" w:eastAsia="Arial" w:hAnsi="Arial"/>
          <w:sz w:val="17"/>
          <w:szCs w:val="17"/>
          <w:color w:val="auto"/>
        </w:rPr>
        <w:t>. This segment consists of our 8.2% ownership interest in Paysafe. Paysafe provides payment solutions through several business lines.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These business lines are focused on card not present and card present solutions for small to medium size business merchants, wallet based online payment solutions through Skrill and NETELLER brands and solutions that enable consumers to use cash to facilitate online purchases through its paysafecard prepaid vouchers. Our chief operating decision maker reviews the full financial results of Paysafe for purposes of assessing performance and allocating resources. Thus, we consider Paysafe a reportable segment and have included the full results of Paysafe subsequent to our initial acquisition of an ownership interest in the tables above. We account for Paysafe using the equity method of accounting, and therefore, its results do not consolidate into ours. Accordingly, we have presented the elimination of Paysafe's results in the </w:t>
      </w:r>
      <w:r>
        <w:rPr>
          <w:rFonts w:ascii="Arial" w:cs="Arial" w:eastAsia="Arial" w:hAnsi="Arial"/>
          <w:sz w:val="17"/>
          <w:szCs w:val="17"/>
          <w:i w:val="1"/>
          <w:iCs w:val="1"/>
          <w:color w:val="auto"/>
        </w:rPr>
        <w:t>Affiliate Elimination</w:t>
      </w:r>
      <w:r>
        <w:rPr>
          <w:rFonts w:ascii="Arial" w:cs="Arial" w:eastAsia="Arial" w:hAnsi="Arial"/>
          <w:sz w:val="17"/>
          <w:szCs w:val="17"/>
          <w:color w:val="auto"/>
        </w:rPr>
        <w:t xml:space="preserve"> section of the segment presentation above. We report our equity in earnings or loss of Paysafe on a three-month lag and we acquired our ownership interest on March 30, 2021. Accordingly, our net earnings and the segment tables above, respectively, for the three and nine months ended September 30, 2022, include our equity in Paysafe’s earnings and complete results of Paysafe, respectively, for the three and nine months ended June 30, 2022, respectively.</w:t>
      </w:r>
    </w:p>
    <w:p>
      <w:pPr>
        <w:spacing w:after="0" w:line="73" w:lineRule="exact"/>
        <w:rPr>
          <w:rFonts w:ascii="Arial" w:cs="Arial" w:eastAsia="Arial" w:hAnsi="Arial"/>
          <w:sz w:val="17"/>
          <w:szCs w:val="17"/>
          <w:i w:val="1"/>
          <w:iCs w:val="1"/>
          <w:color w:val="auto"/>
        </w:rPr>
      </w:pPr>
    </w:p>
    <w:p>
      <w:pPr>
        <w:ind w:left="660" w:right="20" w:hanging="409"/>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nonreportable segment consists of our share in the operations of certain controlled portfolio companies and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activity of the corporate holding company and certain intercompany eliminations and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Supplemental Cash Flow Information</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certain cash payments, as well as certain non-cash investing and financing activities.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56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w w:val="91"/>
              </w:rPr>
              <w:t>Nine months ended September 30,</w:t>
            </w:r>
          </w:p>
        </w:tc>
        <w:tc>
          <w:tcPr>
            <w:tcW w:w="420" w:type="dxa"/>
            <w:vAlign w:val="bottom"/>
          </w:tcPr>
          <w:p>
            <w:pPr>
              <w:spacing w:after="0"/>
              <w:rPr>
                <w:sz w:val="16"/>
                <w:szCs w:val="16"/>
                <w:color w:val="auto"/>
              </w:rPr>
            </w:pPr>
          </w:p>
        </w:tc>
      </w:tr>
      <w:tr>
        <w:trPr>
          <w:trHeight w:val="26"/>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9"/>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r>
      <w:tr>
        <w:trPr>
          <w:trHeight w:val="194"/>
        </w:trPr>
        <w:tc>
          <w:tcPr>
            <w:tcW w:w="8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6"/>
              </w:rPr>
              <w:t>(In millions)</w:t>
            </w:r>
          </w:p>
        </w:tc>
        <w:tc>
          <w:tcPr>
            <w:tcW w:w="420" w:type="dxa"/>
            <w:vAlign w:val="bottom"/>
          </w:tcPr>
          <w:p>
            <w:pPr>
              <w:spacing w:after="0"/>
              <w:rPr>
                <w:sz w:val="16"/>
                <w:szCs w:val="16"/>
                <w:color w:val="auto"/>
              </w:rPr>
            </w:pP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period:</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Interest</w:t>
            </w:r>
          </w:p>
        </w:tc>
        <w:tc>
          <w:tcPr>
            <w:tcW w:w="920" w:type="dxa"/>
            <w:vAlign w:val="bottom"/>
          </w:tcPr>
          <w:p>
            <w:pPr>
              <w:jc w:val="right"/>
              <w:ind w:right="722"/>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100" w:type="dxa"/>
            <w:vAlign w:val="bottom"/>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89.8</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93.4</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920" w:type="dxa"/>
            <w:vAlign w:val="bottom"/>
          </w:tcPr>
          <w:p>
            <w:pPr>
              <w:spacing w:after="0"/>
              <w:rPr>
                <w:sz w:val="19"/>
                <w:szCs w:val="19"/>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27.2</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28.7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D&amp;B shares received as partial consideration for the Optimal Blue Disposition</w:t>
            </w:r>
          </w:p>
        </w:tc>
        <w:tc>
          <w:tcPr>
            <w:tcW w:w="920" w:type="dxa"/>
            <w:vAlign w:val="bottom"/>
          </w:tcPr>
          <w:p>
            <w:pPr>
              <w:spacing w:after="0"/>
              <w:rPr>
                <w:sz w:val="19"/>
                <w:szCs w:val="19"/>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435.0</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receivable received through sale of Rock Creek Idaho Holdings, LLC</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macroeconomic conditions resulting from the outbreak of a pandemic such as the novel coronavirus COVID-19 ("COVID-19") and the current conflict between Russia and Ukraine;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and other risks detailed in the "Statement Regarding Forward-Looking Information," "Risk Factors" and other sections of our Annual Report on Form 10-K for the year ended December 31, 2021 (our "Annual Report") and other filings with the SEC.</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Part I, Item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Dun &amp; Bradstreet. </w:t>
      </w:r>
      <w:r>
        <w:rPr>
          <w:rFonts w:ascii="Arial" w:cs="Arial" w:eastAsia="Arial" w:hAnsi="Arial"/>
          <w:sz w:val="18"/>
          <w:szCs w:val="18"/>
          <w:color w:val="auto"/>
        </w:rPr>
        <w:t>D&amp;B believes there are several key trends in the global macroeconomic environment generating additional growth in D&amp;B's TAM</w:t>
      </w:r>
      <w:r>
        <w:rPr>
          <w:rFonts w:ascii="Arial" w:cs="Arial" w:eastAsia="Arial" w:hAnsi="Arial"/>
          <w:sz w:val="18"/>
          <w:szCs w:val="18"/>
          <w:i w:val="1"/>
          <w:iCs w:val="1"/>
          <w:color w:val="auto"/>
        </w:rPr>
        <w:t xml:space="preserve"> </w:t>
      </w:r>
      <w:r>
        <w:rPr>
          <w:rFonts w:ascii="Arial" w:cs="Arial" w:eastAsia="Arial" w:hAnsi="Arial"/>
          <w:sz w:val="18"/>
          <w:szCs w:val="18"/>
          <w:color w:val="auto"/>
        </w:rPr>
        <w:t>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Restaurant Group</w:t>
      </w:r>
      <w:r>
        <w:rPr>
          <w:rFonts w:ascii="Arial" w:cs="Arial" w:eastAsia="Arial" w:hAnsi="Arial"/>
          <w:sz w:val="17"/>
          <w:szCs w:val="17"/>
          <w:color w:val="auto"/>
        </w:rPr>
        <w:t>. The restaurant industry is characterized by high capital investments for new restaurants and relatively high fixed or semi-variable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currently operating in a period of high inflation relative to long term inflation expectations in the United States. This inflationary environment is primarily impacting the commodity and labor costs of our Restaurant Group. We have adjusted menu pricing to account for these cost increases to an extent, but will continue to balance the impact of inflationary pressures on costs with the value proposition offered to customers with a focus on long term profitability.</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revenues and operating income in future periods will continue to be subject to these and other factors that are beyond our control and, as a result, are likely to fluctuate.</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COVID-19. </w:t>
      </w:r>
      <w:r>
        <w:rPr>
          <w:rFonts w:ascii="Arial" w:cs="Arial" w:eastAsia="Arial" w:hAnsi="Arial"/>
          <w:sz w:val="17"/>
          <w:szCs w:val="17"/>
          <w:color w:val="auto"/>
        </w:rPr>
        <w:t>As described in our Annual Report, pandemics and other health emergencies such as COVID-19 may impact the operations and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various businesses. The spread of COVID-19 in early 2020 and the associated government and social response adversely affected our Restaurant Group brands' guest traffic, sales and operating costs in fiscal years 2020 and 2021. While we believe the operations of our businesses are no longer being materially, adversely impacted by COVID-19, if another variant of COVID-19 results in government and social responses similar to those experienced with the initial spread of COVID-19 in 2020, our results of operations may be adversely impacted again in the future.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Investments in unconsolidated affiliates</w:t>
      </w:r>
      <w:r>
        <w:rPr>
          <w:rFonts w:ascii="Arial" w:cs="Arial" w:eastAsia="Arial" w:hAnsi="Arial"/>
          <w:sz w:val="18"/>
          <w:szCs w:val="18"/>
          <w:color w:val="auto"/>
        </w:rPr>
        <w:t>. On an ongoing basis, management monitors the Company's investments in unconsolidated affiliates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2022, the fair value of our ownership interest in Paysafe based on quoted market prices was $202.6 million and the book value of our recorded asset for Paysafe was $438.6 million prior to any impairment. Due to significant impairments recorded by Paysafe to its intangible assets, the quantum of the decrease in the fair market value of our ownership interest, and negative trends in the alternative payments industry and decreasing market multiples of peer companies, management determined the decrease in value of our ownership interest in Paysafe was other-than-temporary. Accordingly, we recorded an impairment charge of $236.0 million in the nine months ended September 30, 2022 which is included in Recognized losses, net, on our Condensed Consolidated Statement of Operations.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26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1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96"/>
        </w:trPr>
        <w:tc>
          <w:tcPr>
            <w:tcW w:w="64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r>
      <w:tr>
        <w:trPr>
          <w:trHeight w:val="194"/>
        </w:trPr>
        <w:tc>
          <w:tcPr>
            <w:tcW w:w="6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8"/>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760" w:type="dxa"/>
            <w:vAlign w:val="bottom"/>
          </w:tcPr>
          <w:p>
            <w:pPr>
              <w:jc w:val="right"/>
              <w:ind w:right="58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154.6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483.4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532.3</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06"/>
        </w:trPr>
        <w:tc>
          <w:tcPr>
            <w:tcW w:w="6440" w:type="dxa"/>
            <w:vAlign w:val="bottom"/>
          </w:tcPr>
          <w:p>
            <w:pPr>
              <w:ind w:left="480"/>
              <w:spacing w:after="0"/>
              <w:rPr>
                <w:sz w:val="20"/>
                <w:szCs w:val="20"/>
                <w:color w:val="auto"/>
              </w:rPr>
            </w:pPr>
            <w:r>
              <w:rPr>
                <w:rFonts w:ascii="Arial" w:cs="Arial" w:eastAsia="Arial" w:hAnsi="Arial"/>
                <w:sz w:val="16"/>
                <w:szCs w:val="16"/>
                <w:color w:val="auto"/>
              </w:rPr>
              <w:t>Total operating revenues</w:t>
            </w: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164.5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560.3</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141.1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462.8</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r>
      <w:tr>
        <w:trPr>
          <w:trHeight w:val="206"/>
        </w:trPr>
        <w:tc>
          <w:tcPr>
            <w:tcW w:w="64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185.8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657.3</w:t>
            </w:r>
          </w:p>
        </w:tc>
      </w:tr>
      <w:tr>
        <w:trPr>
          <w:trHeight w:val="213"/>
        </w:trPr>
        <w:tc>
          <w:tcPr>
            <w:tcW w:w="64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Operating loss</w:t>
            </w: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(21.3)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r>
      <w:tr>
        <w:trPr>
          <w:trHeight w:val="193"/>
        </w:trPr>
        <w:tc>
          <w:tcPr>
            <w:tcW w:w="64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investment and other income</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Recognized gains (losses), net</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175.0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w:t>
            </w:r>
          </w:p>
        </w:tc>
      </w:tr>
      <w:tr>
        <w:trPr>
          <w:trHeight w:val="207"/>
        </w:trPr>
        <w:tc>
          <w:tcPr>
            <w:tcW w:w="64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income (expense)</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171.4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w:t>
            </w:r>
          </w:p>
        </w:tc>
      </w:tr>
      <w:tr>
        <w:trPr>
          <w:trHeight w:val="21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 and equity in earnings of unconsolidated affiliates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r>
      <w:tr>
        <w:trPr>
          <w:trHeight w:val="21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equity in (losses) earnings of unconsolidated affiliates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133.1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w:t>
            </w:r>
          </w:p>
        </w:tc>
      </w:t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(losses) earnings of unconsolidated affiliates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(77.9)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r>
      <w:tr>
        <w:trPr>
          <w:trHeight w:val="21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w:t>
            </w:r>
          </w:p>
        </w:tc>
      </w:t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(loss) earnings attributable to non-controlling interests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37"/>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attributable to Cannae Holdings, Inc. common shareholders</w:t>
            </w:r>
          </w:p>
        </w:tc>
        <w:tc>
          <w:tcPr>
            <w:tcW w:w="760" w:type="dxa"/>
            <w:vAlign w:val="bottom"/>
            <w:tcBorders>
              <w:bottom w:val="single" w:sz="8" w:color="auto"/>
            </w:tcBorders>
            <w:shd w:val="clear" w:color="auto" w:fill="CCEEFF"/>
          </w:tcPr>
          <w:p>
            <w:pPr>
              <w:jc w:val="right"/>
              <w:ind w:right="58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decreased $21.5 million, or 11.6%, in the three months ended September 30, 2022 and decreased $53.9 million, or 9.6%, in the nine months ended September 30, 2022 compared to the corresponding periods in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operating expenses consist primarily of personnel costs, cost of restaurant revenue, other operating expenses, and depreciation and amortization.</w:t>
      </w:r>
    </w:p>
    <w:p>
      <w:pPr>
        <w:spacing w:after="0" w:line="14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operating expenses include management fees, carried interest fees, professional fees, advertising costs, travel expenses and impairments of operating assets.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Pre-Tax Earnings (Loss).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Earnings (loss) before income taxes and equity in (losses) earnings of unconsolidated affiliates increased $344.7 million, or 177.1%, in the three months ended September 30, 2022 and decreased $107.7 million, or 34.9%, in the nine months ended September 30, 2022 compared to the corresponding periods in 2021.</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revenues, expenses and pre-tax loss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Income tax expense (benefit) was $17.0 million and $(34.7) million in the three-month periods ended September 30, 2022 and 2021, respectively, and $(111.4) million and $(47.4) million in the nine-month periods ended September 30, 2022 and 2021, respectively. Our effective tax rate was 11.3% and 17.8% in the three months ended September 30, 2022 and 2021, respectively, and 26.8% and 15.4% in the nine months ended September 30, 2022 and 2021,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all periods presented is primarily attributable to the varying impact of equity in earnings of unconsolidated affiliates on income tax expense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Affiliates.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Equity in (losses) earnings of unconsolidated affiliates for the three and nine months ended September 30, 2022 and 2021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4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9"/>
        </w:trPr>
        <w:tc>
          <w:tcPr>
            <w:tcW w:w="42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r>
      <w:tr>
        <w:trPr>
          <w:trHeight w:val="194"/>
        </w:trPr>
        <w:tc>
          <w:tcPr>
            <w:tcW w:w="4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8"/>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Paysafe/FTAC II Sponsor</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Alight/FTAC Sponsor</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System1/Trebia Sponsor</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AmeriLife</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Sightline</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equity in earnings of unconsolidated affiliates in the nine months ended September 30, 2022 from the table above includes $23.9 million for our ownership interest in Triple Tree Holdings which was primarily driven by its sale of its investment banking business.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94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4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Restaurant revenue</w:t>
            </w:r>
          </w:p>
        </w:tc>
        <w:tc>
          <w:tcPr>
            <w:tcW w:w="86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154.6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532.3</w:t>
            </w: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revenues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w:t>
            </w:r>
          </w:p>
        </w:tc>
        <w:tc>
          <w:tcPr>
            <w:tcW w:w="0" w:type="dxa"/>
            <w:vAlign w:val="bottom"/>
          </w:tcPr>
          <w:p>
            <w:pPr>
              <w:spacing w:after="0"/>
              <w:rPr>
                <w:sz w:val="1"/>
                <w:szCs w:val="1"/>
                <w:color w:val="auto"/>
              </w:rPr>
            </w:pPr>
          </w:p>
        </w:tc>
      </w:tr>
      <w:tr>
        <w:trPr>
          <w:trHeight w:val="213"/>
        </w:trPr>
        <w:tc>
          <w:tcPr>
            <w:tcW w:w="5340" w:type="dxa"/>
            <w:vAlign w:val="bottom"/>
          </w:tcPr>
          <w:p>
            <w:pPr>
              <w:spacing w:after="0"/>
              <w:rPr>
                <w:sz w:val="20"/>
                <w:szCs w:val="20"/>
                <w:color w:val="auto"/>
              </w:rPr>
            </w:pPr>
            <w:r>
              <w:rPr>
                <w:rFonts w:ascii="Arial" w:cs="Arial" w:eastAsia="Arial" w:hAnsi="Arial"/>
                <w:sz w:val="16"/>
                <w:szCs w:val="16"/>
                <w:color w:val="auto"/>
              </w:rPr>
              <w:t>Operating expenses: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 of restaurant revenue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213"/>
        </w:trPr>
        <w:tc>
          <w:tcPr>
            <w:tcW w:w="5340" w:type="dxa"/>
            <w:vAlign w:val="bottom"/>
          </w:tcPr>
          <w:p>
            <w:pPr>
              <w:ind w:left="200"/>
              <w:spacing w:after="0"/>
              <w:rPr>
                <w:sz w:val="20"/>
                <w:szCs w:val="20"/>
                <w:color w:val="auto"/>
              </w:rPr>
            </w:pPr>
            <w:r>
              <w:rPr>
                <w:rFonts w:ascii="Arial" w:cs="Arial" w:eastAsia="Arial" w:hAnsi="Arial"/>
                <w:sz w:val="16"/>
                <w:szCs w:val="16"/>
                <w:color w:val="auto"/>
              </w:rPr>
              <w:t>Personnel costs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53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operating expenses</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161.0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536.0</w:t>
            </w:r>
          </w:p>
        </w:tc>
        <w:tc>
          <w:tcPr>
            <w:tcW w:w="0" w:type="dxa"/>
            <w:vAlign w:val="bottom"/>
          </w:tcPr>
          <w:p>
            <w:pPr>
              <w:spacing w:after="0"/>
              <w:rPr>
                <w:sz w:val="1"/>
                <w:szCs w:val="1"/>
                <w:color w:val="auto"/>
              </w:rPr>
            </w:pPr>
          </w:p>
        </w:tc>
      </w:tr>
      <w:tr>
        <w:trPr>
          <w:trHeight w:val="206"/>
        </w:trPr>
        <w:tc>
          <w:tcPr>
            <w:tcW w:w="53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 income</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9"/>
        </w:trPr>
        <w:tc>
          <w:tcPr>
            <w:tcW w:w="534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Recognized gains, net</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6"/>
        </w:trPr>
        <w:tc>
          <w:tcPr>
            <w:tcW w:w="53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expense</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49"/>
        </w:trPr>
        <w:tc>
          <w:tcPr>
            <w:tcW w:w="5340" w:type="dxa"/>
            <w:vAlign w:val="bottom"/>
            <w:shd w:val="clear" w:color="auto" w:fill="CCEEFF"/>
          </w:tcPr>
          <w:p>
            <w:pPr>
              <w:spacing w:after="0" w:line="148" w:lineRule="exact"/>
              <w:rPr>
                <w:sz w:val="20"/>
                <w:szCs w:val="20"/>
                <w:color w:val="auto"/>
              </w:rPr>
            </w:pPr>
            <w:r>
              <w:rPr>
                <w:rFonts w:ascii="Arial" w:cs="Arial" w:eastAsia="Arial" w:hAnsi="Arial"/>
                <w:sz w:val="16"/>
                <w:szCs w:val="16"/>
                <w:color w:val="auto"/>
                <w:w w:val="96"/>
              </w:rPr>
              <w:t>(Loss) earnings before income taxes and equity in earnings of unconsolidated</w:t>
            </w:r>
          </w:p>
        </w:tc>
        <w:tc>
          <w:tcPr>
            <w:tcW w:w="860" w:type="dxa"/>
            <w:vAlign w:val="bottom"/>
            <w:vMerge w:val="restart"/>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5"/>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affiliates</w:t>
            </w: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Total revenues for the Restaurant Group segment decreased $20.5 million, or 11.7%, in the three months ended September 30, 2022 and decreased $48.9 million, or 9.2%, in the nine months ended September 30, 2022 compared to the corresponding periods in 2021. The decrease was primarily driven by decreased revenue related to our sale of the Village Inn, Baker's Square, and Legendary Baking concepts in the prior year period. For the three months ended September 30, 2022, the decrease was also driven by a decrease in comparable store sales, while in the nine months ended September 30, 2022, the decrease was partially offset by an overall increase in comparable store sales.</w:t>
      </w:r>
    </w:p>
    <w:p>
      <w:pPr>
        <w:spacing w:after="0" w:line="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associated with our Legendary Baking, Village Inn, and Baker's Square brands was $10.7 million and $54.8 million in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Comparable Store Sales. </w:t>
      </w:r>
      <w:r>
        <w:rPr>
          <w:rFonts w:ascii="Arial" w:cs="Arial" w:eastAsia="Arial" w:hAnsi="Arial"/>
          <w:sz w:val="17"/>
          <w:szCs w:val="17"/>
          <w:color w:val="auto"/>
        </w:rPr>
        <w:t>One method we use in evaluating the performance of our restaurants is to compare sales results for restaurants period over</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by 6.7% and 0.8%, respectively, in the three months ended September 30, 2022 and (decreased) increased by (3.8)% and 10.4%, respectively, in the nine months ended September 30, 2022, compared to the comparable periods in 2021. The decrease in 2022 for our O'Charley's brand is primarily attributable to a decrease in guest counts, mostly offset by an increase in the average amount spent by customers each visit. The decrease in the three months ended September 30, 2022 for our 99 Restaurants brand is attributable to decreased guest counts which was nearly offset by an increase in the average amount spent by customers each visit for that period, while in the nine months ended September 30, 2022, the increase is attributable to an increase in the average amount spent by customers each visit.</w:t>
      </w:r>
    </w:p>
    <w:p>
      <w:pPr>
        <w:spacing w:after="0" w:line="7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Cost of restaurant revenue decreased directionally consistent with Restaurant revenues. Cost of restaurant revenue as a percentage of restaurant revenue was 91.3% and 88.4% in the three months ended September 30, 2022 and 2021, respectively, and 89.9% and 86.9% in the nine months ended September 30, 2022 and 2021, respectively. The increase in cost of restaurant revenue as a percentage of restaurant revenue in the three and nine months ended September 30, 2022 compared to the comparable period in 2021 is primarily attributable to increased costs of labor, food, and supplies.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Loss before income taxes decreased (increased loss) by $3.5 million, or 83.3%, in the three months ended September 30, 2022 and decreased (increased loss) by $7.6 million, or 96.2%, in the nine months ended September 30, 2022 from the corresponding periods in 2021. The change in income was primarily attributable to the factors discussed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2022, we own approximately 18.1% of the outstanding common stock of Dun &amp; Bradstreet. We account for our ownership interest in Dun &amp; Bradstreet under the equity method of accounting; therefore, its results of operations do not consolidate into ours. In July 2022, we completed the sale of 9.2 million shares of common stock of Dun &amp; Bradstreet to a broker pursuant to Rule 144. In connection with the sale, we received proceeds of $127.2 million.</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Dun &amp; Bradstreet for the relevant dates and time periods included in Equity in earnings of unconsolidated affiliates in our Condensed Consolidated Balance Sheets and Statements of Operations, respectively, is presented below.</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9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50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5"/>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194"/>
        </w:trPr>
        <w:tc>
          <w:tcPr>
            <w:tcW w:w="5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8"/>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556.3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1,629.6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Earnings (loss) before income taxes</w:t>
            </w:r>
          </w:p>
        </w:tc>
        <w:tc>
          <w:tcPr>
            <w:tcW w:w="8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Net earnings attributable to noncontrolling interest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Dun &amp; Bradstreet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bl>
    <w:p>
      <w:pPr>
        <w:spacing w:after="0" w:line="94" w:lineRule="exact"/>
        <w:rPr>
          <w:sz w:val="20"/>
          <w:szCs w:val="20"/>
          <w:color w:val="auto"/>
        </w:rPr>
      </w:pPr>
    </w:p>
    <w:p>
      <w:pPr>
        <w:ind w:right="1100" w:firstLine="324"/>
        <w:spacing w:after="0" w:line="375" w:lineRule="auto"/>
        <w:rPr>
          <w:sz w:val="20"/>
          <w:szCs w:val="20"/>
          <w:color w:val="auto"/>
        </w:rPr>
      </w:pPr>
      <w:r>
        <w:rPr>
          <w:rFonts w:ascii="Arial" w:cs="Arial" w:eastAsia="Arial" w:hAnsi="Arial"/>
          <w:sz w:val="18"/>
          <w:szCs w:val="18"/>
          <w:color w:val="auto"/>
        </w:rPr>
        <w:t xml:space="preserve">Details relating to the results of operations of Dun &amp; Bradstreet (NYSE: "DNB") can be found in its periodic reports filed with the SEC. </w:t>
      </w:r>
      <w:r>
        <w:rPr>
          <w:rFonts w:ascii="Arial" w:cs="Arial" w:eastAsia="Arial" w:hAnsi="Arial"/>
          <w:sz w:val="18"/>
          <w:szCs w:val="18"/>
          <w:b w:val="1"/>
          <w:bCs w:val="1"/>
          <w:i w:val="1"/>
          <w:iCs w:val="1"/>
          <w:color w:val="auto"/>
        </w:rPr>
        <w:t>Alight</w:t>
      </w:r>
    </w:p>
    <w:p>
      <w:pPr>
        <w:spacing w:after="0" w:line="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July 2, 2021, we closed on the acquisition of our ownership interest in Alight. As of September 30, 2022, we own approximately 9.7% of the outstanding common stock of Alight. We account for our ownership of Alight under the equity method of accounting; therefore, its results do not consolidate into ours. We historically accounted for our equity ownership and proportionate share of equity in earnings or loss of Alight on a three-month lag. In the second quarter of 2022, we were able to obtain financial information for Alight on a more timely basis and determined it was preferable to record our ownership interest in Alight on a current basis as opposed to the previous three-month lag. The elimination of the three-month reporting lag for our equity ownership in Alight did not result in any material adjustments for any current or prior period financial information. Because we acquired our ownership interest in Alight on July 2, 2021, the table below for the three and nine months ended September 30, 2021 includes the results of Alight for the period from July 2, 2021 through September 30, 2021.</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Alight for the relevant dates and time periods included in Equity in earnings of unconsolidated affiliates in our Condensed Consolidated Statements of Operations is presented below.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9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50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
        </w:trPr>
        <w:tc>
          <w:tcPr>
            <w:tcW w:w="5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4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194"/>
        </w:trPr>
        <w:tc>
          <w:tcPr>
            <w:tcW w:w="5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2,190.0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(Loss) earnings from operations</w:t>
            </w:r>
          </w:p>
        </w:tc>
        <w:tc>
          <w:tcPr>
            <w:tcW w:w="860" w:type="dxa"/>
            <w:vAlign w:val="bottom"/>
          </w:tcPr>
          <w:p>
            <w:pPr>
              <w:spacing w:after="0"/>
              <w:rPr>
                <w:sz w:val="19"/>
                <w:szCs w:val="19"/>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(50.0)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earnings attributable to Alight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(37.0)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bl>
    <w:p>
      <w:pPr>
        <w:spacing w:after="0" w:line="188" w:lineRule="exact"/>
        <w:rPr>
          <w:sz w:val="20"/>
          <w:szCs w:val="20"/>
          <w:color w:val="auto"/>
        </w:rPr>
      </w:pPr>
    </w:p>
    <w:p>
      <w:pPr>
        <w:ind w:right="1880" w:firstLine="324"/>
        <w:spacing w:after="0" w:line="367" w:lineRule="auto"/>
        <w:rPr>
          <w:sz w:val="20"/>
          <w:szCs w:val="20"/>
          <w:color w:val="auto"/>
        </w:rPr>
      </w:pPr>
      <w:r>
        <w:rPr>
          <w:rFonts w:ascii="Arial" w:cs="Arial" w:eastAsia="Arial" w:hAnsi="Arial"/>
          <w:sz w:val="18"/>
          <w:szCs w:val="18"/>
          <w:color w:val="auto"/>
        </w:rPr>
        <w:t xml:space="preserve">Details relating to the results of operations of Alight (NYSE: "ALIT") can be found in its periodic reports filed with the SEC. </w:t>
      </w:r>
      <w:r>
        <w:rPr>
          <w:rFonts w:ascii="Arial" w:cs="Arial" w:eastAsia="Arial" w:hAnsi="Arial"/>
          <w:sz w:val="18"/>
          <w:szCs w:val="18"/>
          <w:b w:val="1"/>
          <w:bCs w:val="1"/>
          <w:i w:val="1"/>
          <w:iCs w:val="1"/>
          <w:color w:val="auto"/>
        </w:rPr>
        <w:t>Paysafe</w:t>
      </w:r>
    </w:p>
    <w:p>
      <w:pPr>
        <w:spacing w:after="0" w:line="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March 30, 2021, we closed on the acquisition of our ownership interest in Paysafe. As of September 30, 2022, we own approximately 8.2% of the outstanding common stock of Paysafe. We account for our ownership of Paysafe under the equity method of accounting; therefore, its results do not consolidate into ours. We report our equity in the earnings or loss of Paysafe on a three-month lag. Accordingly, our net loss for the three and nine months ended September 30, 2022 includes our equity in Paysafe’s losses for the three and nine months ended June 30, 2022, respectively.</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Summarized financial information for Paysafe for the relevant dates and time periods included in Equity in earnings of unconsolidated affiliates in our Condensed Consolidated Statements of Operations is presented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316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316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5"/>
        </w:trPr>
        <w:tc>
          <w:tcPr>
            <w:tcW w:w="66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4"/>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(Loss) earnings from operations</w:t>
            </w:r>
          </w:p>
        </w:tc>
        <w:tc>
          <w:tcPr>
            <w:tcW w:w="9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4"/>
              </w:rPr>
              <w:t>(703.1)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(1,865.8)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earnings</w:t>
            </w: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(658.7)</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Less: net earnings attributable to noncontrolling interest</w:t>
            </w:r>
          </w:p>
        </w:tc>
        <w:tc>
          <w:tcPr>
            <w:tcW w:w="9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earnings attributable to Paysafe</w:t>
            </w: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(658.7)</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780" w:firstLine="324"/>
        <w:spacing w:after="0" w:line="375" w:lineRule="auto"/>
        <w:rPr>
          <w:sz w:val="20"/>
          <w:szCs w:val="20"/>
          <w:color w:val="auto"/>
        </w:rPr>
      </w:pPr>
      <w:r>
        <w:rPr>
          <w:rFonts w:ascii="Arial" w:cs="Arial" w:eastAsia="Arial" w:hAnsi="Arial"/>
          <w:sz w:val="18"/>
          <w:szCs w:val="18"/>
          <w:color w:val="auto"/>
        </w:rPr>
        <w:t xml:space="preserve">Details relating to the results of operations of Paysafe (NYSE: "PSFE") can be found in its periodic reports filed with the SEC. </w:t>
      </w:r>
      <w:r>
        <w:rPr>
          <w:rFonts w:ascii="Arial" w:cs="Arial" w:eastAsia="Arial" w:hAnsi="Arial"/>
          <w:sz w:val="18"/>
          <w:szCs w:val="18"/>
          <w:b w:val="1"/>
          <w:bCs w:val="1"/>
          <w:i w:val="1"/>
          <w:iCs w:val="1"/>
          <w:color w:val="auto"/>
        </w:rPr>
        <w:t>Corporate and Other</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Corporate and Other segment consists of our share in the operations of certain controlled businesses and other equity ownership interests, activity of the corporate holding company and certain intercompany eliminations and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non-reportable Corporate and other segment:</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9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4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26"/>
        </w:trPr>
        <w:tc>
          <w:tcPr>
            <w:tcW w:w="54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5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20"/>
              <w:spacing w:after="0"/>
              <w:rPr>
                <w:sz w:val="20"/>
                <w:szCs w:val="20"/>
                <w:color w:val="auto"/>
              </w:rPr>
            </w:pPr>
            <w:r>
              <w:rPr>
                <w:rFonts w:ascii="Arial" w:cs="Arial" w:eastAsia="Arial" w:hAnsi="Arial"/>
                <w:sz w:val="16"/>
                <w:szCs w:val="16"/>
                <w:color w:val="auto"/>
              </w:rPr>
              <w:t>Other operating revenue</w:t>
            </w:r>
          </w:p>
        </w:tc>
        <w:tc>
          <w:tcPr>
            <w:tcW w:w="880" w:type="dxa"/>
            <w:vAlign w:val="bottom"/>
          </w:tcPr>
          <w:p>
            <w:pPr>
              <w:jc w:val="right"/>
              <w:ind w:right="70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13"/>
        </w:trPr>
        <w:tc>
          <w:tcPr>
            <w:tcW w:w="5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0" w:type="dxa"/>
            <w:vAlign w:val="bottom"/>
          </w:tcPr>
          <w:p>
            <w:pPr>
              <w:spacing w:after="0"/>
              <w:rPr>
                <w:sz w:val="1"/>
                <w:szCs w:val="1"/>
                <w:color w:val="auto"/>
              </w:rPr>
            </w:pPr>
          </w:p>
        </w:tc>
      </w:tr>
      <w:tr>
        <w:trPr>
          <w:trHeight w:val="207"/>
        </w:trPr>
        <w:tc>
          <w:tcPr>
            <w:tcW w:w="54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88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(losses), net</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175.2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 (expense)</w:t>
            </w: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172.7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0" w:type="dxa"/>
            <w:vAlign w:val="bottom"/>
          </w:tcPr>
          <w:p>
            <w:pPr>
              <w:spacing w:after="0"/>
              <w:rPr>
                <w:sz w:val="1"/>
                <w:szCs w:val="1"/>
                <w:color w:val="auto"/>
              </w:rPr>
            </w:pPr>
          </w:p>
        </w:tc>
      </w:tr>
      <w:tr>
        <w:trPr>
          <w:trHeight w:val="146"/>
        </w:trPr>
        <w:tc>
          <w:tcPr>
            <w:tcW w:w="5420" w:type="dxa"/>
            <w:vAlign w:val="bottom"/>
          </w:tcPr>
          <w:p>
            <w:pPr>
              <w:ind w:left="20"/>
              <w:spacing w:after="0" w:line="146" w:lineRule="exact"/>
              <w:rPr>
                <w:sz w:val="20"/>
                <w:szCs w:val="20"/>
                <w:color w:val="auto"/>
              </w:rPr>
            </w:pPr>
            <w:r>
              <w:rPr>
                <w:rFonts w:ascii="Arial" w:cs="Arial" w:eastAsia="Arial" w:hAnsi="Arial"/>
                <w:sz w:val="16"/>
                <w:szCs w:val="16"/>
                <w:color w:val="auto"/>
                <w:w w:val="98"/>
              </w:rPr>
              <w:t>Earnings (loss) before income taxes and equity in earnings of unconsolidated</w:t>
            </w:r>
          </w:p>
        </w:tc>
        <w:tc>
          <w:tcPr>
            <w:tcW w:w="880" w:type="dxa"/>
            <w:vAlign w:val="bottom"/>
            <w:vMerge w:val="restart"/>
          </w:tcPr>
          <w:p>
            <w:pPr>
              <w:jc w:val="right"/>
              <w:ind w:right="704"/>
              <w:spacing w:after="0"/>
              <w:rPr>
                <w:sz w:val="20"/>
                <w:szCs w:val="20"/>
                <w:color w:val="auto"/>
              </w:rPr>
            </w:pPr>
            <w:r>
              <w:rPr>
                <w:rFonts w:ascii="Arial" w:cs="Arial" w:eastAsia="Arial" w:hAnsi="Arial"/>
                <w:sz w:val="16"/>
                <w:szCs w:val="16"/>
                <w:color w:val="auto"/>
                <w:w w:val="89"/>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w w:val="94"/>
              </w:rPr>
              <w:t>157.8</w:t>
            </w:r>
          </w:p>
        </w:tc>
        <w:tc>
          <w:tcPr>
            <w:tcW w:w="10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12"/>
                <w:szCs w:val="12"/>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(400.7)</w:t>
            </w:r>
          </w:p>
        </w:tc>
        <w:tc>
          <w:tcPr>
            <w:tcW w:w="10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(300.6)</w:t>
            </w:r>
          </w:p>
        </w:tc>
        <w:tc>
          <w:tcPr>
            <w:tcW w:w="0" w:type="dxa"/>
            <w:vAlign w:val="bottom"/>
          </w:tcPr>
          <w:p>
            <w:pPr>
              <w:spacing w:after="0"/>
              <w:rPr>
                <w:sz w:val="1"/>
                <w:szCs w:val="1"/>
                <w:color w:val="auto"/>
              </w:rPr>
            </w:pPr>
          </w:p>
        </w:tc>
      </w:tr>
      <w:tr>
        <w:trPr>
          <w:trHeight w:val="190"/>
        </w:trPr>
        <w:tc>
          <w:tcPr>
            <w:tcW w:w="5420" w:type="dxa"/>
            <w:vAlign w:val="bottom"/>
          </w:tcPr>
          <w:p>
            <w:pPr>
              <w:ind w:left="20"/>
              <w:spacing w:after="0"/>
              <w:rPr>
                <w:sz w:val="20"/>
                <w:szCs w:val="20"/>
                <w:color w:val="auto"/>
              </w:rPr>
            </w:pPr>
            <w:r>
              <w:rPr>
                <w:rFonts w:ascii="Arial" w:cs="Arial" w:eastAsia="Arial" w:hAnsi="Arial"/>
                <w:sz w:val="16"/>
                <w:szCs w:val="16"/>
                <w:color w:val="auto"/>
              </w:rPr>
              <w:t>affiliates</w:t>
            </w:r>
          </w:p>
        </w:tc>
        <w:tc>
          <w:tcPr>
            <w:tcW w:w="8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decreased $7.1 million in the three months ended September 30, 2022 and decreased $1.6 million in the nine months ended September 30, 2022 compared to the corresponding periods in 2021. The change in personnel costs was primarily driven by changes in the amounts of success bonuses paid related to our sales of shares of Ceridian.</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operating expenses increased $14.2 million in the nine months ended September 30, 2022 compared to the prior year period. The increase in the nine month period was primarily driven by management fees and carried interest incurred with our Manager of $30.9 million and $49.3 million, respectively, for the nine months ended September 30, 2022 compared with $24.7 million and $37.4 million, respectively, for the same period in 2021. The carried interest for the period ended September 30, 2022 was primarily attributable to the Optimal Blue Disposition, of which $31.8 million was paid in D&amp;B stock. The carried interest for the periods ended September 30, 2021 were primarily related to our distributions from our prior joint venture with Senator and a sale of D&amp;B stock.</w:t>
      </w:r>
    </w:p>
    <w:p>
      <w:pPr>
        <w:spacing w:after="0" w:line="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Recognized gains (losses), net, increased $362.6 million in the three months ended September 30, 2022 and decreased (increased loss) $57.9 million in the nine months ended September 30, 2022 compared to the corresponding periods in 2021. The increase in the three months ended September 30, 2022 is primarily attributable to the $391.8 million impairment charge we recorded on our ownership interest in Paysafe in the three months ended September 30, 2021, and a gain of $102.5 million on the partial sale of our ownership interest in AmeriLife recorded in the three months ended September 30, 2022, partially offset by decreased gains on equity securities in the three months ended September 30, 2022 compared to the corresponding period in 2021. The decrease (increase in loss) in the nine months ended September 30, 2022 is primarily attributable to and increased losses on equity securities in the nine months ended September 30, 2022 compared to the corresponding period in 2021 along with a gain of $111.1 million on the sale of D&amp;B shares recorded in the 2021 period. This was partially offset by the $391.8 million impairment charge we recorded on our ownership interest in Paysafe in the three months ended September 30, 2021 compared to the $236.0 million impairment charge we recorded on our ownership interest in Paysafe in the nine months ended September 30, 2022 along with $313.0 million and $102.5 million in gains on the sales of Optimal Blue and AmeriLife, respectively, recorded in the nine months ended September 30, 2022. See Note D for further information on recognized gains and losses on equity securities.</w:t>
      </w:r>
    </w:p>
    <w:p>
      <w:pPr>
        <w:spacing w:after="0" w:line="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Earnings (loss) before income taxes increased $348.2 million in the three months ended September 30, 2022 and decreased (increased loss) $100.1 million in the nine months ended September 30, 2022 compared to the corresponding periods in 2021. The change in earnings (loss) before income taxes in the three and nine months ended September 30, 2022 was primarily attributable to the factors noted above.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taxes, payments of interest and principal on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the BKFE Commitment, the CSI Subscription and other business acquisitions. There are no restrictions on our retained earnings regarding our ability to pay dividends to stockholders, although there are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limits on the ability of certain subsidiaries to pay dividends to us, as a result of provisions in certain debt agreements. The declaration of any future dividends is at the discretion of our Board of Directors. Additional uses of cash flow are expected to include stock repurchases, acquisitions, and debt repayments.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2022, we had cash and cash equivalents of $371.1 million, of which $355.0 million was cash held by the corporate holding company, and $250.0 million of capacity under our existing holding company credit facilities with the ability to add an additional $250.0 million of borrowing capacity by amending our 2020 Margin Facility.</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focused on evaluating our assets and ownership interests as potential vehicles for creating liquidity. Our intent is to use that liquidity for general corporate purposes, including future acquisitions, potentially reducing debt, repurchasing shares of our stock, other strategic initiatives and/or conserving cash.</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used in operations for the nine months ended September 30, 2022 and 2021 totaled $186.8 million and $141.6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increase in cash used in operations of $45.2 million is primarily attributable to the timing of payment and receipt of working capital assets and liabilities.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flows provided by (used in) investing activities for the nine months ended September 30, 2022 and 2021 were $562.3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$(437.7) million, respectively. The increase in cash provided by (decrease in cash used in) investing activities of $1,000.0 million in the 2022 period from the 2021 period is primarily attributable to proceeds from sales of investments, net of new and additional investments in unconsolidated affiliates in the 2022 period compared to the 2021 period.</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other intangible assets were $10.2 million and $7.7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nine-month periods ended September 30, 2022 and 2021, respectively. The capital expenditures in 2022 and 2021 primarily consisted of purchases of equipment in our Restaurant Group segment.</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(used in) provided by financing activities for the nine months ended September 30, 2022 and 2021 were</w:t>
      </w:r>
      <w:r>
        <w:rPr>
          <w:rFonts w:ascii="Arial" w:cs="Arial" w:eastAsia="Arial" w:hAnsi="Arial"/>
          <w:sz w:val="18"/>
          <w:szCs w:val="18"/>
          <w:i w:val="1"/>
          <w:iCs w:val="1"/>
          <w:color w:val="auto"/>
        </w:rPr>
        <w:t xml:space="preserve"> </w:t>
      </w:r>
      <w:r>
        <w:rPr>
          <w:rFonts w:ascii="Arial" w:cs="Arial" w:eastAsia="Arial" w:hAnsi="Arial"/>
          <w:sz w:val="18"/>
          <w:szCs w:val="18"/>
          <w:color w:val="auto"/>
        </w:rPr>
        <w:t>$(90.2) million and $88.8 million, respectively. The increase in cash used in (decrease in cash provided by) financing activities of $179.0 million is primarily attributable to a decrease in debt borrowings, net of repayments, of $91.2 million, partially offset by increased treasury repurchases of $83.2 million in the nine months ended September 30, 2022.</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E included in Item 1 of Part I of this Quarterly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Item 2 of Part I.</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There have been no material changes to the seasonality experienced in our businesses from those described for the period as of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2021 included in our Annual Report.</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credit agreements and other debt facilities, lease payments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obligations on certain of our premises and equipment, purchase obligations of the Restaurant Group and payments to our Manager.</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lease payments include the expected future rent payments of the Company and its operating subsidiaries, primarily for the Restaurant Group.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operating leases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September 30, 2022 to determine the amount of these obligations.</w:t>
      </w:r>
    </w:p>
    <w:p>
      <w:pPr>
        <w:spacing w:after="0" w:line="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$2,590.2 million as of September 30, 2022.</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which are accounted for as failed sale and leaseback transactions.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our required annual payments relating to these contractual obligations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26"/>
        </w:trPr>
        <w:tc>
          <w:tcPr>
            <w:tcW w:w="3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8"/>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8"/>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Unconditional purchase obligations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Management fees payable to Manager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Restaurant Group financing obligations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r>
      <w:tr>
        <w:trPr>
          <w:trHeight w:val="21"/>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A and Note F to our Condensed Consolidated Financial Statements included in Item 1 of Part I of this Quarterly Report for further discussion of our commitments to fund the BKFE Commitment and the CSI Subscription.</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Effective February 26, 2021, our Board authorized a three-year stock repurchase program, (the "2021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under which the Company may repurchase up to 10 million shares of its common stock. Purchases may be made from time to time in the open market at prevailing prices or in privately negotiated transactions through February 26, 2024. The repurchase program does not obligate the Company to acquire any specific number of shares and may be suspended or terminated at any time.</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Pursuant to the 2021 Repurchase Program, we repurchased 8,425,598 shares of CNNE common stock during the nine months ended September 30, 2022 for approximately $174.7 million in the aggregate, or an average of $20.74 per share. Since the original commencement of the 2021 Repurchase Program through market close on September 30, 2022, we repurchased a total of 9,441,483 common shares for approximately $203.8 million in the aggregate, or an average of $21.59 per share. Subsequent to September 30, 2022, we repurchased an additional 499,301 shares of CNNE common stock for approximately $10.6 million in the aggregate, or an average of $21.14 per share, pursuant to the 2021 Repurchase Program.</w:t>
      </w:r>
    </w:p>
    <w:p>
      <w:pPr>
        <w:spacing w:after="0" w:line="53"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color w:val="auto"/>
        </w:rPr>
        <w:t>On August 3, 2022, our Board authorized the 2022 Repurchase Program, under 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There have been no significant changes to our off-balance sheet arrangements since our Annual Report.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2021.</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F.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the Company during the three months ended September 30,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1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480" w:type="dxa"/>
            <w:vAlign w:val="bottom"/>
          </w:tcPr>
          <w:p>
            <w:pPr>
              <w:jc w:val="right"/>
              <w:ind w:right="4"/>
              <w:spacing w:after="0" w:line="149" w:lineRule="exact"/>
              <w:rPr>
                <w:sz w:val="20"/>
                <w:szCs w:val="20"/>
                <w:color w:val="auto"/>
              </w:rPr>
            </w:pPr>
            <w:r>
              <w:rPr>
                <w:rFonts w:ascii="Arial" w:cs="Arial" w:eastAsia="Arial" w:hAnsi="Arial"/>
                <w:sz w:val="14"/>
                <w:szCs w:val="14"/>
                <w:b w:val="1"/>
                <w:bCs w:val="1"/>
                <w:color w:val="auto"/>
                <w:w w:val="97"/>
              </w:rPr>
              <w:t>Purchased Under the</w:t>
            </w:r>
          </w:p>
        </w:tc>
        <w:tc>
          <w:tcPr>
            <w:tcW w:w="0" w:type="dxa"/>
            <w:vAlign w:val="bottom"/>
          </w:tcPr>
          <w:p>
            <w:pPr>
              <w:spacing w:after="0"/>
              <w:rPr>
                <w:sz w:val="1"/>
                <w:szCs w:val="1"/>
                <w:color w:val="auto"/>
              </w:rPr>
            </w:pPr>
          </w:p>
        </w:tc>
      </w:tr>
      <w:tr>
        <w:trPr>
          <w:trHeight w:val="203"/>
        </w:trPr>
        <w:tc>
          <w:tcPr>
            <w:tcW w:w="3820" w:type="dxa"/>
            <w:vAlign w:val="bottom"/>
            <w:gridSpan w:val="2"/>
            <w:vMerge w:val="continue"/>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Shares Purchased</w:t>
            </w:r>
          </w:p>
        </w:tc>
        <w:tc>
          <w:tcPr>
            <w:tcW w:w="320" w:type="dxa"/>
            <w:vAlign w:val="bottom"/>
          </w:tcPr>
          <w:p>
            <w:pPr>
              <w:spacing w:after="0"/>
              <w:rPr>
                <w:sz w:val="17"/>
                <w:szCs w:val="17"/>
                <w:color w:val="auto"/>
              </w:rPr>
            </w:pP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w:t>
            </w:r>
          </w:p>
        </w:tc>
        <w:tc>
          <w:tcPr>
            <w:tcW w:w="148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6"/>
              </w:rPr>
              <w:t xml:space="preserve">Programs </w:t>
            </w:r>
            <w:r>
              <w:rPr>
                <w:rFonts w:ascii="Arial" w:cs="Arial" w:eastAsia="Arial" w:hAnsi="Arial"/>
                <w:sz w:val="18"/>
                <w:szCs w:val="18"/>
                <w:b w:val="1"/>
                <w:bCs w:val="1"/>
                <w:color w:val="auto"/>
                <w:w w:val="86"/>
                <w:vertAlign w:val="superscript"/>
              </w:rPr>
              <w:t>(1) (2)</w:t>
            </w:r>
          </w:p>
        </w:tc>
        <w:tc>
          <w:tcPr>
            <w:tcW w:w="100" w:type="dxa"/>
            <w:vAlign w:val="bottom"/>
          </w:tcPr>
          <w:p>
            <w:pPr>
              <w:spacing w:after="0"/>
              <w:rPr>
                <w:sz w:val="17"/>
                <w:szCs w:val="17"/>
                <w:color w:val="auto"/>
              </w:rPr>
            </w:pPr>
          </w:p>
        </w:tc>
        <w:tc>
          <w:tcPr>
            <w:tcW w:w="1480" w:type="dxa"/>
            <w:vAlign w:val="bottom"/>
          </w:tcPr>
          <w:p>
            <w:pPr>
              <w:jc w:val="right"/>
              <w:ind w:right="4"/>
              <w:spacing w:after="0" w:line="202" w:lineRule="exact"/>
              <w:rPr>
                <w:sz w:val="20"/>
                <w:szCs w:val="20"/>
                <w:color w:val="auto"/>
              </w:rPr>
            </w:pPr>
            <w:r>
              <w:rPr>
                <w:rFonts w:ascii="Arial" w:cs="Arial" w:eastAsia="Arial" w:hAnsi="Arial"/>
                <w:sz w:val="14"/>
                <w:szCs w:val="14"/>
                <w:b w:val="1"/>
                <w:bCs w:val="1"/>
                <w:color w:val="auto"/>
                <w:w w:val="96"/>
              </w:rPr>
              <w:t xml:space="preserve">Plans or Programs </w:t>
            </w:r>
            <w:r>
              <w:rPr>
                <w:rFonts w:ascii="Arial" w:cs="Arial" w:eastAsia="Arial" w:hAnsi="Arial"/>
                <w:sz w:val="18"/>
                <w:szCs w:val="18"/>
                <w:b w:val="1"/>
                <w:bCs w:val="1"/>
                <w:color w:val="auto"/>
                <w:w w:val="96"/>
                <w:vertAlign w:val="superscript"/>
              </w:rPr>
              <w:t>(3)</w:t>
            </w:r>
          </w:p>
        </w:tc>
        <w:tc>
          <w:tcPr>
            <w:tcW w:w="0" w:type="dxa"/>
            <w:vAlign w:val="bottom"/>
          </w:tcPr>
          <w:p>
            <w:pPr>
              <w:spacing w:after="0"/>
              <w:rPr>
                <w:sz w:val="1"/>
                <w:szCs w:val="1"/>
                <w:color w:val="auto"/>
              </w:rPr>
            </w:pPr>
          </w:p>
        </w:tc>
      </w:tr>
      <w:tr>
        <w:trPr>
          <w:trHeight w:val="223"/>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7/1/2022 - 7/31/2022</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12,707,818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8/1/2022 - 8/31/2022</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600,000</w:t>
            </w:r>
          </w:p>
        </w:tc>
        <w:tc>
          <w:tcPr>
            <w:tcW w:w="34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12,107,818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9/1/2022 - 9/30/2022</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11,057,818</w:t>
            </w:r>
          </w:p>
        </w:tc>
        <w:tc>
          <w:tcPr>
            <w:tcW w:w="0" w:type="dxa"/>
            <w:vAlign w:val="bottom"/>
          </w:tcPr>
          <w:p>
            <w:pPr>
              <w:spacing w:after="0"/>
              <w:rPr>
                <w:sz w:val="1"/>
                <w:szCs w:val="1"/>
                <w:color w:val="auto"/>
              </w:rPr>
            </w:pPr>
          </w:p>
        </w:tc>
      </w:tr>
      <w:tr>
        <w:trPr>
          <w:trHeight w:val="223"/>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1,650,000</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hanging="332"/>
        <w:spacing w:after="0" w:line="277" w:lineRule="auto"/>
        <w:tabs>
          <w:tab w:leader="none" w:pos="464"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1, 2021, our Board of Directors approved the 2021 Repurchase Program, under which we may purchase up to 10 million shares of our CNNE common stock through February 26, 2024.</w:t>
      </w:r>
    </w:p>
    <w:p>
      <w:pPr>
        <w:spacing w:after="0" w:line="48" w:lineRule="exact"/>
        <w:rPr>
          <w:rFonts w:ascii="Arial" w:cs="Arial" w:eastAsia="Arial" w:hAnsi="Arial"/>
          <w:sz w:val="18"/>
          <w:szCs w:val="18"/>
          <w:color w:val="auto"/>
        </w:rPr>
      </w:pPr>
    </w:p>
    <w:p>
      <w:pPr>
        <w:ind w:left="340" w:right="20" w:hanging="332"/>
        <w:spacing w:after="0" w:line="277" w:lineRule="auto"/>
        <w:tabs>
          <w:tab w:leader="none" w:pos="456"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August 3, 2022, our Board of Directors approved the 2022 Repurchase Program, under which we may purchase up to 10 million shares of our CNNE common stock through August 3, 2025.</w:t>
      </w:r>
    </w:p>
    <w:p>
      <w:pPr>
        <w:spacing w:after="0" w:line="48"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0000FF"/>
                <w:w w:val="89"/>
              </w:rPr>
              <w:t>Table of Contents</w:t>
            </w:r>
          </w:p>
        </w:tc>
        <w:tc>
          <w:tcPr>
            <w:tcW w:w="1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360" w:type="dxa"/>
            <w:vAlign w:val="bottom"/>
            <w:tcBorders>
              <w:top w:val="single" w:sz="8" w:color="0000FF"/>
            </w:tcBorders>
          </w:tcPr>
          <w:p>
            <w:pPr>
              <w:jc w:val="center"/>
              <w:ind w:right="30"/>
              <w:spacing w:after="0"/>
              <w:rPr>
                <w:sz w:val="20"/>
                <w:szCs w:val="20"/>
                <w:color w:val="auto"/>
              </w:rPr>
            </w:pPr>
            <w:r>
              <w:rPr>
                <w:rFonts w:ascii="Arial" w:cs="Arial" w:eastAsia="Arial" w:hAnsi="Arial"/>
                <w:sz w:val="18"/>
                <w:szCs w:val="18"/>
                <w:b w:val="1"/>
                <w:bCs w:val="1"/>
                <w:color w:val="auto"/>
                <w:w w:val="93"/>
              </w:rPr>
              <w:t>Item 6. Exhibits</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 Exhibits:</w:t>
            </w: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40" w:type="dxa"/>
            <w:vAlign w:val="bottom"/>
            <w:gridSpan w:val="5"/>
            <w:vMerge w:val="restart"/>
          </w:tcPr>
          <w:p>
            <w:pPr>
              <w:ind w:left="10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23"/>
                <w:szCs w:val="23"/>
                <w:color w:val="auto"/>
              </w:rPr>
            </w:pPr>
          </w:p>
        </w:tc>
        <w:tc>
          <w:tcPr>
            <w:tcW w:w="9540" w:type="dxa"/>
            <w:vAlign w:val="bottom"/>
            <w:gridSpan w:val="7"/>
          </w:tcPr>
          <w:p>
            <w:pPr>
              <w:spacing w:after="0"/>
              <w:rPr>
                <w:sz w:val="20"/>
                <w:szCs w:val="20"/>
                <w:color w:val="auto"/>
              </w:rPr>
            </w:pPr>
            <w:r>
              <w:rPr>
                <w:rFonts w:ascii="Arial" w:cs="Arial" w:eastAsia="Arial" w:hAnsi="Arial"/>
                <w:sz w:val="18"/>
                <w:szCs w:val="18"/>
                <w:color w:val="0000FF"/>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439"/>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24"/>
                <w:szCs w:val="24"/>
                <w:color w:val="auto"/>
              </w:rPr>
            </w:pPr>
          </w:p>
        </w:tc>
        <w:tc>
          <w:tcPr>
            <w:tcW w:w="74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5"/>
              </w:rPr>
              <w:t>Certification of Chief Financial Officer pursuant to Section 302 of the Sarbanes-Oxley Act of 2002.</w:t>
            </w:r>
          </w:p>
        </w:tc>
        <w:tc>
          <w:tcPr>
            <w:tcW w:w="20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20" w:type="dxa"/>
            <w:vAlign w:val="bottom"/>
          </w:tcPr>
          <w:p>
            <w:pPr>
              <w:spacing w:after="0"/>
              <w:rPr>
                <w:sz w:val="24"/>
                <w:szCs w:val="24"/>
                <w:color w:val="auto"/>
              </w:rPr>
            </w:pPr>
          </w:p>
        </w:tc>
        <w:tc>
          <w:tcPr>
            <w:tcW w:w="9540" w:type="dxa"/>
            <w:vAlign w:val="bottom"/>
            <w:gridSpan w:val="7"/>
          </w:tcPr>
          <w:p>
            <w:pPr>
              <w:spacing w:after="0"/>
              <w:rPr>
                <w:sz w:val="20"/>
                <w:szCs w:val="20"/>
                <w:color w:val="auto"/>
              </w:rPr>
            </w:pPr>
            <w:r>
              <w:rPr>
                <w:rFonts w:ascii="Arial" w:cs="Arial" w:eastAsia="Arial" w:hAnsi="Arial"/>
                <w:sz w:val="18"/>
                <w:szCs w:val="18"/>
                <w:color w:val="0000FF"/>
                <w:w w:val="95"/>
              </w:rPr>
              <w:t>Certification by Principal Executive Officer of Periodic Financial Reports pursuant to Section 906 of the Sarbanes-Oxley Act of</w:t>
            </w: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0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2002, 18 U.S.C. Section 1350.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20" w:type="dxa"/>
            <w:vAlign w:val="bottom"/>
          </w:tcPr>
          <w:p>
            <w:pPr>
              <w:spacing w:after="0"/>
              <w:rPr>
                <w:sz w:val="24"/>
                <w:szCs w:val="24"/>
                <w:color w:val="auto"/>
              </w:rPr>
            </w:pPr>
          </w:p>
        </w:tc>
        <w:tc>
          <w:tcPr>
            <w:tcW w:w="9540" w:type="dxa"/>
            <w:vAlign w:val="bottom"/>
            <w:gridSpan w:val="7"/>
          </w:tcPr>
          <w:p>
            <w:pPr>
              <w:spacing w:after="0"/>
              <w:rPr>
                <w:sz w:val="20"/>
                <w:szCs w:val="20"/>
                <w:color w:val="auto"/>
              </w:rPr>
            </w:pPr>
            <w:r>
              <w:rPr>
                <w:rFonts w:ascii="Arial" w:cs="Arial" w:eastAsia="Arial" w:hAnsi="Arial"/>
                <w:sz w:val="18"/>
                <w:szCs w:val="18"/>
                <w:color w:val="0000FF"/>
                <w:w w:val="93"/>
              </w:rPr>
              <w:t>Certification by Chief Financial Officer of Periodic Financial Reports pursuant to Section 906 of the Sarbanes-Oxley Act of 2002,</w:t>
            </w: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0"/>
              </w:rPr>
              <w:t>18 U.S.C. Section 1350.</w:t>
            </w:r>
          </w:p>
        </w:tc>
        <w:tc>
          <w:tcPr>
            <w:tcW w:w="77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101.INS</w:t>
            </w: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Instance Document *</w:t>
            </w:r>
          </w:p>
        </w:tc>
        <w:tc>
          <w:tcPr>
            <w:tcW w:w="0" w:type="dxa"/>
            <w:vAlign w:val="bottom"/>
          </w:tcPr>
          <w:p>
            <w:pPr>
              <w:spacing w:after="0"/>
              <w:rPr>
                <w:sz w:val="1"/>
                <w:szCs w:val="1"/>
                <w:color w:val="auto"/>
              </w:rPr>
            </w:pPr>
          </w:p>
        </w:tc>
      </w:tr>
      <w:tr>
        <w:trPr>
          <w:trHeight w:val="324"/>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101.SCH</w:t>
            </w: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101.CAL</w:t>
            </w: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16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101.DEF</w:t>
            </w: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101.PRE</w:t>
            </w: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68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101.LAB</w:t>
            </w:r>
          </w:p>
        </w:tc>
        <w:tc>
          <w:tcPr>
            <w:tcW w:w="95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680" w:hanging="1179"/>
        <w:spacing w:after="0"/>
        <w:tabs>
          <w:tab w:leader="none" w:pos="1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Arial" w:cs="Arial" w:eastAsia="Arial" w:hAnsi="Arial"/>
                <w:sz w:val="18"/>
                <w:szCs w:val="18"/>
                <w:color w:val="auto"/>
              </w:rPr>
              <w:t>Date: November 9, 2022</w:t>
            </w:r>
          </w:p>
        </w:tc>
        <w:tc>
          <w:tcPr>
            <w:tcW w:w="6760" w:type="dxa"/>
            <w:vAlign w:val="bottom"/>
            <w:gridSpan w:val="2"/>
          </w:tcPr>
          <w:p>
            <w:pPr>
              <w:ind w:left="1420"/>
              <w:spacing w:after="0"/>
              <w:rPr>
                <w:sz w:val="20"/>
                <w:szCs w:val="20"/>
                <w:color w:val="auto"/>
              </w:rPr>
            </w:pPr>
            <w:r>
              <w:rPr>
                <w:rFonts w:ascii="Arial" w:cs="Arial" w:eastAsia="Arial" w:hAnsi="Arial"/>
                <w:sz w:val="18"/>
                <w:szCs w:val="18"/>
                <w:color w:val="auto"/>
              </w:rPr>
              <w:t>CANNAE HOLDINGS, INC.</w:t>
            </w:r>
          </w:p>
        </w:tc>
      </w:tr>
      <w:tr>
        <w:trPr>
          <w:trHeight w:val="230"/>
        </w:trPr>
        <w:tc>
          <w:tcPr>
            <w:tcW w:w="3160" w:type="dxa"/>
            <w:vAlign w:val="bottom"/>
          </w:tcPr>
          <w:p>
            <w:pPr>
              <w:spacing w:after="0"/>
              <w:rPr>
                <w:sz w:val="20"/>
                <w:szCs w:val="20"/>
                <w:color w:val="auto"/>
              </w:rPr>
            </w:pPr>
          </w:p>
        </w:tc>
        <w:tc>
          <w:tcPr>
            <w:tcW w:w="6760" w:type="dxa"/>
            <w:vAlign w:val="bottom"/>
            <w:gridSpan w:val="2"/>
          </w:tcPr>
          <w:p>
            <w:pPr>
              <w:ind w:left="1420"/>
              <w:spacing w:after="0"/>
              <w:rPr>
                <w:sz w:val="20"/>
                <w:szCs w:val="20"/>
                <w:color w:val="auto"/>
              </w:rPr>
            </w:pPr>
            <w:r>
              <w:rPr>
                <w:rFonts w:ascii="Arial" w:cs="Arial" w:eastAsia="Arial" w:hAnsi="Arial"/>
                <w:sz w:val="18"/>
                <w:szCs w:val="18"/>
                <w:color w:val="auto"/>
              </w:rPr>
              <w:t>(registrant)</w:t>
            </w:r>
          </w:p>
        </w:tc>
      </w:tr>
      <w:tr>
        <w:trPr>
          <w:trHeight w:val="418"/>
        </w:trPr>
        <w:tc>
          <w:tcPr>
            <w:tcW w:w="3160" w:type="dxa"/>
            <w:vAlign w:val="bottom"/>
          </w:tcPr>
          <w:p>
            <w:pPr>
              <w:spacing w:after="0"/>
              <w:rPr>
                <w:sz w:val="24"/>
                <w:szCs w:val="24"/>
                <w:color w:val="auto"/>
              </w:rPr>
            </w:pPr>
          </w:p>
        </w:tc>
        <w:tc>
          <w:tcPr>
            <w:tcW w:w="6760" w:type="dxa"/>
            <w:vAlign w:val="bottom"/>
            <w:gridSpan w:val="2"/>
          </w:tcPr>
          <w:p>
            <w:pPr>
              <w:ind w:left="1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D. Coy</w:t>
            </w:r>
          </w:p>
        </w:tc>
      </w:tr>
      <w:tr>
        <w:trPr>
          <w:trHeight w:val="222"/>
        </w:trPr>
        <w:tc>
          <w:tcPr>
            <w:tcW w:w="3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D. Coy</w:t>
            </w:r>
          </w:p>
        </w:tc>
      </w:tr>
      <w:tr>
        <w:trPr>
          <w:trHeight w:val="176"/>
        </w:trPr>
        <w:tc>
          <w:tcPr>
            <w:tcW w:w="3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90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90"/>
        </w:trPr>
        <w:tc>
          <w:tcPr>
            <w:tcW w:w="3160" w:type="dxa"/>
            <w:vAlign w:val="bottom"/>
          </w:tcPr>
          <w:p>
            <w:pPr>
              <w:spacing w:after="0"/>
              <w:rPr>
                <w:sz w:val="24"/>
                <w:szCs w:val="24"/>
                <w:color w:val="auto"/>
              </w:rPr>
            </w:pPr>
          </w:p>
        </w:tc>
        <w:tc>
          <w:tcPr>
            <w:tcW w:w="6760" w:type="dxa"/>
            <w:vAlign w:val="bottom"/>
            <w:gridSpan w:val="2"/>
          </w:tcPr>
          <w:p>
            <w:pPr>
              <w:jc w:val="right"/>
              <w:ind w:right="457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120"/>
          </w:cols>
          <w:pgMar w:left="320" w:top="121" w:right="4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David W. Ducommun, certify that:</w:t>
      </w:r>
    </w:p>
    <w:p>
      <w:pPr>
        <w:spacing w:after="0" w:line="15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50"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David W. Ducommun</w:t>
      </w:r>
    </w:p>
    <w:p>
      <w:pPr>
        <w:ind w:left="114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89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Bryan D. Coy, certify that:</w:t>
      </w:r>
    </w:p>
    <w:p>
      <w:pPr>
        <w:spacing w:after="0" w:line="15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212"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33089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Bryan D. Coy</w:t>
      </w:r>
    </w:p>
    <w:p>
      <w:pPr>
        <w:ind w:left="1140"/>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ind w:right="20" w:firstLine="245"/>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Principal Executive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266"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David W. Ducommun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33343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David W. Ducommun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President and Principal Executive Officer</w:t>
      </w:r>
    </w:p>
    <w:p>
      <w:pPr>
        <w:sectPr>
          <w:pgSz w:w="11900" w:h="16838" w:orient="portrait"/>
          <w:cols w:equalWidth="0" w:num="1">
            <w:col w:w="11240"/>
          </w:cols>
          <w:pgMar w:left="320" w:top="113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right="20" w:firstLine="239"/>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266"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3261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Bryan D. Coy</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lvl w:ilvl="1">
      <w:lvlJc w:val="left"/>
      <w:lvlText w:val="%2"/>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2022-11-10T08:43:20Z</dcterms:created>
  <dcterms:modified xsi:type="dcterms:W3CDTF">2022-11-10T08:43:20Z</dcterms:modified>
</cp:coreProperties>
</file>